
<file path=[Content_Types].xml><?xml version="1.0" encoding="utf-8"?>
<Types xmlns="http://schemas.openxmlformats.org/package/2006/content-types">
  <Default Extension="xlsx" ContentType="application/vnd.openxmlformats-officedocument.spreadsheetml.shee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ind w:right="-105" w:rightChars="-50"/>
        <w:jc w:val="center"/>
        <w:outlineLvl w:val="0"/>
        <w:rPr>
          <w:rFonts w:ascii="方正小标宋简体" w:eastAsia="方正小标宋简体"/>
          <w:b/>
          <w:color w:val="000000"/>
          <w:sz w:val="44"/>
          <w:szCs w:val="44"/>
        </w:rPr>
      </w:pPr>
      <w:r>
        <w:rPr>
          <w:rFonts w:hint="eastAsia" w:ascii="方正小标宋简体" w:eastAsia="方正小标宋简体"/>
          <w:b/>
          <w:color w:val="000000"/>
          <w:sz w:val="44"/>
          <w:szCs w:val="44"/>
        </w:rPr>
        <w:t>济宁市公安局高新技术产业开发区分局202</w:t>
      </w:r>
      <w:r>
        <w:rPr>
          <w:rFonts w:hint="eastAsia" w:ascii="方正小标宋简体" w:eastAsia="方正小标宋简体"/>
          <w:b/>
          <w:color w:val="000000"/>
          <w:sz w:val="44"/>
          <w:szCs w:val="44"/>
          <w:lang w:val="en-US" w:eastAsia="zh-CN"/>
        </w:rPr>
        <w:t>3</w:t>
      </w:r>
      <w:r>
        <w:rPr>
          <w:rFonts w:hint="eastAsia" w:ascii="方正小标宋简体" w:eastAsia="方正小标宋简体"/>
          <w:b/>
          <w:color w:val="000000"/>
          <w:sz w:val="44"/>
          <w:szCs w:val="44"/>
        </w:rPr>
        <w:t>年政府信息公开工作年度报告</w:t>
      </w:r>
    </w:p>
    <w:p/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本报告由济宁市公安局高新技术产业开发区分局按照《中华人民共和国政府信息公开条例》（以下简称《条例》）和《中华人民共和国政府信息公开工作年度报告格式》（国办公开办函〔2021〕30号）要求编制。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报告内容包括总体情况、主动公开政府信息情况、收到和处理政府信息公开申请情况、政府信息公开行政复议和行政诉讼情况、存在的主要问题及改进情况、其他需要报告的事项等六部分内容。除特别说明的外，本报告所列数据的统计期限为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年1月1日至202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年12月31日。本报告电子版可在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>“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eastAsia="zh-CN"/>
        </w:rPr>
        <w:t>济宁高新区管委会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>”</w:t>
      </w:r>
      <w:r>
        <w:rPr>
          <w:rFonts w:hint="eastAsia" w:ascii="仿宋_GB2312" w:eastAsia="仿宋_GB2312"/>
          <w:sz w:val="32"/>
          <w:szCs w:val="32"/>
        </w:rPr>
        <w:t>门户网站（http://www.jnhn.gov.cn）查阅或下载。如对本报告有疑问，请与济宁市公安局高新技术产业开发区分局联系（地址：济宁市高新区崇文大道666号，联系电话：0537—2568615）。</w:t>
      </w:r>
    </w:p>
    <w:p>
      <w:pPr>
        <w:spacing w:line="600" w:lineRule="exact"/>
        <w:ind w:firstLine="643" w:firstLineChars="200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一、总体情况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2023年，</w:t>
      </w:r>
      <w:r>
        <w:rPr>
          <w:rFonts w:hint="eastAsia" w:ascii="仿宋_GB2312" w:eastAsia="仿宋_GB2312"/>
          <w:sz w:val="32"/>
          <w:szCs w:val="32"/>
        </w:rPr>
        <w:t>济宁市公安局高新技术产业开发区分局</w:t>
      </w:r>
      <w:r>
        <w:rPr>
          <w:rFonts w:hint="eastAsia" w:ascii="仿宋_GB2312" w:eastAsia="仿宋_GB2312"/>
          <w:sz w:val="32"/>
          <w:szCs w:val="32"/>
          <w:lang w:eastAsia="zh-CN"/>
        </w:rPr>
        <w:t>高度重视政府信息公开工作，按照《条例》和高新区管委会关于做好政府信息公开工作的具体要求，切实加强政府信息公开力度，</w:t>
      </w:r>
      <w:r>
        <w:rPr>
          <w:rFonts w:hint="eastAsia" w:ascii="仿宋_GB2312" w:eastAsia="仿宋_GB2312"/>
          <w:sz w:val="32"/>
          <w:szCs w:val="32"/>
        </w:rPr>
        <w:t>不断提高政府信息公开工作效率，</w:t>
      </w:r>
      <w:r>
        <w:rPr>
          <w:rFonts w:hint="eastAsia" w:ascii="仿宋_GB2312" w:eastAsia="仿宋_GB2312"/>
          <w:sz w:val="32"/>
          <w:szCs w:val="32"/>
          <w:lang w:eastAsia="zh-CN"/>
        </w:rPr>
        <w:t>认真做好警务信息的收集、整理、发布、更新工作，政府信息公开工作取得明显成效。</w:t>
      </w:r>
    </w:p>
    <w:p>
      <w:pPr>
        <w:spacing w:line="600" w:lineRule="exact"/>
        <w:ind w:firstLine="643" w:firstLineChars="200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（一）主动公开情况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2023年，</w:t>
      </w:r>
      <w:r>
        <w:rPr>
          <w:rFonts w:hint="eastAsia" w:ascii="仿宋_GB2312" w:eastAsia="仿宋_GB2312"/>
          <w:sz w:val="32"/>
          <w:szCs w:val="32"/>
          <w:lang w:eastAsia="zh-CN"/>
        </w:rPr>
        <w:t>高新区公安</w:t>
      </w:r>
      <w:r>
        <w:rPr>
          <w:rFonts w:hint="eastAsia" w:ascii="仿宋_GB2312" w:eastAsia="仿宋_GB2312"/>
          <w:sz w:val="32"/>
          <w:szCs w:val="32"/>
        </w:rPr>
        <w:t>分局</w:t>
      </w:r>
      <w:r>
        <w:rPr>
          <w:rFonts w:hint="eastAsia" w:ascii="仿宋_GB2312" w:eastAsia="仿宋_GB2312"/>
          <w:sz w:val="32"/>
          <w:szCs w:val="32"/>
          <w:lang w:eastAsia="zh-CN"/>
        </w:rPr>
        <w:t>积极做好政府信息主动公开工作，以高新区管委会门户网站、各类报刊网站等传统媒体、各类政务新媒体平台为阵地，及时收集、整理、上传分局重要工作、重要警务活动、安全防范、警方提示等信息，先后发稿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769</w:t>
      </w:r>
      <w:r>
        <w:rPr>
          <w:rFonts w:hint="eastAsia" w:ascii="仿宋_GB2312" w:eastAsia="仿宋_GB2312"/>
          <w:sz w:val="32"/>
          <w:szCs w:val="32"/>
          <w:lang w:eastAsia="zh-CN"/>
        </w:rPr>
        <w:t>篇（条）。召开新闻发布会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  <w:lang w:eastAsia="zh-CN"/>
        </w:rPr>
        <w:t>场、警营开放活动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2场。及时做好政策解读工作，发布各类解读材料。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spacing w:line="600" w:lineRule="exact"/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</w:p>
    <w:p>
      <w:pPr>
        <w:spacing w:line="600" w:lineRule="exact"/>
        <w:ind w:firstLine="643" w:firstLineChars="200"/>
        <w:rPr>
          <w:rFonts w:hint="eastAsia" w:ascii="仿宋_GB2312" w:eastAsia="仿宋_GB2312"/>
          <w:b/>
          <w:bCs/>
          <w:sz w:val="32"/>
          <w:szCs w:val="32"/>
        </w:rPr>
      </w:pPr>
    </w:p>
    <w:p>
      <w:pPr>
        <w:spacing w:line="600" w:lineRule="exact"/>
        <w:ind w:firstLine="643" w:firstLineChars="200"/>
        <w:rPr>
          <w:rFonts w:hint="eastAsia" w:ascii="仿宋_GB2312" w:eastAsia="仿宋_GB2312"/>
          <w:b/>
          <w:bCs/>
          <w:sz w:val="32"/>
          <w:szCs w:val="32"/>
        </w:rPr>
      </w:pPr>
    </w:p>
    <w:p>
      <w:pPr>
        <w:spacing w:line="600" w:lineRule="exact"/>
        <w:ind w:firstLine="643" w:firstLineChars="200"/>
        <w:rPr>
          <w:rFonts w:hint="eastAsia" w:ascii="仿宋_GB2312" w:eastAsia="仿宋_GB2312"/>
          <w:b/>
          <w:bCs/>
          <w:sz w:val="32"/>
          <w:szCs w:val="32"/>
        </w:rPr>
      </w:pPr>
    </w:p>
    <w:p>
      <w:pPr>
        <w:spacing w:line="600" w:lineRule="exact"/>
        <w:ind w:firstLine="643" w:firstLineChars="200"/>
        <w:rPr>
          <w:rFonts w:hint="eastAsia" w:ascii="仿宋_GB2312" w:eastAsia="仿宋_GB2312"/>
          <w:b/>
          <w:bCs/>
          <w:sz w:val="32"/>
          <w:szCs w:val="32"/>
        </w:rPr>
      </w:pPr>
    </w:p>
    <w:p>
      <w:pPr>
        <w:spacing w:line="600" w:lineRule="exact"/>
        <w:ind w:firstLine="643" w:firstLineChars="200"/>
        <w:rPr>
          <w:rFonts w:hint="eastAsia" w:ascii="仿宋_GB2312" w:eastAsia="仿宋_GB2312"/>
          <w:b/>
          <w:bCs/>
          <w:sz w:val="32"/>
          <w:szCs w:val="32"/>
        </w:rPr>
      </w:pPr>
    </w:p>
    <w:p>
      <w:pPr>
        <w:spacing w:line="600" w:lineRule="exact"/>
        <w:ind w:firstLine="643" w:firstLineChars="200"/>
        <w:rPr>
          <w:rFonts w:hint="eastAsia" w:ascii="仿宋_GB2312" w:eastAsia="仿宋_GB2312"/>
          <w:b/>
          <w:bCs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410845</wp:posOffset>
            </wp:positionH>
            <wp:positionV relativeFrom="paragraph">
              <wp:posOffset>-3519805</wp:posOffset>
            </wp:positionV>
            <wp:extent cx="5080000" cy="3810000"/>
            <wp:effectExtent l="4445" t="4445" r="20955" b="14605"/>
            <wp:wrapSquare wrapText="bothSides"/>
            <wp:docPr id="2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anchor>
        </w:drawing>
      </w:r>
    </w:p>
    <w:p>
      <w:pPr>
        <w:spacing w:line="600" w:lineRule="exact"/>
        <w:ind w:firstLine="643" w:firstLineChars="200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（二）依申请公开情况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2023年，</w:t>
      </w:r>
      <w:r>
        <w:rPr>
          <w:rFonts w:hint="eastAsia" w:ascii="仿宋_GB2312" w:eastAsia="仿宋_GB2312"/>
          <w:sz w:val="32"/>
          <w:szCs w:val="32"/>
          <w:lang w:eastAsia="zh-CN"/>
        </w:rPr>
        <w:t>高新区公安</w:t>
      </w:r>
      <w:r>
        <w:rPr>
          <w:rFonts w:hint="eastAsia" w:ascii="仿宋_GB2312" w:eastAsia="仿宋_GB2312"/>
          <w:sz w:val="32"/>
          <w:szCs w:val="32"/>
        </w:rPr>
        <w:t>分局</w:t>
      </w:r>
      <w:r>
        <w:rPr>
          <w:rFonts w:hint="eastAsia" w:ascii="仿宋_GB2312" w:eastAsia="仿宋_GB2312"/>
          <w:sz w:val="32"/>
          <w:szCs w:val="32"/>
          <w:lang w:eastAsia="zh-CN"/>
        </w:rPr>
        <w:t>接收依申请公开件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4件，2022年1件，2021年0件。主要内容为申请公开小区保安员信息，</w:t>
      </w:r>
      <w:r>
        <w:rPr>
          <w:rFonts w:hint="eastAsia" w:ascii="仿宋_GB2312" w:eastAsia="仿宋_GB2312"/>
          <w:sz w:val="32"/>
          <w:szCs w:val="32"/>
          <w:lang w:eastAsia="zh-CN"/>
        </w:rPr>
        <w:t>高新区公安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分局均进行及时规范办理和回复，未收取费用。</w:t>
      </w:r>
    </w:p>
    <w:p>
      <w:pPr>
        <w:spacing w:line="600" w:lineRule="exact"/>
        <w:ind w:firstLine="643" w:firstLineChars="200"/>
        <w:rPr>
          <w:rFonts w:hint="eastAsia" w:ascii="仿宋_GB2312" w:eastAsia="仿宋_GB2312"/>
          <w:b/>
          <w:bCs/>
          <w:sz w:val="32"/>
          <w:szCs w:val="32"/>
        </w:rPr>
      </w:pPr>
    </w:p>
    <w:p>
      <w:pPr>
        <w:spacing w:line="600" w:lineRule="exact"/>
        <w:ind w:firstLine="643" w:firstLineChars="200"/>
        <w:rPr>
          <w:rFonts w:hint="eastAsia" w:ascii="仿宋_GB2312" w:eastAsia="仿宋_GB2312"/>
          <w:b/>
          <w:bCs/>
          <w:sz w:val="32"/>
          <w:szCs w:val="32"/>
        </w:rPr>
      </w:pPr>
    </w:p>
    <w:p>
      <w:pPr>
        <w:spacing w:line="600" w:lineRule="exact"/>
        <w:ind w:firstLine="643" w:firstLineChars="200"/>
        <w:rPr>
          <w:rFonts w:hint="eastAsia" w:ascii="仿宋_GB2312" w:eastAsia="仿宋_GB2312"/>
          <w:b/>
          <w:bCs/>
          <w:sz w:val="32"/>
          <w:szCs w:val="32"/>
          <w:lang w:eastAsia="zh-CN"/>
        </w:rPr>
      </w:pPr>
    </w:p>
    <w:p>
      <w:pPr>
        <w:spacing w:line="600" w:lineRule="exact"/>
        <w:ind w:firstLine="643" w:firstLineChars="200"/>
        <w:rPr>
          <w:rFonts w:hint="eastAsia" w:ascii="仿宋_GB2312" w:eastAsia="仿宋_GB2312"/>
          <w:b/>
          <w:bCs/>
          <w:sz w:val="32"/>
          <w:szCs w:val="32"/>
        </w:rPr>
      </w:pPr>
    </w:p>
    <w:p>
      <w:pPr>
        <w:spacing w:line="600" w:lineRule="exact"/>
        <w:ind w:firstLine="643" w:firstLineChars="200"/>
        <w:rPr>
          <w:rFonts w:hint="eastAsia" w:ascii="仿宋_GB2312" w:eastAsia="仿宋_GB2312"/>
          <w:b/>
          <w:bCs/>
          <w:sz w:val="32"/>
          <w:szCs w:val="32"/>
        </w:rPr>
      </w:pPr>
    </w:p>
    <w:p>
      <w:pPr>
        <w:spacing w:line="600" w:lineRule="exact"/>
        <w:ind w:firstLine="643" w:firstLineChars="200"/>
        <w:rPr>
          <w:rFonts w:hint="eastAsia" w:ascii="仿宋_GB2312" w:eastAsia="仿宋_GB2312"/>
          <w:b/>
          <w:bCs/>
          <w:sz w:val="32"/>
          <w:szCs w:val="32"/>
          <w:lang w:eastAsia="zh-CN"/>
        </w:rPr>
      </w:pPr>
    </w:p>
    <w:p>
      <w:pPr>
        <w:spacing w:line="600" w:lineRule="exact"/>
        <w:ind w:firstLine="643" w:firstLineChars="200"/>
        <w:rPr>
          <w:rFonts w:hint="eastAsia" w:ascii="仿宋_GB2312" w:eastAsia="仿宋_GB2312"/>
          <w:b/>
          <w:bCs/>
          <w:sz w:val="32"/>
          <w:szCs w:val="32"/>
          <w:lang w:eastAsia="zh-CN"/>
        </w:rPr>
      </w:pPr>
    </w:p>
    <w:p>
      <w:pPr>
        <w:spacing w:line="600" w:lineRule="exact"/>
        <w:ind w:firstLine="643" w:firstLineChars="200"/>
        <w:rPr>
          <w:rFonts w:hint="eastAsia" w:ascii="仿宋_GB2312" w:eastAsia="仿宋_GB2312"/>
          <w:b/>
          <w:bCs/>
          <w:sz w:val="32"/>
          <w:szCs w:val="32"/>
        </w:rPr>
      </w:pPr>
    </w:p>
    <w:p>
      <w:pPr>
        <w:spacing w:line="600" w:lineRule="exact"/>
        <w:ind w:firstLine="643" w:firstLineChars="200"/>
        <w:rPr>
          <w:rFonts w:hint="eastAsia" w:ascii="仿宋_GB2312" w:eastAsia="仿宋_GB2312"/>
          <w:b/>
          <w:bCs/>
          <w:sz w:val="32"/>
          <w:szCs w:val="32"/>
        </w:rPr>
      </w:pPr>
    </w:p>
    <w:p>
      <w:pPr>
        <w:spacing w:line="600" w:lineRule="exact"/>
        <w:ind w:firstLine="643" w:firstLineChars="200"/>
        <w:rPr>
          <w:rFonts w:hint="eastAsia" w:ascii="仿宋_GB2312" w:eastAsia="仿宋_GB2312"/>
          <w:b/>
          <w:bCs/>
          <w:sz w:val="32"/>
          <w:szCs w:val="32"/>
        </w:rPr>
      </w:pPr>
    </w:p>
    <w:p>
      <w:pPr>
        <w:spacing w:line="600" w:lineRule="exact"/>
        <w:ind w:firstLine="643" w:firstLineChars="200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410845</wp:posOffset>
            </wp:positionH>
            <wp:positionV relativeFrom="paragraph">
              <wp:posOffset>-3519805</wp:posOffset>
            </wp:positionV>
            <wp:extent cx="5080000" cy="3810000"/>
            <wp:effectExtent l="4445" t="4445" r="20955" b="14605"/>
            <wp:wrapSquare wrapText="bothSides"/>
            <wp:docPr id="6" name="图表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anchor>
        </w:drawing>
      </w:r>
    </w:p>
    <w:p>
      <w:pPr>
        <w:spacing w:line="600" w:lineRule="exact"/>
        <w:rPr>
          <w:rFonts w:hint="eastAsia" w:ascii="仿宋_GB2312" w:eastAsia="仿宋_GB2312"/>
          <w:b/>
          <w:bCs/>
          <w:sz w:val="32"/>
          <w:szCs w:val="32"/>
        </w:rPr>
      </w:pPr>
    </w:p>
    <w:p>
      <w:pPr>
        <w:spacing w:line="600" w:lineRule="exact"/>
        <w:ind w:firstLine="643" w:firstLineChars="200"/>
        <w:rPr>
          <w:rFonts w:hint="eastAsia" w:ascii="仿宋_GB2312" w:eastAsia="仿宋_GB2312"/>
          <w:b/>
          <w:bCs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（三）政府信息管理情况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高新区公安分局按照《条例》的有关要求，建立健全信息公开的制度和机制，确定责任领导和责任人，进一步完善信息公开目录，明确信息公开范围、内容、形式，坚持依法依规做好信息公开；规范了信息发布审批流程和保密审查机制，加强信息编发和审查力度，推进高新区公安分局政府信息公开工作</w:t>
      </w:r>
      <w:r>
        <w:rPr>
          <w:rFonts w:hint="eastAsia" w:ascii="仿宋_GB2312" w:eastAsia="仿宋_GB2312"/>
          <w:sz w:val="32"/>
          <w:szCs w:val="32"/>
        </w:rPr>
        <w:t>更加规范化、制度化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spacing w:line="600" w:lineRule="exact"/>
        <w:ind w:firstLine="643" w:firstLineChars="200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（四）政府信息公开平台建设情况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高新区公安分局积极推进政府信息公开平台建设，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一是持续运维“济宁平安高新区”微信公众号，增加政务信息公开渠道。二是</w:t>
      </w:r>
      <w:r>
        <w:rPr>
          <w:rFonts w:ascii="仿宋_GB2312" w:hAnsi="Times New Roman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建立</w:t>
      </w:r>
      <w:r>
        <w:rPr>
          <w:rFonts w:hint="eastAsia" w:ascii="仿宋_GB2312" w:hAnsi="Times New Roman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三级微信矩阵群，及时推送</w:t>
      </w:r>
      <w:r>
        <w:rPr>
          <w:rFonts w:hint="default" w:ascii="仿宋_GB2312" w:hAnsi="Times New Roman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警情通报、防范提醒、好警好事等信息</w:t>
      </w:r>
      <w:r>
        <w:rPr>
          <w:rFonts w:hint="eastAsia" w:ascii="仿宋_GB2312" w:hAnsi="Times New Roman" w:eastAsia="仿宋_GB2312" w:cs="仿宋_GB2312"/>
          <w:b w:val="0"/>
          <w:i w:val="0"/>
          <w:caps w:val="0"/>
          <w:color w:val="292929"/>
          <w:spacing w:val="0"/>
          <w:sz w:val="32"/>
          <w:szCs w:val="32"/>
          <w:shd w:val="clear" w:fill="FFFFFF"/>
          <w:lang w:eastAsia="zh-CN"/>
        </w:rPr>
        <w:t>。三是在窗口打造了政务公开专区，设置电子显示屏、宣传栏、公告栏、标识牌，及时公开业务办事指南、办事程序和收费标准等内容。</w:t>
      </w:r>
    </w:p>
    <w:p>
      <w:pPr>
        <w:numPr>
          <w:ilvl w:val="0"/>
          <w:numId w:val="1"/>
        </w:numPr>
        <w:spacing w:line="600" w:lineRule="exact"/>
        <w:ind w:firstLine="643" w:firstLineChars="200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监督保障情况</w:t>
      </w:r>
    </w:p>
    <w:p>
      <w:pPr>
        <w:numPr>
          <w:ilvl w:val="0"/>
          <w:numId w:val="0"/>
        </w:numPr>
        <w:spacing w:line="600" w:lineRule="exact"/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 xml:space="preserve">    高新区公安分局积极做好对政府信息公开工作的监督指导，明确专人负责，</w:t>
      </w:r>
      <w:r>
        <w:rPr>
          <w:rFonts w:hint="eastAsia" w:ascii="仿宋_GB2312" w:eastAsia="仿宋_GB2312"/>
          <w:sz w:val="32"/>
          <w:szCs w:val="32"/>
        </w:rPr>
        <w:t>统筹协调，整体推进全局</w:t>
      </w:r>
      <w:r>
        <w:rPr>
          <w:rFonts w:hint="eastAsia" w:ascii="仿宋_GB2312" w:eastAsia="仿宋_GB2312"/>
          <w:sz w:val="32"/>
          <w:szCs w:val="32"/>
          <w:lang w:eastAsia="zh-CN"/>
        </w:rPr>
        <w:t>信息</w:t>
      </w:r>
      <w:r>
        <w:rPr>
          <w:rFonts w:hint="eastAsia" w:ascii="仿宋_GB2312" w:eastAsia="仿宋_GB2312"/>
          <w:sz w:val="32"/>
          <w:szCs w:val="32"/>
        </w:rPr>
        <w:t>公开工作。</w:t>
      </w:r>
      <w:r>
        <w:rPr>
          <w:rFonts w:hint="eastAsia" w:ascii="仿宋_GB2312" w:eastAsia="仿宋_GB2312"/>
          <w:sz w:val="32"/>
          <w:szCs w:val="32"/>
          <w:lang w:eastAsia="zh-CN"/>
        </w:rPr>
        <w:t>以</w:t>
      </w:r>
      <w:r>
        <w:rPr>
          <w:rFonts w:hint="eastAsia" w:ascii="仿宋_GB2312" w:eastAsia="仿宋_GB2312"/>
          <w:sz w:val="32"/>
          <w:szCs w:val="32"/>
        </w:rPr>
        <w:t>公开公正为原则，以群众满意为标准，明确</w:t>
      </w:r>
      <w:r>
        <w:rPr>
          <w:rFonts w:hint="eastAsia" w:ascii="仿宋_GB2312" w:eastAsia="仿宋_GB2312"/>
          <w:sz w:val="32"/>
          <w:szCs w:val="32"/>
          <w:lang w:eastAsia="zh-CN"/>
        </w:rPr>
        <w:t>信息</w:t>
      </w:r>
      <w:r>
        <w:rPr>
          <w:rFonts w:hint="eastAsia" w:ascii="仿宋_GB2312" w:eastAsia="仿宋_GB2312"/>
          <w:sz w:val="32"/>
          <w:szCs w:val="32"/>
        </w:rPr>
        <w:t>公开工作重点，细化工作措施，</w:t>
      </w:r>
      <w:r>
        <w:rPr>
          <w:rFonts w:hint="eastAsia" w:ascii="仿宋_GB2312" w:eastAsia="仿宋_GB2312"/>
          <w:sz w:val="32"/>
          <w:szCs w:val="32"/>
          <w:lang w:eastAsia="zh-CN"/>
        </w:rPr>
        <w:t>完善《信息公开指南》，</w:t>
      </w:r>
      <w:r>
        <w:rPr>
          <w:rFonts w:hint="eastAsia" w:ascii="仿宋_GB2312" w:eastAsia="仿宋_GB2312"/>
          <w:sz w:val="32"/>
          <w:szCs w:val="32"/>
        </w:rPr>
        <w:t>切实增强</w:t>
      </w:r>
      <w:r>
        <w:rPr>
          <w:rFonts w:hint="eastAsia" w:ascii="仿宋_GB2312" w:eastAsia="仿宋_GB2312"/>
          <w:sz w:val="32"/>
          <w:szCs w:val="32"/>
          <w:lang w:eastAsia="zh-CN"/>
        </w:rPr>
        <w:t>政府信息</w:t>
      </w:r>
      <w:r>
        <w:rPr>
          <w:rFonts w:hint="eastAsia" w:ascii="仿宋_GB2312" w:eastAsia="仿宋_GB2312"/>
          <w:sz w:val="32"/>
          <w:szCs w:val="32"/>
        </w:rPr>
        <w:t>公开的针对性和有效性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2"/>
        </w:numPr>
        <w:spacing w:line="600" w:lineRule="exact"/>
        <w:ind w:firstLine="643" w:firstLineChars="200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主动公开政府信息情况</w:t>
      </w:r>
    </w:p>
    <w:tbl>
      <w:tblPr>
        <w:tblStyle w:val="3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第二十条第（一）项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本年制发件数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本年废止件数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现行有效件数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规章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Calibri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行政规范性文件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Calibri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第二十条第（五）项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行政许可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Calibri"/>
                <w:color w:val="000000"/>
                <w:kern w:val="0"/>
                <w:szCs w:val="21"/>
                <w:lang w:val="en-US" w:eastAsia="zh-CN"/>
              </w:rPr>
              <w:t>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第二十条第（六）项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行政处罚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1362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行政强制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第二十条第（八）项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行政事业性收费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Calibri"/>
                <w:color w:val="000000"/>
                <w:kern w:val="0"/>
                <w:szCs w:val="21"/>
                <w:lang w:val="en-US" w:eastAsia="zh-CN"/>
              </w:rPr>
              <w:t>43.91</w:t>
            </w:r>
          </w:p>
        </w:tc>
      </w:tr>
    </w:tbl>
    <w:p>
      <w:pPr>
        <w:spacing w:line="600" w:lineRule="exact"/>
        <w:ind w:firstLine="643" w:firstLineChars="200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三、收到和处理政府信息公开申请情况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tbl>
      <w:tblPr>
        <w:tblStyle w:val="3"/>
        <w:tblW w:w="88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2"/>
        <w:gridCol w:w="2878"/>
        <w:gridCol w:w="791"/>
        <w:gridCol w:w="599"/>
        <w:gridCol w:w="590"/>
        <w:gridCol w:w="598"/>
        <w:gridCol w:w="571"/>
        <w:gridCol w:w="559"/>
        <w:gridCol w:w="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楷体" w:eastAsia="方正黑体简体" w:cs="楷体"/>
                <w:b/>
                <w:sz w:val="21"/>
                <w:szCs w:val="21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229" w:type="dxa"/>
            <w:gridSpan w:val="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</w:p>
        </w:tc>
        <w:tc>
          <w:tcPr>
            <w:tcW w:w="791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自然人</w:t>
            </w:r>
          </w:p>
        </w:tc>
        <w:tc>
          <w:tcPr>
            <w:tcW w:w="2917" w:type="dxa"/>
            <w:gridSpan w:val="5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法人或其他组织</w:t>
            </w:r>
          </w:p>
        </w:tc>
        <w:tc>
          <w:tcPr>
            <w:tcW w:w="521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791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59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商业</w:t>
            </w:r>
          </w:p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企业</w:t>
            </w:r>
          </w:p>
        </w:tc>
        <w:tc>
          <w:tcPr>
            <w:tcW w:w="59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科研</w:t>
            </w:r>
          </w:p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机构</w:t>
            </w:r>
          </w:p>
        </w:tc>
        <w:tc>
          <w:tcPr>
            <w:tcW w:w="598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社会公益组织</w:t>
            </w:r>
          </w:p>
        </w:tc>
        <w:tc>
          <w:tcPr>
            <w:tcW w:w="57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法律服务机构</w:t>
            </w:r>
          </w:p>
        </w:tc>
        <w:tc>
          <w:tcPr>
            <w:tcW w:w="55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其他</w:t>
            </w:r>
          </w:p>
        </w:tc>
        <w:tc>
          <w:tcPr>
            <w:tcW w:w="521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4588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一、本年新收政府信息公开申请数量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588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二、上年结转政府信息公开申请数量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三、本年度办理结果</w:t>
            </w:r>
          </w:p>
        </w:tc>
        <w:tc>
          <w:tcPr>
            <w:tcW w:w="3820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（一）予以公开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3820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（二）部分公开</w:t>
            </w:r>
            <w:r>
              <w:rPr>
                <w:rFonts w:hint="eastAsia" w:ascii="方正仿宋简体" w:hAnsi="楷体" w:eastAsia="方正仿宋简体" w:cs="楷体"/>
                <w:b/>
                <w:sz w:val="21"/>
                <w:szCs w:val="21"/>
                <w:lang w:bidi="ar"/>
              </w:rPr>
              <w:t>（区分处理的，只计这一情形，不计其他情形）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（三）不予公开</w:t>
            </w: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1.属于国家秘密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2.其他法律行政法规禁止公开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3.危及“三安全一稳定”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4.保护第三方合法权益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5.属于三类内部事务信息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6.属于四类过程性信息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7.属于行政执法案卷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8.属于行政查询事项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（四）无法提供</w:t>
            </w: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1.本机关不掌握相关政府信息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2.没有现成信息需要另行制作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3.补正后申请内容仍不明确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（五）不予处理</w:t>
            </w: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1.信访举报投诉类申请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2.重复申请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3.要求提供公开出版物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4.无正当理由大量反复申请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5.要求行政机关确认或重新出具已获取信息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（六）其他处理</w:t>
            </w: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3.其他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3820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（七）总计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  <w:t>4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四、结转下年度继续办理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spacing w:line="600" w:lineRule="exact"/>
        <w:rPr>
          <w:rFonts w:hint="eastAsia" w:ascii="仿宋_GB2312" w:eastAsia="仿宋_GB2312"/>
          <w:b/>
          <w:bCs/>
          <w:sz w:val="32"/>
          <w:szCs w:val="32"/>
        </w:rPr>
      </w:pPr>
    </w:p>
    <w:p>
      <w:pPr>
        <w:numPr>
          <w:ilvl w:val="0"/>
          <w:numId w:val="3"/>
        </w:numPr>
        <w:spacing w:line="600" w:lineRule="exact"/>
        <w:ind w:firstLine="643" w:firstLineChars="200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政府信息公开行政复议、行政诉讼情况</w:t>
      </w:r>
    </w:p>
    <w:tbl>
      <w:tblPr>
        <w:tblStyle w:val="3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49" w:leftChars="-71" w:right="-170" w:rightChars="-81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ind w:left="-149" w:leftChars="-71" w:right="-170" w:rightChars="-81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43" w:leftChars="-21" w:right="-132" w:rightChars="-63" w:hanging="1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82" w:leftChars="-39" w:right="-97" w:rightChars="-46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18" w:leftChars="-56" w:right="-118" w:rightChars="-56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尚未</w:t>
            </w:r>
          </w:p>
          <w:p>
            <w:pPr>
              <w:widowControl/>
              <w:ind w:left="-118" w:leftChars="-56" w:right="-118" w:rightChars="-56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总</w:t>
            </w:r>
          </w:p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05" w:leftChars="-50" w:right="-126" w:rightChars="-60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86" w:leftChars="-41" w:right="-88" w:rightChars="-42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26" w:leftChars="-60" w:right="-136" w:rightChars="-65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其他</w:t>
            </w:r>
          </w:p>
          <w:p>
            <w:pPr>
              <w:widowControl/>
              <w:ind w:left="-126" w:leftChars="-60" w:right="-136" w:rightChars="-65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64" w:leftChars="-78" w:right="-153" w:rightChars="-73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尚未</w:t>
            </w:r>
          </w:p>
          <w:p>
            <w:pPr>
              <w:widowControl/>
              <w:ind w:left="-164" w:leftChars="-78" w:right="-153" w:rightChars="-73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99" w:leftChars="-47" w:right="-78" w:rightChars="-37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36" w:leftChars="-65" w:right="-124" w:rightChars="-59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ind w:left="-136" w:leftChars="-65" w:right="-124" w:rightChars="-59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73" w:leftChars="-83" w:right="-134" w:rightChars="-64" w:hanging="1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其他</w:t>
            </w:r>
          </w:p>
          <w:p>
            <w:pPr>
              <w:widowControl/>
              <w:ind w:left="-173" w:leftChars="-83" w:right="-134" w:rightChars="-64" w:hanging="1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67" w:leftChars="-33" w:right="-105" w:rightChars="-50" w:hanging="2" w:hangingChars="1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0"/>
        </w:numPr>
        <w:spacing w:line="600" w:lineRule="exact"/>
        <w:rPr>
          <w:rFonts w:hint="eastAsia" w:ascii="仿宋_GB2312" w:eastAsia="仿宋_GB2312"/>
          <w:b/>
          <w:bCs/>
          <w:sz w:val="32"/>
          <w:szCs w:val="32"/>
        </w:rPr>
      </w:pPr>
    </w:p>
    <w:p>
      <w:pPr>
        <w:spacing w:line="600" w:lineRule="exact"/>
        <w:ind w:firstLine="643" w:firstLineChars="200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五、存在的主要问题及改进情况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2023年，高新区公安分局政府信息公开工作还存在以下短板和不足：1、主动公开意识有待增强，对政府信息公开工作的重要性认识依然不足。2、政府信息公开的规范性还有待进一步提高。存在要素不全、格式不规范等问题。3、信息公开类型及内容覆盖还不够全面，对公众关心的热点、焦点问题关注、回应不够。</w:t>
      </w:r>
    </w:p>
    <w:p>
      <w:pPr>
        <w:spacing w:line="600" w:lineRule="exact"/>
        <w:ind w:firstLine="640" w:firstLineChars="200"/>
        <w:rPr>
          <w:rFonts w:hint="default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改进措施：1、持续开展自查自纠，将自查工作作为常态工作持续开展。建立信息发布复查制度，发现问题及时进行整改。2、对国家、省、市最新政策及时了解跟进，及时增减公开内容。3、加大工作落实力度，学习好的经验做法，促进政务信息公开工作再上新台阶。</w:t>
      </w:r>
    </w:p>
    <w:p>
      <w:pPr>
        <w:spacing w:line="600" w:lineRule="exact"/>
        <w:ind w:firstLine="643" w:firstLineChars="200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六、其他需要报告的事项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（一）</w:t>
      </w:r>
      <w:r>
        <w:rPr>
          <w:rFonts w:hint="eastAsia" w:ascii="仿宋_GB2312" w:eastAsia="仿宋_GB2312"/>
          <w:color w:val="auto"/>
          <w:sz w:val="32"/>
          <w:szCs w:val="32"/>
        </w:rPr>
        <w:t>依据《政府信息公开信息处理费管理办法》收取信息处理费的情况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。2023年，高新区公安分局在开展政府信息公开工作中未收取费用。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（二）</w:t>
      </w:r>
      <w:r>
        <w:rPr>
          <w:rFonts w:hint="eastAsia" w:ascii="仿宋_GB2312" w:eastAsia="仿宋_GB2312"/>
          <w:sz w:val="32"/>
          <w:szCs w:val="32"/>
        </w:rPr>
        <w:t>本行政机关落实上级年度政务公开工作要点情况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2023年，高新区公安分局积极落实政务公开工作要点任务，健全组织领导、完善工作机制。根据人事变动情况，及时调整政务公开和政府信息公开工作领导小组，制定年度工作计划，并认真督促落实。围绕政府信息公开的重点、热点和难点问题，规范公开程序，保证公开机制充分发挥作用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（三）人大代表建议和政协提案办理结果公开情况：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2023年我部门未收到人大代表建议和政协提案。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四</w:t>
      </w:r>
      <w:r>
        <w:rPr>
          <w:rFonts w:hint="eastAsia" w:ascii="仿宋_GB2312" w:eastAsia="仿宋_GB2312"/>
          <w:sz w:val="32"/>
          <w:szCs w:val="32"/>
        </w:rPr>
        <w:t>）</w:t>
      </w:r>
      <w:r>
        <w:rPr>
          <w:rFonts w:hint="eastAsia" w:ascii="仿宋_GB2312" w:eastAsia="仿宋_GB2312"/>
          <w:sz w:val="32"/>
          <w:szCs w:val="32"/>
          <w:lang w:eastAsia="zh-CN"/>
        </w:rPr>
        <w:t>其他报告事项：无。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3A07CA"/>
    <w:multiLevelType w:val="singleLevel"/>
    <w:tmpl w:val="343A07CA"/>
    <w:lvl w:ilvl="0" w:tentative="0">
      <w:start w:val="5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36735395"/>
    <w:multiLevelType w:val="singleLevel"/>
    <w:tmpl w:val="36735395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197DEEB"/>
    <w:multiLevelType w:val="singleLevel"/>
    <w:tmpl w:val="5197DEEB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3NmRiYzY3N2YwMjBiMTQ0M2NlMWQ0YjEwYTk5ODkifQ=="/>
  </w:docVars>
  <w:rsids>
    <w:rsidRoot w:val="00000000"/>
    <w:rsid w:val="2532261D"/>
    <w:rsid w:val="34E11EBB"/>
    <w:rsid w:val="39386273"/>
    <w:rsid w:val="406B2D9D"/>
    <w:rsid w:val="40DB45C0"/>
    <w:rsid w:val="6E972301"/>
    <w:rsid w:val="7C273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eastAsia="方正小标宋简体"/>
      <w:sz w:val="36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hart" Target="charts/chart2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package" Target="../embeddings/Workbook1.xlsx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ColorStyle" Target="colors2.xml"/><Relationship Id="rId2" Type="http://schemas.microsoft.com/office/2011/relationships/chartStyle" Target="style2.xml"/><Relationship Id="rId1" Type="http://schemas.openxmlformats.org/officeDocument/2006/relationships/package" Target="../embeddings/Workbook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主动公开情况</c:v>
                </c:pt>
              </c:strCache>
            </c:strRef>
          </c:tx>
          <c:spPr/>
          <c:explosion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Lbls>
            <c:delete val="1"/>
          </c:dLbls>
          <c:cat>
            <c:strRef>
              <c:f>Sheet1!$A$2:$A$6</c:f>
              <c:strCache>
                <c:ptCount val="5"/>
                <c:pt idx="0">
                  <c:v>政府门户网站</c:v>
                </c:pt>
                <c:pt idx="1">
                  <c:v>传统媒体</c:v>
                </c:pt>
                <c:pt idx="2">
                  <c:v>政务新媒体</c:v>
                </c:pt>
                <c:pt idx="3">
                  <c:v>新闻发布会</c:v>
                </c:pt>
                <c:pt idx="4">
                  <c:v>警营开放活动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29</c:v>
                </c:pt>
                <c:pt idx="1">
                  <c:v>115</c:v>
                </c:pt>
                <c:pt idx="2">
                  <c:v>625</c:v>
                </c:pt>
                <c:pt idx="3">
                  <c:v>5</c:v>
                </c:pt>
                <c:pt idx="4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18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effectLst/>
              <a:latin typeface="+mn-lt"/>
              <a:ea typeface="+mn-ea"/>
              <a:cs typeface="+mn-cs"/>
            </a:defRPr>
          </a:pPr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各年度办件数量</c:v>
                </c:pt>
              </c:strCache>
            </c:strRef>
          </c:tx>
          <c:spPr>
            <a:gradFill>
              <a:gsLst>
                <a:gs pos="0">
                  <a:schemeClr val="accent1"/>
                </a:gs>
                <a:gs pos="100000">
                  <a:schemeClr val="accent1">
                    <a:lumMod val="84000"/>
                  </a:schemeClr>
                </a:gs>
              </a:gsLst>
              <a:lin ang="5400000" scaled="1"/>
            </a:gradFill>
            <a:ln>
              <a:noFill/>
            </a:ln>
            <a:effectLst>
              <a:outerShdw blurRad="76200" dir="18900000" sy="23000" kx="-1200000" algn="bl" rotWithShape="0">
                <a:prstClr val="black">
                  <a:alpha val="20000"/>
                </a:prst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Sheet1!$A$2:$A$4</c:f>
              <c:strCache>
                <c:ptCount val="3"/>
                <c:pt idx="0">
                  <c:v>2021年</c:v>
                </c:pt>
                <c:pt idx="1">
                  <c:v>2022年</c:v>
                </c:pt>
                <c:pt idx="2">
                  <c:v>2023年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0</c:v>
                </c:pt>
                <c:pt idx="1">
                  <c:v>1</c:v>
                </c:pt>
                <c:pt idx="2">
                  <c:v>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41"/>
        <c:overlap val="0"/>
        <c:axId val="948947449"/>
        <c:axId val="730715930"/>
      </c:barChart>
      <c:catAx>
        <c:axId val="948947449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</a:p>
        </c:txPr>
        <c:crossAx val="730715930"/>
        <c:crosses val="autoZero"/>
        <c:auto val="1"/>
        <c:lblAlgn val="ctr"/>
        <c:lblOffset val="100"/>
        <c:noMultiLvlLbl val="0"/>
      </c:catAx>
      <c:valAx>
        <c:axId val="730715930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94894744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68000">
          <a:schemeClr val="lt1">
            <a:lumMod val="85000"/>
          </a:schemeClr>
        </a:gs>
        <a:gs pos="100000">
          <a:schemeClr val="lt1"/>
        </a:gs>
      </a:gsLst>
      <a:lin ang="5400000" scaled="1"/>
    </a:gra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04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>
      <a:effectLst/>
    </cs:defRPr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68000">
            <a:schemeClr val="lt1">
              <a:lumMod val="85000"/>
            </a:schemeClr>
          </a:gs>
          <a:gs pos="100000">
            <a:schemeClr val="lt1"/>
          </a:gs>
        </a:gsLst>
        <a:lin ang="5400000" scaled="1"/>
      </a:gra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lt1"/>
    </cs:fontRef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gradFill>
          <a:gsLst>
            <a:gs pos="0">
              <a:schemeClr val="phClr"/>
            </a:gs>
            <a:gs pos="100000">
              <a:schemeClr val="phClr">
                <a:lumMod val="84000"/>
              </a:schemeClr>
            </a:gs>
          </a:gsLst>
          <a:lin ang="5400000" scaled="1"/>
        </a:gra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>
        <a:solidFill>
          <a:schemeClr val="dk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35000"/>
          <a:lumOff val="65000"/>
        </a:schemeClr>
      </a:solidFill>
      <a:ln w="9525">
        <a:solidFill>
          <a:schemeClr val="dk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dk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kern="1200">
      <a:effectLst/>
    </cs:defRPr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ln w="9525">
        <a:solidFill>
          <a:schemeClr val="dk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2024-01-18T01:19:00Z</dcterms:created>
  <dc:creator>lenovo</dc:creator>
  <cp:lastModifiedBy>Administrator</cp:lastModifiedBy>
  <dcterms:modified xsi:type="dcterms:W3CDTF">2024-03-01T03:25:19Z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3CBD37D56FA24F58A6FB64503A94E623_13</vt:lpwstr>
  </property>
</Properties>
</file>