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b/>
          <w:bCs/>
          <w:color w:val="000000" w:themeColor="text1"/>
          <w:kern w:val="21"/>
          <w:sz w:val="44"/>
          <w:szCs w:val="44"/>
          <w14:textFill>
            <w14:solidFill>
              <w14:schemeClr w14:val="tx1"/>
            </w14:solidFill>
          </w14:textFill>
        </w:rPr>
      </w:pPr>
      <w:bookmarkStart w:id="0" w:name="_Toc120973237"/>
      <w:bookmarkStart w:id="1" w:name="_Toc120973236"/>
      <w:bookmarkStart w:id="2" w:name="_Toc29446"/>
      <w:r>
        <w:rPr>
          <w:rFonts w:hint="eastAsia" w:ascii="方正小标宋简体" w:hAnsi="方正小标宋简体" w:eastAsia="方正小标宋简体" w:cs="方正小标宋简体"/>
          <w:b/>
          <w:bCs/>
          <w:color w:val="000000" w:themeColor="text1"/>
          <w:kern w:val="21"/>
          <w:sz w:val="44"/>
          <w:szCs w:val="44"/>
          <w14:textFill>
            <w14:solidFill>
              <w14:schemeClr w14:val="tx1"/>
            </w14:solidFill>
          </w14:textFill>
        </w:rPr>
        <w:t>济宁高新区畜禽养殖污染防治规划</w:t>
      </w:r>
    </w:p>
    <w:p>
      <w:pPr>
        <w:spacing w:line="560" w:lineRule="exact"/>
        <w:jc w:val="center"/>
        <w:rPr>
          <w:rFonts w:ascii="方正小标宋简体" w:hAnsi="方正小标宋简体" w:eastAsia="方正小标宋简体" w:cs="方正小标宋简体"/>
          <w:b/>
          <w:bCs/>
          <w:color w:val="000000" w:themeColor="text1"/>
          <w:kern w:val="21"/>
          <w:sz w:val="44"/>
          <w:szCs w:val="44"/>
          <w14:textFill>
            <w14:solidFill>
              <w14:schemeClr w14:val="tx1"/>
            </w14:solidFill>
          </w14:textFill>
        </w:rPr>
      </w:pPr>
      <w:r>
        <w:rPr>
          <w:rFonts w:hint="eastAsia" w:ascii="方正小标宋简体" w:hAnsi="方正小标宋简体" w:eastAsia="方正小标宋简体" w:cs="方正小标宋简体"/>
          <w:b/>
          <w:bCs/>
          <w:color w:val="000000" w:themeColor="text1"/>
          <w:kern w:val="21"/>
          <w:sz w:val="44"/>
          <w:szCs w:val="44"/>
          <w14:textFill>
            <w14:solidFill>
              <w14:schemeClr w14:val="tx1"/>
            </w14:solidFill>
          </w14:textFill>
        </w:rPr>
        <w:t>（2021—2025年）</w:t>
      </w:r>
    </w:p>
    <w:p>
      <w:pPr>
        <w:pStyle w:val="2"/>
        <w:keepNext w:val="0"/>
        <w:keepLines w:val="0"/>
        <w:spacing w:beforeLines="0" w:afterLines="0" w:line="560" w:lineRule="exact"/>
        <w:rPr>
          <w:rFonts w:ascii="方正小标宋简体" w:hAnsi="方正小标宋简体" w:eastAsia="方正小标宋简体" w:cs="方正小标宋简体"/>
          <w:color w:val="000000" w:themeColor="text1"/>
          <w:kern w:val="21"/>
          <w:sz w:val="36"/>
          <w:szCs w:val="36"/>
          <w14:textFill>
            <w14:solidFill>
              <w14:schemeClr w14:val="tx1"/>
            </w14:solidFill>
          </w14:textFill>
        </w:rPr>
      </w:pPr>
      <w:bookmarkStart w:id="90" w:name="_GoBack"/>
      <w:bookmarkEnd w:id="90"/>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hint="eastAsia" w:ascii="方正小标宋简体" w:hAnsi="方正小标宋简体" w:eastAsia="方正小标宋简体" w:cs="方正小标宋简体"/>
          <w:b/>
          <w:bCs/>
          <w:color w:val="000000" w:themeColor="text1"/>
          <w:kern w:val="21"/>
          <w:sz w:val="32"/>
          <w:szCs w:val="32"/>
          <w14:textFill>
            <w14:solidFill>
              <w14:schemeClr w14:val="tx1"/>
            </w14:solidFill>
          </w14:textFill>
        </w:rPr>
        <w:t>第一章  总  则</w:t>
      </w:r>
      <w:bookmarkEnd w:id="0"/>
    </w:p>
    <w:p>
      <w:pPr>
        <w:spacing w:line="560" w:lineRule="exact"/>
        <w:ind w:firstLine="643" w:firstLineChars="200"/>
        <w:rPr>
          <w:rFonts w:eastAsia="仿宋_GB2312" w:cs="宋体"/>
          <w:b/>
          <w:bCs/>
          <w:color w:val="000000" w:themeColor="text1"/>
          <w:kern w:val="21"/>
          <w:sz w:val="32"/>
          <w:szCs w:val="32"/>
          <w14:textFill>
            <w14:solidFill>
              <w14:schemeClr w14:val="tx1"/>
            </w14:solidFill>
          </w14:textFill>
        </w:rPr>
      </w:pPr>
      <w:bookmarkStart w:id="3" w:name="_Toc31809"/>
      <w:bookmarkStart w:id="4" w:name="_Toc99132317"/>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一、编制背景</w:t>
      </w:r>
      <w:bookmarkEnd w:id="3"/>
      <w:bookmarkEnd w:id="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为贯彻落实《中华人民共和国环境保护法》《中华人民共和国畜牧法》《畜禽规模养殖污染防治条例》，推进畜禽养殖污染防治，引导畜牧业绿色发展，保护和改善生态环境，保障人民群众身体健康，根据《畜禽养殖污染防治规划编制指南（试行）》《济宁市畜禽养殖污染防治规划》（</w:t>
      </w:r>
      <w:r>
        <w:rPr>
          <w:rFonts w:hint="eastAsia" w:eastAsia="方正仿宋简体"/>
          <w:b/>
          <w:bCs/>
          <w:color w:val="000000" w:themeColor="text1"/>
          <w:kern w:val="21"/>
          <w:sz w:val="32"/>
          <w:szCs w:val="32"/>
          <w14:textFill>
            <w14:solidFill>
              <w14:schemeClr w14:val="tx1"/>
            </w14:solidFill>
          </w14:textFill>
        </w:rPr>
        <w:t>济政字〔2023〕18</w:t>
      </w:r>
      <w:r>
        <w:rPr>
          <w:rFonts w:hint="eastAsia" w:ascii="方正仿宋简体" w:hAnsi="方正仿宋简体" w:eastAsia="方正仿宋简体" w:cs="方正仿宋简体"/>
          <w:b/>
          <w:kern w:val="21"/>
          <w:sz w:val="32"/>
          <w:szCs w:val="32"/>
        </w:rPr>
        <w:t>号</w:t>
      </w:r>
      <w:r>
        <w:rPr>
          <w:rFonts w:eastAsia="方正仿宋简体"/>
          <w:b/>
          <w:bCs/>
          <w:color w:val="000000" w:themeColor="text1"/>
          <w:kern w:val="21"/>
          <w:sz w:val="32"/>
          <w:szCs w:val="32"/>
          <w14:textFill>
            <w14:solidFill>
              <w14:schemeClr w14:val="tx1"/>
            </w14:solidFill>
          </w14:textFill>
        </w:rPr>
        <w:t>），结合高新区已划定的禁养区方案，紧紧围绕</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推进畜禽粪污无害化处理和资源化利用，促进农业可持续发展，改善农村居民生产生活环境</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加快构建种养结合、农牧循环的可持续发展新格局</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的基本目标，通过与生态环境保护、畜牧业发展等相关规划充分衔接，在现场调研、实地考察、广泛收集资料和充分征求各方意见的基础上，编制《</w:t>
      </w:r>
      <w:r>
        <w:rPr>
          <w:rFonts w:hint="eastAsia" w:eastAsia="方正仿宋简体"/>
          <w:b/>
          <w:bCs/>
          <w:color w:val="000000" w:themeColor="text1"/>
          <w:kern w:val="21"/>
          <w:sz w:val="32"/>
          <w:szCs w:val="32"/>
          <w14:textFill>
            <w14:solidFill>
              <w14:schemeClr w14:val="tx1"/>
            </w14:solidFill>
          </w14:textFill>
        </w:rPr>
        <w:t>济宁</w:t>
      </w:r>
      <w:r>
        <w:rPr>
          <w:rFonts w:eastAsia="方正仿宋简体"/>
          <w:b/>
          <w:bCs/>
          <w:color w:val="000000" w:themeColor="text1"/>
          <w:kern w:val="21"/>
          <w:sz w:val="32"/>
          <w:szCs w:val="32"/>
          <w14:textFill>
            <w14:solidFill>
              <w14:schemeClr w14:val="tx1"/>
            </w14:solidFill>
          </w14:textFill>
        </w:rPr>
        <w:t>高新区畜禽养殖污染防治规划（2021</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2025年）》。</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5" w:name="_Toc28663"/>
      <w:r>
        <w:rPr>
          <w:rFonts w:eastAsia="方正黑体简体"/>
          <w:b/>
          <w:bCs/>
          <w:color w:val="000000" w:themeColor="text1"/>
          <w:kern w:val="21"/>
          <w:sz w:val="32"/>
          <w:szCs w:val="32"/>
          <w14:textFill>
            <w14:solidFill>
              <w14:schemeClr w14:val="tx1"/>
            </w14:solidFill>
          </w14:textFill>
        </w:rPr>
        <w:t>二、指导思想</w:t>
      </w:r>
      <w:bookmarkEnd w:id="5"/>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6" w:name="_Toc881"/>
      <w:r>
        <w:rPr>
          <w:rFonts w:eastAsia="方正仿宋简体"/>
          <w:b/>
          <w:bCs/>
          <w:color w:val="000000" w:themeColor="text1"/>
          <w:kern w:val="21"/>
          <w:sz w:val="32"/>
          <w:szCs w:val="32"/>
          <w14:textFill>
            <w14:solidFill>
              <w14:schemeClr w14:val="tx1"/>
            </w14:solidFill>
          </w14:textFill>
        </w:rPr>
        <w:t>坚持以习近平新时代中国特色社会主义思想为指导，深入践行习近平生态文明思想，认真贯彻党的十九大和十九届历次全会精神以及中央农村工作会议精神，全面以国家和地方环境保护法律、法规为依据，以优化畜禽养殖产业布局、控制农业面源污染、保障生态环境安全为目的，以统筹兼顾、科学可行、依法合规、以人为本为基本原则，综合考虑全区区域主体功能定位及生态功能重要性，正确处理发展和保护的关系，切实加强环境监管，促进环境保护和畜牧业协调发展。</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三、编制依据</w:t>
      </w:r>
      <w:bookmarkEnd w:id="6"/>
    </w:p>
    <w:p>
      <w:pPr>
        <w:spacing w:line="560" w:lineRule="exact"/>
        <w:ind w:firstLine="640" w:firstLineChars="200"/>
        <w:rPr>
          <w:rFonts w:eastAsia="方正楷体_GBK"/>
          <w:b/>
          <w:bCs/>
          <w:color w:val="000000" w:themeColor="text1"/>
          <w:kern w:val="21"/>
          <w:sz w:val="32"/>
          <w:szCs w:val="32"/>
          <w14:textFill>
            <w14:solidFill>
              <w14:schemeClr w14:val="tx1"/>
            </w14:solidFill>
          </w14:textFill>
        </w:rPr>
      </w:pPr>
      <w:bookmarkStart w:id="7" w:name="_Toc23908"/>
      <w:r>
        <w:rPr>
          <w:rFonts w:eastAsia="方正楷体_GBK"/>
          <w:b/>
          <w:bCs/>
          <w:color w:val="000000" w:themeColor="text1"/>
          <w:kern w:val="21"/>
          <w:sz w:val="32"/>
          <w:szCs w:val="32"/>
          <w14:textFill>
            <w14:solidFill>
              <w14:schemeClr w14:val="tx1"/>
            </w14:solidFill>
          </w14:textFill>
        </w:rPr>
        <w:t>（一）法律法规</w:t>
      </w:r>
      <w:bookmarkEnd w:id="7"/>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（1）《中华人民共和国环境保护法》（2014年修订）；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（2）《中华人民共和国大气污染防治法》（2018年修订）；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（3）《中华人民共和国水污染防治法》（2017年修订）；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（4）《中华人民共和国土壤污染防治法》（2018年）；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（5）《中华人民共和国固</w:t>
      </w:r>
      <w:bookmarkStart w:id="8" w:name="_Hlt118053243"/>
      <w:bookmarkStart w:id="9" w:name="_Hlt118053242"/>
      <w:r>
        <w:rPr>
          <w:rFonts w:eastAsia="方正仿宋简体"/>
          <w:b/>
          <w:bCs/>
          <w:color w:val="000000" w:themeColor="text1"/>
          <w:kern w:val="21"/>
          <w:sz w:val="32"/>
          <w:szCs w:val="32"/>
          <w14:textFill>
            <w14:solidFill>
              <w14:schemeClr w14:val="tx1"/>
            </w14:solidFill>
          </w14:textFill>
        </w:rPr>
        <w:t>体</w:t>
      </w:r>
      <w:bookmarkEnd w:id="8"/>
      <w:bookmarkEnd w:id="9"/>
      <w:r>
        <w:rPr>
          <w:rFonts w:eastAsia="方正仿宋简体"/>
          <w:b/>
          <w:bCs/>
          <w:color w:val="000000" w:themeColor="text1"/>
          <w:kern w:val="21"/>
          <w:sz w:val="32"/>
          <w:szCs w:val="32"/>
          <w14:textFill>
            <w14:solidFill>
              <w14:schemeClr w14:val="tx1"/>
            </w14:solidFill>
          </w14:textFill>
        </w:rPr>
        <w:t>废物污染环境防治法》（2020年修订）；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（6）《中华人民共和国农业法》（2012年修正）；</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（7）《中华人民共和国畜牧法》（2015年修正）；</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（8）《畜禽规模养殖污染防治条例》（国务院令第643号）；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（9）《山东省畜禽养殖管理办法》（2021年修订）；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（10）《山东省环境保护条例》（2018年修订）；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（11）《山东省水污染防治条例》（2018年）；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（12）《山东省大气污染防治条例》（2018年）；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（13）《济宁市大气污染防治条例》（2017年）；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（14）《济宁市水环境保护条例》（2021年）。</w:t>
      </w:r>
    </w:p>
    <w:p>
      <w:pPr>
        <w:spacing w:line="560" w:lineRule="exact"/>
        <w:ind w:firstLine="640" w:firstLineChars="200"/>
        <w:rPr>
          <w:rFonts w:eastAsia="方正楷体_GBK"/>
          <w:b/>
          <w:bCs/>
          <w:color w:val="000000" w:themeColor="text1"/>
          <w:kern w:val="21"/>
          <w:sz w:val="32"/>
          <w:szCs w:val="32"/>
          <w14:textFill>
            <w14:solidFill>
              <w14:schemeClr w14:val="tx1"/>
            </w14:solidFill>
          </w14:textFill>
        </w:rPr>
      </w:pPr>
      <w:bookmarkStart w:id="10" w:name="_Toc12760"/>
      <w:r>
        <w:rPr>
          <w:rFonts w:eastAsia="方正楷体_GBK"/>
          <w:b/>
          <w:bCs/>
          <w:color w:val="000000" w:themeColor="text1"/>
          <w:kern w:val="21"/>
          <w:sz w:val="32"/>
          <w:szCs w:val="32"/>
          <w14:textFill>
            <w14:solidFill>
              <w14:schemeClr w14:val="tx1"/>
            </w14:solidFill>
          </w14:textFill>
        </w:rPr>
        <w:t>（二）标准规范</w:t>
      </w:r>
      <w:bookmarkEnd w:id="10"/>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（1）《农田灌溉水质标准》（GB 5084）；</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（2）《畜禽养殖污水采样技术规范》（GB/T 27522）；</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（3）《土壤环境质量</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农用地土壤污染风险管控标准（试行）》（GB 15618）；</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（4）《畜禽养殖业污染物排放标准》（GB 18596）；</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（5）《畜禽粪便监测技术规范》（GB/T 25169）；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（6）《畜禽粪便还田技术规范》（GB/T 25246）；</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（7）《畜禽养殖污水贮存设施设计要求》（GB/T 26624）；</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（8）《畜禽粪便贮存设施设计要求》（GB/T 27622）；</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（9）《畜禽粪便无害化处理技术规范》（GB/T 36195）；</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（10）《畜禽养殖业污染治理工程技术规范》（HJ 497）；</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（11）《排污许可证申请与核发技术规范 畜禽养殖行业》（HJ 1029）；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（12）《畜禽养殖业污染防治技术规范》（HJ/T 81）；</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（13）《畜禽场环境污染控制技术规范》（NY/T 1169）；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（14）《沼肥施用技术规范》（NY/T 2065）；</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（15）《畜禽粪便堆肥技术规范》（NY/T3442）。</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11" w:name="_Toc28486"/>
      <w:r>
        <w:rPr>
          <w:rFonts w:eastAsia="方正楷体简体"/>
          <w:b/>
          <w:bCs/>
          <w:color w:val="000000" w:themeColor="text1"/>
          <w:kern w:val="21"/>
          <w:sz w:val="32"/>
          <w:szCs w:val="32"/>
          <w14:textFill>
            <w14:solidFill>
              <w14:schemeClr w14:val="tx1"/>
            </w14:solidFill>
          </w14:textFill>
        </w:rPr>
        <w:t>（三）政策、规划及相关文件</w:t>
      </w:r>
      <w:bookmarkEnd w:id="11"/>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（1）《国务院办公厅关于加快推进畜禽养殖废弃物资源化利用的意见》（国办发〔2017〕48号）；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（2）《畜禽粪污土地承载力测算技术指南》（农办牧〔2018〕1号）；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（3）《畜禽规模养殖场粪污资源化利用设施建设规范（试行）》（农办牧〔2018〕2号）；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（4）《关于促进畜禽粪污还田利用依法加强养殖污染治理的指导意见》（农办牧〔2019〕84号）；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（5）《关于进一步规范畜禽养殖禁养区划定和管理 促进生猪生产发展的通知》（环办土壤〔2019〕55号）；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（6）《关于进一步明确畜禽粪污还田利用要求强化养殖污染监管的通知》（农办牧〔2020〕23号）；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（7）《关于进一步规范畜禽养殖禁养区管理的通知》（环办土壤函〔2020〕33号）；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（8）《关于开展水环境承载力评价工作的通知》（环办水体函〔2020〕538号）；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（9）《农业面源污染治理与监督指导实施方案（试行）》（环办土壤〔2021〕8号）；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（10）《畜禽养殖污染防治规划编制指南（试行）》（环办土壤函〔2021〕465号）；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（11）《山东省规模以下畜禽养殖污染防治和粪污资源化利用技术指南》（2021年）；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（12）《关于印发山东省农业面源污染治理与监督指导实施方案（试行）的通知》（鲁环发〔2022〕6号）；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（13）《关于加强畜禽粪污资源化利用计划和台账管理的通知》（鲁牧畜发〔2022〕7号）；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（14）《推动黄河流域生态保护和高质量发展行动方案》（鲁牧计财发〔2022〕4号）；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（15）《山东省</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十四五</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畜禽养殖污染防治行动方案》（鲁环发〔2022〕16号）；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（16）《南四湖流域水污染综合整治三年行动方案（2021—2023年）》（鲁环发〔2021〕4号）；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（17）《济宁市</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十四五</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生态环境保护规划》（济政字〔2021〕90号）；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（18）《济宁市南四湖流域畜禽养殖粪污处置及资源化利用实施方案》（济牧发字〔2021〕29号）；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（19）《济宁市生猪产能调控实施方案》（济牧发字〔2022〕7号）；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（20）《散养户污染治理和粪污资源化利用规范》的通知（济牧发字〔2022〕15号）；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（21）《济宁高新技术产业开发区管理委员会办公室关于印发《济宁高新区畜禽养殖禁养区优化方案》的通知》（济高新管办发〔2020〕2号）；</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12" w:name="_Toc8589"/>
      <w:r>
        <w:rPr>
          <w:rFonts w:eastAsia="方正黑体简体"/>
          <w:b/>
          <w:bCs/>
          <w:color w:val="000000" w:themeColor="text1"/>
          <w:kern w:val="21"/>
          <w:sz w:val="32"/>
          <w:szCs w:val="32"/>
          <w14:textFill>
            <w14:solidFill>
              <w14:schemeClr w14:val="tx1"/>
            </w14:solidFill>
          </w14:textFill>
        </w:rPr>
        <w:t>四、基本原则</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1. 统筹兼顾，有序推进。</w:t>
      </w:r>
      <w:r>
        <w:rPr>
          <w:rFonts w:eastAsia="方正仿宋简体"/>
          <w:b/>
          <w:bCs/>
          <w:color w:val="000000" w:themeColor="text1"/>
          <w:kern w:val="21"/>
          <w:sz w:val="32"/>
          <w:szCs w:val="32"/>
          <w14:textFill>
            <w14:solidFill>
              <w14:schemeClr w14:val="tx1"/>
            </w14:solidFill>
          </w14:textFill>
        </w:rPr>
        <w:t>综合考虑畜禽粪污环境承载力、畜牧业发展需求、农业产业特征和经济发展状况等因素，科学规划畜禽养殖总量和空间布局，统筹推进畜牧业发展和环境保护，加快畜牧业转型升级和绿色发展。</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2. 种养结合、协同减排。</w:t>
      </w:r>
      <w:r>
        <w:rPr>
          <w:rFonts w:eastAsia="方正仿宋简体"/>
          <w:b/>
          <w:bCs/>
          <w:color w:val="000000" w:themeColor="text1"/>
          <w:kern w:val="21"/>
          <w:sz w:val="32"/>
          <w:szCs w:val="32"/>
          <w14:textFill>
            <w14:solidFill>
              <w14:schemeClr w14:val="tx1"/>
            </w14:solidFill>
          </w14:textFill>
        </w:rPr>
        <w:t>以养分平衡为核心，通过优化种养布局，协同推进畜禽粪肥还田与化肥减量增效。结合种植规模和结构，科学测算养分需求，优化肥料结构与施肥方式，削减养殖业和种植业污染负荷，促进农业面源污染防治。</w:t>
      </w:r>
    </w:p>
    <w:p>
      <w:pPr>
        <w:spacing w:line="560" w:lineRule="exact"/>
        <w:ind w:firstLine="643" w:firstLineChars="200"/>
        <w:rPr>
          <w:rFonts w:eastAsia="仿宋_GB2312"/>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3. 因地制宜、分区施策。</w:t>
      </w:r>
      <w:r>
        <w:rPr>
          <w:rFonts w:eastAsia="方正仿宋简体"/>
          <w:b/>
          <w:bCs/>
          <w:color w:val="000000" w:themeColor="text1"/>
          <w:kern w:val="21"/>
          <w:sz w:val="32"/>
          <w:szCs w:val="32"/>
          <w14:textFill>
            <w14:solidFill>
              <w14:schemeClr w14:val="tx1"/>
            </w14:solidFill>
          </w14:textFill>
        </w:rPr>
        <w:t>统筹考虑自然环境、畜禽养殖类型、空间布局，种植规模、畜禽结构、耕地质量、环境承载力等因素，因地制宜、分区分类探索经济实用的粪污肥料化、能源化、基质化等资源化利用模式，鼓励全量收集和清洁高效利</w:t>
      </w:r>
      <w:r>
        <w:rPr>
          <w:rFonts w:eastAsia="仿宋_GB2312"/>
          <w:b/>
          <w:bCs/>
          <w:color w:val="000000" w:themeColor="text1"/>
          <w:kern w:val="21"/>
          <w:sz w:val="32"/>
          <w:szCs w:val="32"/>
          <w14:textFill>
            <w14:solidFill>
              <w14:schemeClr w14:val="tx1"/>
            </w14:solidFill>
          </w14:textFill>
        </w:rPr>
        <w:t>用。</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4. 政府主导、多方联动。</w:t>
      </w:r>
      <w:r>
        <w:rPr>
          <w:rFonts w:eastAsia="方正仿宋简体"/>
          <w:b/>
          <w:bCs/>
          <w:color w:val="000000" w:themeColor="text1"/>
          <w:kern w:val="21"/>
          <w:sz w:val="32"/>
          <w:szCs w:val="32"/>
          <w14:textFill>
            <w14:solidFill>
              <w14:schemeClr w14:val="tx1"/>
            </w14:solidFill>
          </w14:textFill>
        </w:rPr>
        <w:t>完善多方协调联动机制，强化地方政府主导、企业主体、社会组织和公众共同参与的畜禽养殖污染防治体系。拓宽投融资渠道，加大对畜禽养殖污染防治的扶持力度，推动第三方治理等社会化运营模式健康发展。</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五、《规划》期限和范围</w:t>
      </w:r>
      <w:bookmarkEnd w:id="12"/>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规划期限：2021</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2025年。规划基准年为2020年。</w:t>
      </w:r>
    </w:p>
    <w:p>
      <w:pPr>
        <w:spacing w:line="560" w:lineRule="exact"/>
        <w:ind w:firstLine="643" w:firstLineChars="200"/>
        <w:rPr>
          <w:rFonts w:eastAsia="仿宋_GB2312"/>
          <w:b/>
          <w:bCs/>
          <w:color w:val="000000" w:themeColor="text1"/>
          <w:kern w:val="21"/>
          <w:sz w:val="32"/>
          <w:szCs w:val="36"/>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规划范围：济宁高新区全域，包括河街道、柳行街道、黄屯街道、王因街道、接庄街道，共5个街道办事处，总面积255平方公里。</w:t>
      </w:r>
    </w:p>
    <w:p>
      <w:pPr>
        <w:pStyle w:val="2"/>
        <w:keepNext w:val="0"/>
        <w:keepLines w:val="0"/>
        <w:spacing w:beforeLines="0" w:afterLines="0" w:line="560" w:lineRule="exact"/>
        <w:rPr>
          <w:rFonts w:eastAsia="方正小标宋简体"/>
          <w:color w:val="000000" w:themeColor="text1"/>
          <w:kern w:val="21"/>
          <w14:textFill>
            <w14:solidFill>
              <w14:schemeClr w14:val="tx1"/>
            </w14:solidFill>
          </w14:textFill>
        </w:rPr>
      </w:pPr>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第二章  区域概况</w:t>
      </w:r>
      <w:bookmarkEnd w:id="1"/>
      <w:bookmarkEnd w:id="2"/>
    </w:p>
    <w:p>
      <w:pPr>
        <w:spacing w:line="560" w:lineRule="exact"/>
        <w:ind w:firstLine="643" w:firstLineChars="200"/>
        <w:rPr>
          <w:rFonts w:eastAsia="仿宋_GB2312"/>
          <w:b/>
          <w:bCs/>
          <w:color w:val="000000" w:themeColor="text1"/>
          <w:kern w:val="21"/>
          <w:sz w:val="32"/>
          <w:szCs w:val="32"/>
          <w14:textFill>
            <w14:solidFill>
              <w14:schemeClr w14:val="tx1"/>
            </w14:solidFill>
          </w14:textFill>
        </w:rPr>
      </w:pPr>
      <w:bookmarkStart w:id="13" w:name="_Toc27630"/>
      <w:bookmarkStart w:id="14" w:name="_Toc99132333"/>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一、地理位置</w:t>
      </w:r>
      <w:bookmarkEnd w:id="13"/>
      <w:bookmarkEnd w:id="14"/>
    </w:p>
    <w:p>
      <w:pPr>
        <w:pStyle w:val="19"/>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15" w:name="_Toc99132334"/>
      <w:bookmarkStart w:id="16" w:name="_Toc24431"/>
      <w:r>
        <w:rPr>
          <w:rFonts w:eastAsia="方正仿宋简体"/>
          <w:b/>
          <w:bCs/>
          <w:color w:val="000000" w:themeColor="text1"/>
          <w:kern w:val="21"/>
          <w:sz w:val="32"/>
          <w:szCs w:val="32"/>
          <w14:textFill>
            <w14:solidFill>
              <w14:schemeClr w14:val="tx1"/>
            </w14:solidFill>
          </w14:textFill>
        </w:rPr>
        <w:t>济宁高新区位于济宁市区东北部，处于</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济兖邹曲都市圈</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内，东起泗河，西至琵琶山路（任城区），南起太白湖新区石桥镇，北至兖州区，全区总面积255km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辖洸河、柳行、黄屯、王因、接庄五个街道。日菏铁路、327国道、济微公路自高新区通过，日东高速公路自高新区北部穿越，对外交通便捷。随着崇文大道、京沪高速铁路、兖石铁路复线建成通车，高新区对外交通优势和区位优势将更加明显。山东省济宁高新技术产业开发区是1992年省政府批准的省级高新技术产业开发区，2009年底升级为国家级高新技术产业开发区。目前已形成工程机械、生物医药、新材料、数字经济等重点产业为代表的集群框架。</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二、自然气候条件</w:t>
      </w:r>
      <w:bookmarkEnd w:id="15"/>
      <w:bookmarkEnd w:id="16"/>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17" w:name="_Toc99132336"/>
      <w:bookmarkStart w:id="18" w:name="_Toc18352"/>
      <w:r>
        <w:rPr>
          <w:rFonts w:eastAsia="方正楷体简体"/>
          <w:b/>
          <w:bCs/>
          <w:color w:val="000000" w:themeColor="text1"/>
          <w:kern w:val="21"/>
          <w:sz w:val="32"/>
          <w:szCs w:val="32"/>
          <w14:textFill>
            <w14:solidFill>
              <w14:schemeClr w14:val="tx1"/>
            </w14:solidFill>
          </w14:textFill>
        </w:rPr>
        <w:t>（一）气候特征</w:t>
      </w:r>
      <w:bookmarkEnd w:id="17"/>
      <w:bookmarkEnd w:id="18"/>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济宁高新区属暖温带季风型大陆性气候，气候温和，四季分明。多年平均气温14.8℃左右，最高气温40.6℃，最低气温</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19.4℃，最早冻结期为12月，最迟冻结期为次年3月，最大冻土深度为0.37m，最大积雪0.15m，无霜期200天以上，多年平均降水量为701.7mm，最大降水量1088mm，日最大降水量189.4mm，雨季集中在6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9月份。年日照时数历年平均2500小时左右，日照率55</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60%。水汽来源主要是西太平洋低纬度带暖湿气团的侵入、台风倒槽及东风波输送的大量水汽。该地区春夏季多南风及东南风，冬季多北风及西北风，常年主导风向为东南</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SE</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风，年出现频率为12.48%。</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19" w:name="_Toc28235"/>
      <w:bookmarkStart w:id="20" w:name="_Toc99132337"/>
      <w:r>
        <w:rPr>
          <w:rFonts w:eastAsia="方正楷体简体"/>
          <w:b/>
          <w:bCs/>
          <w:color w:val="000000" w:themeColor="text1"/>
          <w:kern w:val="21"/>
          <w:sz w:val="32"/>
          <w:szCs w:val="32"/>
          <w14:textFill>
            <w14:solidFill>
              <w14:schemeClr w14:val="tx1"/>
            </w14:solidFill>
          </w14:textFill>
        </w:rPr>
        <w:t>（二）水系分布</w:t>
      </w:r>
      <w:bookmarkEnd w:id="19"/>
      <w:bookmarkEnd w:id="20"/>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市属于淮河流域，境内地表水系较发达，全市有河流91条，济宁高新区主要河流有京杭运河、泗河、洸府河、蓼沟河、泥沟河、杨家河等，均属季节性河流。济宁高新区辖区涉及到的河流主要有泗河、洸府河两条主干河道，蓼河、杨家河、泥沟河、小新河四条支流。境内河流总长77.25km，济宁高新区河流水系分布见图。</w:t>
      </w:r>
    </w:p>
    <w:p>
      <w:pPr>
        <w:spacing w:line="560" w:lineRule="exact"/>
        <w:jc w:val="center"/>
        <w:rPr>
          <w:rFonts w:eastAsia="方正楷体简体"/>
          <w:b/>
          <w:bCs/>
          <w:color w:val="000000" w:themeColor="text1"/>
          <w:kern w:val="21"/>
          <w:sz w:val="32"/>
          <w:szCs w:val="32"/>
          <w14:textFill>
            <w14:solidFill>
              <w14:schemeClr w14:val="tx1"/>
            </w14:solidFill>
          </w14:textFill>
        </w:rPr>
      </w:pPr>
      <w:r>
        <w:rPr>
          <w:rFonts w:eastAsia="仿宋_GB2312"/>
          <w:b/>
          <w:bCs/>
          <w:color w:val="000000" w:themeColor="text1"/>
          <w:kern w:val="21"/>
          <w:sz w:val="32"/>
          <w:szCs w:val="32"/>
          <w14:textFill>
            <w14:solidFill>
              <w14:schemeClr w14:val="tx1"/>
            </w14:solidFill>
          </w14:textFill>
        </w:rPr>
        <w:drawing>
          <wp:anchor distT="0" distB="0" distL="114300" distR="114300" simplePos="0" relativeHeight="251665408" behindDoc="0" locked="0" layoutInCell="1" allowOverlap="1">
            <wp:simplePos x="0" y="0"/>
            <wp:positionH relativeFrom="column">
              <wp:posOffset>1397000</wp:posOffset>
            </wp:positionH>
            <wp:positionV relativeFrom="paragraph">
              <wp:posOffset>3175</wp:posOffset>
            </wp:positionV>
            <wp:extent cx="3237865" cy="3641725"/>
            <wp:effectExtent l="0" t="0" r="635" b="15875"/>
            <wp:wrapTopAndBottom/>
            <wp:docPr id="6" name="图片 3" descr="168602188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86021883083"/>
                    <pic:cNvPicPr>
                      <a:picLocks noChangeAspect="1"/>
                    </pic:cNvPicPr>
                  </pic:nvPicPr>
                  <pic:blipFill>
                    <a:blip r:embed="rId10" cstate="print"/>
                    <a:stretch>
                      <a:fillRect/>
                    </a:stretch>
                  </pic:blipFill>
                  <pic:spPr>
                    <a:xfrm>
                      <a:off x="0" y="0"/>
                      <a:ext cx="3237865" cy="3641725"/>
                    </a:xfrm>
                    <a:prstGeom prst="rect">
                      <a:avLst/>
                    </a:prstGeom>
                    <a:noFill/>
                    <a:ln>
                      <a:noFill/>
                    </a:ln>
                  </pic:spPr>
                </pic:pic>
              </a:graphicData>
            </a:graphic>
          </wp:anchor>
        </w:drawing>
      </w:r>
      <w:r>
        <w:rPr>
          <w:rFonts w:eastAsia="方正楷体简体"/>
          <w:b/>
          <w:bCs/>
          <w:color w:val="000000" w:themeColor="text1"/>
          <w:kern w:val="21"/>
          <w:sz w:val="32"/>
          <w:szCs w:val="32"/>
          <w14:textFill>
            <w14:solidFill>
              <w14:schemeClr w14:val="tx1"/>
            </w14:solidFill>
          </w14:textFill>
        </w:rPr>
        <w:t>图1  济宁高新区水系图</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21" w:name="_Toc9554"/>
      <w:bookmarkStart w:id="22" w:name="_Toc99132338"/>
      <w:r>
        <w:rPr>
          <w:rFonts w:eastAsia="方正仿宋简体"/>
          <w:b/>
          <w:bCs/>
          <w:color w:val="000000" w:themeColor="text1"/>
          <w:kern w:val="21"/>
          <w:sz w:val="32"/>
          <w:szCs w:val="32"/>
          <w14:textFill>
            <w14:solidFill>
              <w14:schemeClr w14:val="tx1"/>
            </w14:solidFill>
          </w14:textFill>
        </w:rPr>
        <w:t>泗河发源于山东省泰安市新泰太平顶西，流经济宁市泗水、曲阜、兖州、邹城、高新区、微山，于太白湖新区辛闸村入南阳湖，河道全长159km，流域面积2357km²，其中，济宁市境内长146km，流域面积2030km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，主要涉及泗水、曲阜、兖州、济宁高新区、邹城、太白湖新区、微山等7县市区共22个乡镇（街道）。高新区境内有泗河河道21.0km，其中王因街道13.5km，接庄街道7.5km，高新区的管辖范围位于泗河右岸。</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洸府河源于宁阳县大汶河左岸的柳沟，流经济宁市的兖州区、任城区、济宁高新区、太白湖新区，至石佛东入南阳湖，全长76.4km。其中，高新区境内左岸长11.457km、右岸长7.572km，共涉及洸河、柳行、接庄三个街道，许厂、十里营等13个村。</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蓼河属淮河流域南四湖水系，为洸府河的支流，源于兖州金村，流经济宁高新区，于十里营村入洸府河干流，全长25km，流域面积208.2km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。其中，济宁高新区境内左岸长19.50km、右岸长21.32km，涉及黄屯、王因、柳行、接庄四个街道，后竹亭、十里营等31个村，规划水质执行地表水IV类标准。</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杨家河发源于兖州区大安镇西北店，流经兖州区和高新区于任城大道桥南入洸府河干流，全长26.50km，流域面积212.20km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高新区杨家河左岸自黄屯街道鹅鸭厂村至柳行街道杨桥村入洸府河，左岸长约12.47km；右岸自柳行街道陈厂村至洸河街道苏西村入洸府河，右岸长约7.37km，共涉及洸河、柳行、黄屯三个街道，鹅鸭厂、杨桥、苏西等12个村。</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泥沟河为蓼河右岸支流，现为济宁高新区内区域性防洪河道。泥沟河北起柳行街道塔口铺村，沿同济路、崇文大道，然后向南排入蓼沟河，河道全长约6.22km，主要来水为济宁银河水务有限公司处理中水，为高新区纳污河道。</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小新河是高新区主要的东西流向河流，大部分流域在高新区内，流经接庄街道，总长度5.73km，流域面积为22.83km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。两岸堤防较低，不能满足防洪排涝要求，周围沟渠较多，有断流段。</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（三）自然资源</w:t>
      </w:r>
      <w:bookmarkEnd w:id="21"/>
      <w:bookmarkEnd w:id="22"/>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1. 土地资源</w:t>
      </w:r>
    </w:p>
    <w:p>
      <w:pPr>
        <w:spacing w:line="560" w:lineRule="exact"/>
        <w:ind w:firstLine="643" w:firstLineChars="200"/>
        <w:rPr>
          <w:rFonts w:eastAsia="方正仿宋简体"/>
          <w:b/>
          <w:bCs/>
          <w:color w:val="000000" w:themeColor="text1"/>
          <w:kern w:val="21"/>
          <w:sz w:val="32"/>
          <w:szCs w:val="28"/>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属鲁南泰沂低山丘陵与鲁西南黄泛平原交界地带，地质构造上属华北地区鲁西南断块凹陷区。地形以平原洼地为主，东北高西南低，地貌较为简单。境内土壤母质系山前冲洪积物，土层深厚，共分为褐土、潮土、砂浆黑土三大类、五大亚类、七个土属、三十个土种，土壤构成主体以褐土为主。</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2. </w:t>
      </w:r>
      <w:r>
        <w:rPr>
          <w:rFonts w:ascii="Times New Roman" w:hAnsi="Times New Roman" w:eastAsia="方正仿宋简体"/>
          <w:b/>
          <w:bCs/>
          <w:color w:val="000000" w:themeColor="text1"/>
          <w:kern w:val="21"/>
          <w:sz w:val="32"/>
          <w:szCs w:val="32"/>
          <w14:textFill>
            <w14:solidFill>
              <w14:schemeClr w14:val="tx1"/>
            </w14:solidFill>
          </w14:textFill>
        </w:rPr>
        <w:t>水资源</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根据1960</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2010年实测降水资料分析计算，济宁高新区多年平均年降水量为677mm，折合水量1.71亿m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；根据山东省最新水文资料分析计算成果，高新区多年平均年径流量为2099万m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；根据济宁市水资源规划计算，高新区地下水资源模数为23.3万m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，多年平均地下水资源总量为5895万m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。按照水资源总量为地表水资源量与地下水资源量之和，则高新区多年平均水资源总量为7594万m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，其中地表水资源量为2099万m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、地下水资源量为5895万m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，产水模数为30.01万m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3. </w:t>
      </w:r>
      <w:r>
        <w:rPr>
          <w:rFonts w:ascii="Times New Roman" w:hAnsi="Times New Roman" w:eastAsia="方正仿宋简体"/>
          <w:b/>
          <w:bCs/>
          <w:color w:val="000000" w:themeColor="text1"/>
          <w:kern w:val="21"/>
          <w:sz w:val="32"/>
          <w:szCs w:val="32"/>
          <w14:textFill>
            <w14:solidFill>
              <w14:schemeClr w14:val="tx1"/>
            </w14:solidFill>
          </w14:textFill>
        </w:rPr>
        <w:t>矿产资源</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济宁高新区矿产资源以煤为主。</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杨村煤矿位于济宁高新区王因街道社区内，其井田位于兖州煤田西北缘，于1983年12月开工建设，1989年6月20日正式投产，原设计生产能力60万t/a，2006年核定矿井生产能力115万t/a，2013年原煤产量112.2万t。</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济宁二号煤矿隶属于兖州煤业股份有限责任公司，为省属国有企业，是兖矿集团在济东矿区建设的一座特大型现代化矿井。位于山东省济宁高新区接庄街道，距济宁市约9km。井田东西宽10km，南北长6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11km，面积87.1171km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。由济南煤矿设计研究院设计，设计能力400万t/a。1989年12月24日开始建设，1997年11月8日建成投产。</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23" w:name="_Toc25830"/>
      <w:r>
        <w:rPr>
          <w:rFonts w:eastAsia="方正楷体简体"/>
          <w:b/>
          <w:bCs/>
          <w:color w:val="000000" w:themeColor="text1"/>
          <w:kern w:val="21"/>
          <w:sz w:val="32"/>
          <w:szCs w:val="32"/>
          <w14:textFill>
            <w14:solidFill>
              <w14:schemeClr w14:val="tx1"/>
            </w14:solidFill>
          </w14:textFill>
        </w:rPr>
        <w:t>（四）土壤特征</w:t>
      </w:r>
      <w:bookmarkEnd w:id="23"/>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24" w:name="_Toc99132339"/>
      <w:bookmarkStart w:id="25" w:name="_Toc2205"/>
      <w:r>
        <w:rPr>
          <w:rFonts w:eastAsia="方正仿宋简体"/>
          <w:b/>
          <w:bCs/>
          <w:color w:val="000000" w:themeColor="text1"/>
          <w:kern w:val="21"/>
          <w:sz w:val="32"/>
          <w:szCs w:val="32"/>
          <w14:textFill>
            <w14:solidFill>
              <w14:schemeClr w14:val="tx1"/>
            </w14:solidFill>
          </w14:textFill>
        </w:rPr>
        <w:t>济宁高新区土壤类型分为棕壤、褐土、砂姜黑土、潮土、水稻土和风沙土。现有土壤面积798739.86公顷，其中：棕壤144099.53公顷，褐土234868.27公顷，砂姜黑土36588.46公顷，潮土300277.73公顷，水稻土82660.07公顷，风沙土245.80公顷。棕壤为酸性土壤，分布于东部岩浆岩山地丘陵区及山洪冲积平原。褐土为弱碱性土壤，主要分布于东部石灰岩山地丘陵区及山前洪冲积平原，西部石灰岩丘陵区也有小面积分布。砂姜黑土为弱碱性至近中性土壤，分布于东部冲积平原的局部浅平洼地和沿湖洼地。潮土为碱性土壤，分布于西部黄泛平原。水稻土为碱性土，分布于南四湖两岸滨湖洼地。风沙土为碱性土，分布于黄河堤内滩地。</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（五）植被覆盖</w:t>
      </w:r>
      <w:bookmarkEnd w:id="24"/>
      <w:bookmarkEnd w:id="25"/>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属暖温带落叶阔叶林植被区，植被种类约200科、1000属、3500种。地带性植被为以栎、槐、榆、椿、杨、柳、楝为代表的落叶阔叶林，丘陵区分布有油松、赤松、侧柏等温性次生针叶林。平原地区自然植被已被农业植被所代替，栽培农作物为冬小麦、玉米、水稻、棉花、花生、地瓜、杂粮等，丘陵区分布最广的是经济林及灌丛、草丛，经济林木植被为苹果、梨、桃、杏、枣、栗、山楂、核桃等。湖区为湿生水生植被，代表植物有三棱草、白茅、芦苇、菰、莲、菱芡实及藻类。济宁高新区主要都是人工植被，植被类型比较简单，可划分为4个植被型组、5个群系，有常见高等植物22科38属51种，没有国家和省级重点保护野生植物。主要以道路林网为连线，农田作物为主，自然草被作镶嵌，形成了有乔木、灌木、草本植物和低等植物相结合的植物群落。</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26" w:name="_Toc99132341"/>
      <w:bookmarkStart w:id="27" w:name="_Toc1229"/>
      <w:r>
        <w:rPr>
          <w:rFonts w:eastAsia="方正黑体简体"/>
          <w:b/>
          <w:bCs/>
          <w:color w:val="000000" w:themeColor="text1"/>
          <w:kern w:val="21"/>
          <w:sz w:val="32"/>
          <w:szCs w:val="32"/>
          <w14:textFill>
            <w14:solidFill>
              <w14:schemeClr w14:val="tx1"/>
            </w14:solidFill>
          </w14:textFill>
        </w:rPr>
        <w:t>三、社会经济状况</w:t>
      </w:r>
      <w:bookmarkEnd w:id="26"/>
      <w:bookmarkEnd w:id="27"/>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28" w:name="_Toc99132342"/>
      <w:bookmarkStart w:id="29" w:name="_Toc28210"/>
      <w:r>
        <w:rPr>
          <w:rFonts w:eastAsia="方正楷体简体"/>
          <w:b/>
          <w:bCs/>
          <w:color w:val="000000" w:themeColor="text1"/>
          <w:kern w:val="21"/>
          <w:sz w:val="32"/>
          <w:szCs w:val="32"/>
          <w14:textFill>
            <w14:solidFill>
              <w14:schemeClr w14:val="tx1"/>
            </w14:solidFill>
          </w14:textFill>
        </w:rPr>
        <w:t>（一）行政区划和人口</w:t>
      </w:r>
      <w:bookmarkEnd w:id="28"/>
      <w:bookmarkEnd w:id="29"/>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济宁高新区辖5个街道办事处，洸河街道、柳行街道、黄屯街道、王因街道、接庄街道。洸河街道辖5个行政村，4个行政社区；柳行办事处辖24个行政村，5个行政社区；黄屯街道32个行政村；王因街道辖59个行政村；接庄街道辖48个行</w:t>
      </w:r>
      <w:r>
        <w:rPr>
          <w:rFonts w:eastAsia="方正仿宋简体"/>
          <w:b/>
          <w:bCs/>
          <w:color w:val="000000" w:themeColor="text1"/>
          <w:spacing w:val="-11"/>
          <w:kern w:val="21"/>
          <w:sz w:val="32"/>
          <w:szCs w:val="32"/>
          <w14:textFill>
            <w14:solidFill>
              <w14:schemeClr w14:val="tx1"/>
            </w14:solidFill>
          </w14:textFill>
        </w:rPr>
        <w:t>政村。高新区行政范围内现状总人口33.5万人，村庄总数177</w:t>
      </w:r>
      <w:r>
        <w:rPr>
          <w:rFonts w:eastAsia="方正仿宋简体"/>
          <w:b/>
          <w:bCs/>
          <w:color w:val="000000" w:themeColor="text1"/>
          <w:kern w:val="21"/>
          <w:sz w:val="32"/>
          <w:szCs w:val="32"/>
          <w14:textFill>
            <w14:solidFill>
              <w14:schemeClr w14:val="tx1"/>
            </w14:solidFill>
          </w14:textFill>
        </w:rPr>
        <w:t>个。</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0" w:name="_Toc99132343"/>
      <w:bookmarkStart w:id="31" w:name="_Toc7257"/>
      <w:r>
        <w:rPr>
          <w:rFonts w:eastAsia="方正楷体简体"/>
          <w:b/>
          <w:bCs/>
          <w:color w:val="000000" w:themeColor="text1"/>
          <w:kern w:val="21"/>
          <w:sz w:val="32"/>
          <w:szCs w:val="32"/>
          <w14:textFill>
            <w14:solidFill>
              <w14:schemeClr w14:val="tx1"/>
            </w14:solidFill>
          </w14:textFill>
        </w:rPr>
        <w:t>（二）</w:t>
      </w:r>
      <w:bookmarkEnd w:id="30"/>
      <w:r>
        <w:rPr>
          <w:rFonts w:eastAsia="方正楷体简体"/>
          <w:b/>
          <w:bCs/>
          <w:color w:val="000000" w:themeColor="text1"/>
          <w:kern w:val="21"/>
          <w:sz w:val="32"/>
          <w:szCs w:val="32"/>
          <w14:textFill>
            <w14:solidFill>
              <w14:schemeClr w14:val="tx1"/>
            </w14:solidFill>
          </w14:textFill>
        </w:rPr>
        <w:t>经济状况</w:t>
      </w:r>
      <w:bookmarkEnd w:id="31"/>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32" w:name="_Hlk137490921"/>
      <w:r>
        <w:rPr>
          <w:rFonts w:eastAsia="方正仿宋简体"/>
          <w:b/>
          <w:bCs/>
          <w:color w:val="000000" w:themeColor="text1"/>
          <w:kern w:val="21"/>
          <w:sz w:val="32"/>
          <w:szCs w:val="32"/>
          <w14:textFill>
            <w14:solidFill>
              <w14:schemeClr w14:val="tx1"/>
            </w14:solidFill>
          </w14:textFill>
        </w:rPr>
        <w:t>2020年，</w:t>
      </w:r>
      <w:bookmarkEnd w:id="32"/>
      <w:r>
        <w:rPr>
          <w:rFonts w:eastAsia="方正仿宋简体"/>
          <w:b/>
          <w:bCs/>
          <w:color w:val="000000" w:themeColor="text1"/>
          <w:kern w:val="21"/>
          <w:sz w:val="32"/>
          <w:szCs w:val="32"/>
          <w14:textFill>
            <w14:solidFill>
              <w14:schemeClr w14:val="tx1"/>
            </w14:solidFill>
          </w14:textFill>
        </w:rPr>
        <w:t>全区GDP完成455.4亿元，按可比价格计算同比增长4.1%，高于全市0.5百分点。其中第一产业增加值10.7亿元，增长1.7%；第二产业增加值248.3亿元，增长3.7%；其中工业增加值230.01亿元，增长6.24%；第三产业增加值196.4亿元，增长5%。按行业分，全区规模以上工业企业工业增加值同比增长6.24%，实现营业收入562.96亿元，增长</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5.72%；工业利润总额33.59亿元，增长88.66%；实现高新技术产值341.1亿元，占比达61.7%，高于全市22个百分点。一、二、三产业的比例关系达到2.3：54.5：43.2，服务业增加值占GDP比重比上年提升了0.7个百分点。</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3" w:name="_Toc1617"/>
      <w:bookmarkStart w:id="34" w:name="_Toc99132344"/>
      <w:r>
        <w:rPr>
          <w:rFonts w:eastAsia="方正楷体简体"/>
          <w:b/>
          <w:bCs/>
          <w:color w:val="000000" w:themeColor="text1"/>
          <w:kern w:val="21"/>
          <w:sz w:val="32"/>
          <w:szCs w:val="32"/>
          <w14:textFill>
            <w14:solidFill>
              <w14:schemeClr w14:val="tx1"/>
            </w14:solidFill>
          </w14:textFill>
        </w:rPr>
        <w:t>（三）土地利用</w:t>
      </w:r>
      <w:bookmarkEnd w:id="33"/>
      <w:bookmarkEnd w:id="3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土地总面积24931.12公顷，其中农用地面积15286.16公顷，占土地总面积的61.32%；建设用地面积8881.36公顷，占土地总面积的35.62%；未利用地面积763.60公顷，占土地总面积的3.06%。耕地面积10167.58公顷（基本农田6149.65公顷），占全区土地总面积的40.78%。</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35" w:name="_Toc4303"/>
      <w:bookmarkStart w:id="36" w:name="_Toc99132347"/>
      <w:r>
        <w:rPr>
          <w:rFonts w:eastAsia="方正黑体简体"/>
          <w:b/>
          <w:bCs/>
          <w:color w:val="000000" w:themeColor="text1"/>
          <w:kern w:val="21"/>
          <w:sz w:val="32"/>
          <w:szCs w:val="32"/>
          <w14:textFill>
            <w14:solidFill>
              <w14:schemeClr w14:val="tx1"/>
            </w14:solidFill>
          </w14:textFill>
        </w:rPr>
        <w:t>四、生态环境概况</w:t>
      </w:r>
      <w:bookmarkEnd w:id="35"/>
      <w:bookmarkEnd w:id="36"/>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7" w:name="_Toc99132348"/>
      <w:bookmarkStart w:id="38" w:name="_Toc26386"/>
      <w:r>
        <w:rPr>
          <w:rFonts w:eastAsia="方正楷体简体"/>
          <w:b/>
          <w:bCs/>
          <w:color w:val="000000" w:themeColor="text1"/>
          <w:kern w:val="21"/>
          <w:sz w:val="32"/>
          <w:szCs w:val="32"/>
          <w14:textFill>
            <w14:solidFill>
              <w14:schemeClr w14:val="tx1"/>
            </w14:solidFill>
          </w14:textFill>
        </w:rPr>
        <w:t>（一）空气环境质量</w:t>
      </w:r>
      <w:bookmarkEnd w:id="37"/>
      <w:bookmarkEnd w:id="38"/>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2020年，济宁高新区二氧化硫年均浓度为15微克/立方米、二氧化氮年均浓度为34 微克/立方米、PM</w:t>
      </w:r>
      <w:r>
        <w:rPr>
          <w:rFonts w:eastAsia="方正仿宋简体"/>
          <w:b/>
          <w:bCs/>
          <w:color w:val="000000" w:themeColor="text1"/>
          <w:kern w:val="21"/>
          <w:sz w:val="32"/>
          <w:szCs w:val="32"/>
          <w:vertAlign w:val="subscript"/>
          <w14:textFill>
            <w14:solidFill>
              <w14:schemeClr w14:val="tx1"/>
            </w14:solidFill>
          </w14:textFill>
        </w:rPr>
        <w:t>10</w:t>
      </w:r>
      <w:r>
        <w:rPr>
          <w:rFonts w:eastAsia="方正仿宋简体"/>
          <w:b/>
          <w:bCs/>
          <w:color w:val="000000" w:themeColor="text1"/>
          <w:kern w:val="21"/>
          <w:sz w:val="32"/>
          <w:szCs w:val="32"/>
          <w14:textFill>
            <w14:solidFill>
              <w14:schemeClr w14:val="tx1"/>
            </w14:solidFill>
          </w14:textFill>
        </w:rPr>
        <w:t xml:space="preserve"> 年均浓度为74微克/立方米、PM</w:t>
      </w:r>
      <w:r>
        <w:rPr>
          <w:rFonts w:eastAsia="方正仿宋简体"/>
          <w:b/>
          <w:bCs/>
          <w:color w:val="000000" w:themeColor="text1"/>
          <w:kern w:val="21"/>
          <w:sz w:val="32"/>
          <w:szCs w:val="32"/>
          <w:vertAlign w:val="subscript"/>
          <w14:textFill>
            <w14:solidFill>
              <w14:schemeClr w14:val="tx1"/>
            </w14:solidFill>
          </w14:textFill>
        </w:rPr>
        <w:t>2.5</w:t>
      </w:r>
      <w:r>
        <w:rPr>
          <w:rFonts w:eastAsia="方正仿宋简体"/>
          <w:b/>
          <w:bCs/>
          <w:color w:val="000000" w:themeColor="text1"/>
          <w:kern w:val="21"/>
          <w:sz w:val="32"/>
          <w:szCs w:val="32"/>
          <w14:textFill>
            <w14:solidFill>
              <w14:schemeClr w14:val="tx1"/>
            </w14:solidFill>
          </w14:textFill>
        </w:rPr>
        <w:t>年均浓度为52微克/立方米、一氧化碳（CO）95 百分数浓度为1.6毫克/立方米、臭氧（O</w:t>
      </w:r>
      <w:r>
        <w:rPr>
          <w:rFonts w:eastAsia="方正仿宋简体"/>
          <w:b/>
          <w:bCs/>
          <w:color w:val="000000" w:themeColor="text1"/>
          <w:kern w:val="21"/>
          <w:sz w:val="32"/>
          <w:szCs w:val="32"/>
          <w:vertAlign w:val="sub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）90百分数浓度为183微克/立方米，其中二氧化硫年均值、二氧化氮年均值、一氧化碳（CO）95百分数浓度达标，PM</w:t>
      </w:r>
      <w:r>
        <w:rPr>
          <w:rFonts w:eastAsia="方正仿宋简体"/>
          <w:b/>
          <w:bCs/>
          <w:color w:val="000000" w:themeColor="text1"/>
          <w:kern w:val="21"/>
          <w:sz w:val="32"/>
          <w:szCs w:val="32"/>
          <w:vertAlign w:val="subscript"/>
          <w14:textFill>
            <w14:solidFill>
              <w14:schemeClr w14:val="tx1"/>
            </w14:solidFill>
          </w14:textFill>
        </w:rPr>
        <w:t>10</w:t>
      </w:r>
      <w:r>
        <w:rPr>
          <w:rFonts w:eastAsia="方正仿宋简体"/>
          <w:b/>
          <w:bCs/>
          <w:color w:val="000000" w:themeColor="text1"/>
          <w:kern w:val="21"/>
          <w:sz w:val="32"/>
          <w:szCs w:val="32"/>
          <w14:textFill>
            <w14:solidFill>
              <w14:schemeClr w14:val="tx1"/>
            </w14:solidFill>
          </w14:textFill>
        </w:rPr>
        <w:t>、PM</w:t>
      </w:r>
      <w:r>
        <w:rPr>
          <w:rFonts w:eastAsia="方正仿宋简体"/>
          <w:b/>
          <w:bCs/>
          <w:color w:val="000000" w:themeColor="text1"/>
          <w:kern w:val="21"/>
          <w:sz w:val="32"/>
          <w:szCs w:val="32"/>
          <w:vertAlign w:val="subscript"/>
          <w14:textFill>
            <w14:solidFill>
              <w14:schemeClr w14:val="tx1"/>
            </w14:solidFill>
          </w14:textFill>
        </w:rPr>
        <w:t>2.5</w:t>
      </w:r>
      <w:r>
        <w:rPr>
          <w:rFonts w:eastAsia="方正仿宋简体"/>
          <w:b/>
          <w:bCs/>
          <w:color w:val="000000" w:themeColor="text1"/>
          <w:kern w:val="21"/>
          <w:sz w:val="32"/>
          <w:szCs w:val="32"/>
          <w14:textFill>
            <w14:solidFill>
              <w14:schemeClr w14:val="tx1"/>
            </w14:solidFill>
          </w14:textFill>
        </w:rPr>
        <w:t>、臭氧（O</w:t>
      </w:r>
      <w:r>
        <w:rPr>
          <w:rFonts w:eastAsia="方正仿宋简体"/>
          <w:b/>
          <w:bCs/>
          <w:color w:val="000000" w:themeColor="text1"/>
          <w:kern w:val="21"/>
          <w:sz w:val="32"/>
          <w:szCs w:val="32"/>
          <w:vertAlign w:val="sub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）90百分数浓度超标；空气优良天数231天，优良率63.1%。</w:t>
      </w:r>
    </w:p>
    <w:p>
      <w:pPr>
        <w:pStyle w:val="9"/>
        <w:spacing w:after="0" w:line="560" w:lineRule="exact"/>
        <w:ind w:left="0" w:leftChars="0" w:firstLine="643"/>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2021年，济宁高新区二氧化硫年均浓度为13ug/m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 xml:space="preserve"> ，二氧化氮年均浓度为32ug/m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，可吸入颗粒物（PM</w:t>
      </w:r>
      <w:r>
        <w:rPr>
          <w:rFonts w:eastAsia="方正仿宋简体"/>
          <w:b/>
          <w:bCs/>
          <w:color w:val="000000" w:themeColor="text1"/>
          <w:kern w:val="21"/>
          <w:sz w:val="32"/>
          <w:szCs w:val="32"/>
          <w:vertAlign w:val="subscript"/>
          <w14:textFill>
            <w14:solidFill>
              <w14:schemeClr w14:val="tx1"/>
            </w14:solidFill>
          </w14:textFill>
        </w:rPr>
        <w:t>10</w:t>
      </w:r>
      <w:r>
        <w:rPr>
          <w:rFonts w:eastAsia="方正仿宋简体"/>
          <w:b/>
          <w:bCs/>
          <w:color w:val="000000" w:themeColor="text1"/>
          <w:kern w:val="21"/>
          <w:sz w:val="32"/>
          <w:szCs w:val="32"/>
          <w14:textFill>
            <w14:solidFill>
              <w14:schemeClr w14:val="tx1"/>
            </w14:solidFill>
          </w14:textFill>
        </w:rPr>
        <w:t>）年均浓度为 76ug/m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，细颗粒物（PM</w:t>
      </w:r>
      <w:r>
        <w:rPr>
          <w:rFonts w:eastAsia="方正仿宋简体"/>
          <w:b/>
          <w:bCs/>
          <w:color w:val="000000" w:themeColor="text1"/>
          <w:kern w:val="21"/>
          <w:sz w:val="32"/>
          <w:szCs w:val="32"/>
          <w:vertAlign w:val="subscript"/>
          <w14:textFill>
            <w14:solidFill>
              <w14:schemeClr w14:val="tx1"/>
            </w14:solidFill>
          </w14:textFill>
        </w:rPr>
        <w:t>2.5</w:t>
      </w:r>
      <w:r>
        <w:rPr>
          <w:rFonts w:eastAsia="方正仿宋简体"/>
          <w:b/>
          <w:bCs/>
          <w:color w:val="000000" w:themeColor="text1"/>
          <w:kern w:val="21"/>
          <w:sz w:val="32"/>
          <w:szCs w:val="32"/>
          <w14:textFill>
            <w14:solidFill>
              <w14:schemeClr w14:val="tx1"/>
            </w14:solidFill>
          </w14:textFill>
        </w:rPr>
        <w:t>）年均浓度为44ug/m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。二氧化硫、二氧化氮年均浓度均达到了国家空气质量二级标准。与上年相比，二氧化硫、氮氧化物、细颗粒物浓度均有所下降。空气质量优良天数253天，占总天数的69.5%。</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9" w:name="_Toc99132349"/>
      <w:bookmarkStart w:id="40" w:name="_Toc22087"/>
      <w:r>
        <w:rPr>
          <w:rFonts w:eastAsia="方正楷体简体"/>
          <w:b/>
          <w:bCs/>
          <w:color w:val="000000" w:themeColor="text1"/>
          <w:kern w:val="21"/>
          <w:sz w:val="32"/>
          <w:szCs w:val="32"/>
          <w14:textFill>
            <w14:solidFill>
              <w14:schemeClr w14:val="tx1"/>
            </w14:solidFill>
          </w14:textFill>
        </w:rPr>
        <w:t>（二）水环境质量</w:t>
      </w:r>
      <w:bookmarkEnd w:id="39"/>
      <w:bookmarkEnd w:id="40"/>
    </w:p>
    <w:p>
      <w:pPr>
        <w:pStyle w:val="74"/>
        <w:spacing w:line="560" w:lineRule="exact"/>
        <w:ind w:firstLine="643"/>
        <w:rPr>
          <w:rFonts w:eastAsia="方正仿宋简体"/>
          <w:b/>
          <w:bCs/>
          <w:color w:val="000000" w:themeColor="text1"/>
          <w:kern w:val="21"/>
          <w:sz w:val="32"/>
          <w:szCs w:val="32"/>
          <w14:textFill>
            <w14:solidFill>
              <w14:schemeClr w14:val="tx1"/>
            </w14:solidFill>
          </w14:textFill>
        </w:rPr>
      </w:pPr>
      <w:bookmarkStart w:id="41" w:name="_Toc31004"/>
      <w:bookmarkStart w:id="42" w:name="_Toc99132350"/>
      <w:r>
        <w:rPr>
          <w:rFonts w:eastAsia="方正仿宋简体"/>
          <w:b/>
          <w:bCs/>
          <w:color w:val="000000" w:themeColor="text1"/>
          <w:kern w:val="21"/>
          <w:sz w:val="32"/>
          <w:szCs w:val="32"/>
          <w14:textFill>
            <w14:solidFill>
              <w14:schemeClr w14:val="tx1"/>
            </w14:solidFill>
          </w14:textFill>
        </w:rPr>
        <w:t>济宁高新区水生态环境稳定改善，国控地表水断面水质达到地表水Ⅲ类，省、市控地表水断面水质达到地表水Ⅳ类，城市集中式饮用水水源水质稳定达到Ⅲ类标准。</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（三）土壤环境质量</w:t>
      </w:r>
      <w:bookmarkEnd w:id="41"/>
      <w:bookmarkEnd w:id="42"/>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43" w:name="_Toc11251"/>
      <w:bookmarkStart w:id="44" w:name="_Toc99132351"/>
      <w:r>
        <w:rPr>
          <w:rFonts w:eastAsia="方正仿宋简体"/>
          <w:b/>
          <w:bCs/>
          <w:color w:val="000000" w:themeColor="text1"/>
          <w:kern w:val="21"/>
          <w:sz w:val="32"/>
          <w:szCs w:val="32"/>
          <w14:textFill>
            <w14:solidFill>
              <w14:schemeClr w14:val="tx1"/>
            </w14:solidFill>
          </w14:textFill>
        </w:rPr>
        <w:t>配合市级开展重点行业企业用地调查。督导调度各土壤重点监管企业开展隐患排查、自行监测、年度报告等相关工作。督导新增土壤重点监管企业建设地下水监测井。土壤环境质量总体保持稳定，土壤环境风险得到基本管控。</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（四）现存环境问题分析</w:t>
      </w:r>
      <w:bookmarkEnd w:id="43"/>
      <w:bookmarkEnd w:id="4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一是区域生态功能弱，生态环境压力较大。受长期采煤破坏及地表塌陷影响，区域生态环境功能弱化，不能有效支持新业态发展。</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二是工业产业的大力发展，环境质量改善任务艰巨。济宁高新区工业企业众多，工业污染治理仍存在薄弱环节，污染物排放总量较大，VOCs全过程管控水平有待提高，源头替代进展较慢。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三是农村生态环境治理需强化攻坚。农村生活污水治理任务重。畜禽养殖粪污处理处置设施建设运行不规范，畜禽养殖污染防治要求和责任不明确。农业农村生态环境监测网络不完善，镇街基层环境人员专业能力不足。</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四是新领域环境污染治理需要积极应对。随着经济社会快速发展，环境污染的复合型和治理的复杂性将不断提高，与此同时，环境风险防范的形势依旧严峻，新化学物质等新型污染物防治可能带来新的环境问题不容忽视，需要深入研究，系统治理。</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45" w:name="_Toc99132352"/>
      <w:bookmarkStart w:id="46" w:name="_Toc15197"/>
      <w:r>
        <w:rPr>
          <w:rFonts w:eastAsia="方正黑体简体"/>
          <w:b/>
          <w:bCs/>
          <w:color w:val="000000" w:themeColor="text1"/>
          <w:kern w:val="21"/>
          <w:sz w:val="32"/>
          <w:szCs w:val="32"/>
          <w14:textFill>
            <w14:solidFill>
              <w14:schemeClr w14:val="tx1"/>
            </w14:solidFill>
          </w14:textFill>
        </w:rPr>
        <w:t>五、畜禽养殖污染防治现状</w:t>
      </w:r>
      <w:bookmarkEnd w:id="45"/>
      <w:bookmarkEnd w:id="46"/>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47" w:name="_Toc99132353"/>
      <w:bookmarkStart w:id="48" w:name="_Toc26497"/>
      <w:r>
        <w:rPr>
          <w:rFonts w:eastAsia="方正楷体简体"/>
          <w:b/>
          <w:bCs/>
          <w:color w:val="000000" w:themeColor="text1"/>
          <w:kern w:val="21"/>
          <w:sz w:val="32"/>
          <w:szCs w:val="32"/>
          <w14:textFill>
            <w14:solidFill>
              <w14:schemeClr w14:val="tx1"/>
            </w14:solidFill>
          </w14:textFill>
        </w:rPr>
        <w:t>（一）畜禽养殖现状</w:t>
      </w:r>
      <w:bookmarkEnd w:id="47"/>
      <w:bookmarkEnd w:id="48"/>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1. 畜禽养殖类型及数量</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（1）畜禽养殖量</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49" w:name="_Hlk118050737"/>
      <w:r>
        <w:rPr>
          <w:rFonts w:eastAsia="方正仿宋简体"/>
          <w:b/>
          <w:bCs/>
          <w:color w:val="000000" w:themeColor="text1"/>
          <w:kern w:val="21"/>
          <w:sz w:val="32"/>
          <w:szCs w:val="32"/>
          <w14:textFill>
            <w14:solidFill>
              <w14:schemeClr w14:val="tx1"/>
            </w14:solidFill>
          </w14:textFill>
        </w:rPr>
        <w:t>2020年济宁高新区畜牧业总产值2646万元，较2019年同比增长24.3%。根据山东省目前执行的规模养殖场标准，济宁高新区目前辖区内无规模化养殖场，专业户45户，散养户9户。</w:t>
      </w:r>
      <w:bookmarkEnd w:id="49"/>
    </w:p>
    <w:p>
      <w:pPr>
        <w:pStyle w:val="9"/>
        <w:spacing w:after="0" w:line="560" w:lineRule="exact"/>
        <w:ind w:left="0" w:leftChars="0" w:firstLine="0" w:firstLineChars="0"/>
        <w:jc w:val="center"/>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 xml:space="preserve">表1 </w:t>
      </w:r>
      <w:r>
        <w:rPr>
          <w:rFonts w:eastAsia="方正仿宋简体"/>
          <w:b/>
          <w:bCs/>
          <w:color w:val="000000" w:themeColor="text1"/>
          <w:kern w:val="21"/>
          <w:sz w:val="32"/>
          <w:szCs w:val="30"/>
          <w14:textFill>
            <w14:solidFill>
              <w14:schemeClr w14:val="tx1"/>
            </w14:solidFill>
          </w14:textFill>
        </w:rPr>
        <w:t>2020年度</w:t>
      </w:r>
      <w:r>
        <w:rPr>
          <w:rFonts w:eastAsia="方正仿宋简体"/>
          <w:b/>
          <w:bCs/>
          <w:color w:val="000000" w:themeColor="text1"/>
          <w:kern w:val="21"/>
          <w:sz w:val="32"/>
          <w:szCs w:val="32"/>
          <w14:textFill>
            <w14:solidFill>
              <w14:schemeClr w14:val="tx1"/>
            </w14:solidFill>
          </w14:textFill>
        </w:rPr>
        <w:t>济宁高新区畜禽养殖户类型统计表（单位：家）</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1418"/>
        <w:gridCol w:w="1418"/>
        <w:gridCol w:w="1418"/>
        <w:gridCol w:w="1418"/>
        <w:gridCol w:w="14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养殖规模</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生猪</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肉牛</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肉羊</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肉鸡</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专业户</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散养户</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总计</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31</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54</w:t>
            </w: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从表1可以看出，济宁高新区专业户45家，占比83.3%，散养户9家，占比16.7%；从畜禽养殖的类型来看，生猪养殖户最多，为31家，占比57.4%，其次分别为肉羊、肉牛、肉鸡，分别为14、8、1家，占比25.9%、14.8%、1.9%。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（2）各街道畜禽养殖情况</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济宁高新区各街道畜禽规模以下养殖户养殖类型统计情况见表2。</w:t>
      </w:r>
    </w:p>
    <w:p>
      <w:pPr>
        <w:spacing w:line="560" w:lineRule="exact"/>
        <w:jc w:val="center"/>
        <w:rPr>
          <w:rFonts w:eastAsia="方正仿宋简体"/>
          <w:b/>
          <w:bCs/>
          <w:color w:val="000000" w:themeColor="text1"/>
          <w:kern w:val="21"/>
          <w:sz w:val="32"/>
          <w:szCs w:val="30"/>
          <w14:textFill>
            <w14:solidFill>
              <w14:schemeClr w14:val="tx1"/>
            </w14:solidFill>
          </w14:textFill>
        </w:rPr>
      </w:pPr>
      <w:r>
        <w:rPr>
          <w:rFonts w:eastAsia="方正仿宋简体"/>
          <w:b/>
          <w:bCs/>
          <w:color w:val="000000" w:themeColor="text1"/>
          <w:kern w:val="21"/>
          <w:sz w:val="32"/>
          <w:szCs w:val="30"/>
          <w14:textFill>
            <w14:solidFill>
              <w14:schemeClr w14:val="tx1"/>
            </w14:solidFill>
          </w14:textFill>
        </w:rPr>
        <w:t>表2 2020年度</w:t>
      </w:r>
      <w:r>
        <w:rPr>
          <w:rFonts w:eastAsia="方正仿宋简体"/>
          <w:b/>
          <w:bCs/>
          <w:color w:val="000000" w:themeColor="text1"/>
          <w:kern w:val="21"/>
          <w:sz w:val="32"/>
          <w:szCs w:val="32"/>
          <w14:textFill>
            <w14:solidFill>
              <w14:schemeClr w14:val="tx1"/>
            </w14:solidFill>
          </w14:textFill>
        </w:rPr>
        <w:t>济宁</w:t>
      </w:r>
      <w:r>
        <w:rPr>
          <w:rFonts w:eastAsia="方正仿宋简体"/>
          <w:b/>
          <w:bCs/>
          <w:color w:val="000000" w:themeColor="text1"/>
          <w:kern w:val="21"/>
          <w:sz w:val="32"/>
          <w:szCs w:val="30"/>
          <w14:textFill>
            <w14:solidFill>
              <w14:schemeClr w14:val="tx1"/>
            </w14:solidFill>
          </w14:textFill>
        </w:rPr>
        <w:t>高新区各街道畜禽养殖户养殖类型统计表</w:t>
      </w:r>
    </w:p>
    <w:tbl>
      <w:tblPr>
        <w:tblStyle w:val="22"/>
        <w:tblW w:w="88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33"/>
        <w:gridCol w:w="1460"/>
        <w:gridCol w:w="1359"/>
        <w:gridCol w:w="1326"/>
        <w:gridCol w:w="1390"/>
        <w:gridCol w:w="1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tblHeader/>
          <w:jc w:val="center"/>
        </w:trPr>
        <w:tc>
          <w:tcPr>
            <w:tcW w:w="1933"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镇街</w:t>
            </w:r>
          </w:p>
        </w:tc>
        <w:tc>
          <w:tcPr>
            <w:tcW w:w="146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生猪</w:t>
            </w:r>
          </w:p>
        </w:tc>
        <w:tc>
          <w:tcPr>
            <w:tcW w:w="135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肉牛</w:t>
            </w:r>
          </w:p>
        </w:tc>
        <w:tc>
          <w:tcPr>
            <w:tcW w:w="132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肉羊</w:t>
            </w:r>
          </w:p>
        </w:tc>
        <w:tc>
          <w:tcPr>
            <w:tcW w:w="139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肉鸡</w:t>
            </w:r>
          </w:p>
        </w:tc>
        <w:tc>
          <w:tcPr>
            <w:tcW w:w="139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18</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洸河街道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柳行街道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总计</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31</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54</w:t>
            </w: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从表2可以看出，济宁高新区共有畜禽养殖户54家，洸河街道和柳行街道无养殖户，涉及的三个街道中王因街道 33家，占比最大，其次为接庄街道11家；畜禽养殖场中以生猪养殖类型最多，共 31家，其次为肉羊14家。</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全区畜禽养殖户54家，生猪存栏1987头，牛存栏174头，羊</w:t>
      </w:r>
      <w:r>
        <w:rPr>
          <w:rFonts w:eastAsia="方正仿宋简体"/>
          <w:b/>
          <w:bCs/>
          <w:color w:val="000000" w:themeColor="text1"/>
          <w:spacing w:val="-6"/>
          <w:kern w:val="21"/>
          <w:sz w:val="32"/>
          <w:szCs w:val="32"/>
          <w14:textFill>
            <w14:solidFill>
              <w14:schemeClr w14:val="tx1"/>
            </w14:solidFill>
          </w14:textFill>
        </w:rPr>
        <w:t>存栏909只，活家禽存栏14000只。各街道畜禽养殖情况见表</w:t>
      </w:r>
      <w:r>
        <w:rPr>
          <w:rFonts w:eastAsia="方正仿宋简体"/>
          <w:b/>
          <w:bCs/>
          <w:color w:val="000000" w:themeColor="text1"/>
          <w:kern w:val="21"/>
          <w:sz w:val="32"/>
          <w:szCs w:val="32"/>
          <w14:textFill>
            <w14:solidFill>
              <w14:schemeClr w14:val="tx1"/>
            </w14:solidFill>
          </w14:textFill>
        </w:rPr>
        <w:t>3。</w:t>
      </w:r>
    </w:p>
    <w:p>
      <w:pPr>
        <w:spacing w:line="560" w:lineRule="exact"/>
        <w:jc w:val="center"/>
        <w:rPr>
          <w:rFonts w:eastAsia="方正仿宋简体"/>
          <w:b/>
          <w:bCs/>
          <w:color w:val="000000" w:themeColor="text1"/>
          <w:kern w:val="21"/>
          <w:sz w:val="32"/>
          <w:szCs w:val="32"/>
          <w14:textFill>
            <w14:solidFill>
              <w14:schemeClr w14:val="tx1"/>
            </w14:solidFill>
          </w14:textFill>
        </w:rPr>
      </w:pPr>
      <w:bookmarkStart w:id="50" w:name="_Toc7515"/>
      <w:r>
        <w:rPr>
          <w:rFonts w:eastAsia="方正仿宋简体"/>
          <w:b/>
          <w:bCs/>
          <w:color w:val="000000" w:themeColor="text1"/>
          <w:kern w:val="21"/>
          <w:sz w:val="32"/>
          <w:szCs w:val="32"/>
          <w14:textFill>
            <w14:solidFill>
              <w14:schemeClr w14:val="tx1"/>
            </w14:solidFill>
          </w14:textFill>
        </w:rPr>
        <w:t>表3</w:t>
      </w:r>
      <w:r>
        <w:rPr>
          <w:rFonts w:hint="eastAsia" w:eastAsia="方正仿宋简体"/>
          <w:b/>
          <w:bCs/>
          <w:color w:val="000000" w:themeColor="text1"/>
          <w:kern w:val="21"/>
          <w:sz w:val="32"/>
          <w:szCs w:val="32"/>
          <w14:textFill>
            <w14:solidFill>
              <w14:schemeClr w14:val="tx1"/>
            </w14:solidFill>
          </w14:textFill>
        </w:rPr>
        <w:t xml:space="preserve"> </w:t>
      </w:r>
      <w:r>
        <w:rPr>
          <w:rFonts w:eastAsia="方正仿宋简体"/>
          <w:b/>
          <w:bCs/>
          <w:color w:val="000000" w:themeColor="text1"/>
          <w:kern w:val="21"/>
          <w:sz w:val="32"/>
          <w:szCs w:val="32"/>
          <w14:textFill>
            <w14:solidFill>
              <w14:schemeClr w14:val="tx1"/>
            </w14:solidFill>
          </w14:textFill>
        </w:rPr>
        <w:t>济宁高新区畜禽养殖户总体情况</w:t>
      </w:r>
    </w:p>
    <w:tbl>
      <w:tblPr>
        <w:tblStyle w:val="22"/>
        <w:tblW w:w="97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401"/>
        <w:gridCol w:w="917"/>
        <w:gridCol w:w="917"/>
        <w:gridCol w:w="917"/>
        <w:gridCol w:w="917"/>
        <w:gridCol w:w="917"/>
        <w:gridCol w:w="917"/>
        <w:gridCol w:w="917"/>
        <w:gridCol w:w="917"/>
        <w:gridCol w:w="1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457" w:hRule="atLeast"/>
          <w:jc w:val="center"/>
        </w:trPr>
        <w:tc>
          <w:tcPr>
            <w:tcW w:w="1401" w:type="dxa"/>
            <w:vMerge w:val="restart"/>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街道</w:t>
            </w:r>
          </w:p>
        </w:tc>
        <w:tc>
          <w:tcPr>
            <w:tcW w:w="8345" w:type="dxa"/>
            <w:gridSpan w:val="9"/>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存栏量（头、只）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03" w:hRule="atLeast"/>
          <w:jc w:val="center"/>
        </w:trPr>
        <w:tc>
          <w:tcPr>
            <w:tcW w:w="1401" w:type="dxa"/>
            <w:vMerge w:val="continue"/>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生猪</w:t>
            </w: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肉羊</w:t>
            </w: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肉牛</w:t>
            </w: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肉鸡</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vMerge w:val="continue"/>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311</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103.7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135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1155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1155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463</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154.3</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174</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870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14000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233.3</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45"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总计</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1987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1987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909</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303</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174</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870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14000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233.3</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3393.3</w:t>
            </w: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由上表可以看出，各街道分布中，黄屯街道养殖量最小，王因街道养殖量最大。猪存栏量中，王因街道占比最高；牛存栏量中，全部为王因街道；羊存栏量中，王因街道占比最高；活家禽存栏量中，全部为王因街道。</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（二）污染防治现状</w:t>
      </w:r>
      <w:bookmarkEnd w:id="50"/>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1. 畜禽粪污产生情况</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辖区内养殖户中根据养殖种类的不同采用的清粪方式也不同，养牛户、养鸡户、养羊户清粪方式均为干清粪方式，即采用人工或机械方式从畜禽舍地面收集全部或大部分的固体粪便，地面残余粪尿用少量水冲洗，从而使固体和液体废弃物分离的粪便清理方式。绝大多数养猪场采用干清粪和水冲粪结合的方式，水冲粪即粪尿污水混合进入粪沟，少数采用干清粪方式。</w:t>
      </w:r>
    </w:p>
    <w:p>
      <w:pPr>
        <w:spacing w:line="560" w:lineRule="exact"/>
        <w:ind w:firstLine="643" w:firstLineChars="2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根据《畜禽养殖业污染物排放标准》（GB18596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2001）中表3、表4（畜禽养殖业每日最高允许排水量）和《畜禽养殖业污染治理工程技术规范》（HJ497</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2009）中附录 A（畜禽养殖废水水质和粪污产生量），计算高新区畜禽养殖粪污产生量以及 COD、NH</w:t>
      </w:r>
      <w:r>
        <w:rPr>
          <w:rFonts w:eastAsia="方正仿宋简体"/>
          <w:b/>
          <w:bCs/>
          <w:color w:val="000000" w:themeColor="text1"/>
          <w:kern w:val="21"/>
          <w:sz w:val="32"/>
          <w:szCs w:val="32"/>
          <w:vertAlign w:val="sub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–N、TN、TP等主要污染物产生量。</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2020年，济宁高新区畜禽养殖BOD</w:t>
      </w:r>
      <w:r>
        <w:rPr>
          <w:rFonts w:eastAsia="方正仿宋简体"/>
          <w:b/>
          <w:bCs/>
          <w:color w:val="000000" w:themeColor="text1"/>
          <w:kern w:val="21"/>
          <w:sz w:val="32"/>
          <w:szCs w:val="32"/>
          <w:vertAlign w:val="subscript"/>
          <w14:textFill>
            <w14:solidFill>
              <w14:schemeClr w14:val="tx1"/>
            </w14:solidFill>
          </w14:textFill>
        </w:rPr>
        <w:t>5</w:t>
      </w:r>
      <w:r>
        <w:rPr>
          <w:rFonts w:eastAsia="方正仿宋简体"/>
          <w:b/>
          <w:bCs/>
          <w:color w:val="000000" w:themeColor="text1"/>
          <w:kern w:val="21"/>
          <w:sz w:val="32"/>
          <w:szCs w:val="32"/>
          <w14:textFill>
            <w14:solidFill>
              <w14:schemeClr w14:val="tx1"/>
            </w14:solidFill>
          </w14:textFill>
        </w:rPr>
        <w:t>、COD、NH</w:t>
      </w:r>
      <w:r>
        <w:rPr>
          <w:rFonts w:eastAsia="方正仿宋简体"/>
          <w:b/>
          <w:bCs/>
          <w:color w:val="000000" w:themeColor="text1"/>
          <w:kern w:val="21"/>
          <w:sz w:val="32"/>
          <w:szCs w:val="32"/>
          <w:vertAlign w:val="subscript"/>
          <w14:textFill>
            <w14:solidFill>
              <w14:schemeClr w14:val="tx1"/>
            </w14:solidFill>
          </w14:textFill>
        </w:rPr>
        <w:t>3</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N、TN、TP产生量分别为124.8吨、174吨、15.53吨、36.4吨和11.4吨。</w:t>
      </w:r>
      <w:bookmarkStart w:id="51" w:name="_Hlk118051032"/>
      <w:r>
        <w:rPr>
          <w:rFonts w:eastAsia="方正仿宋简体"/>
          <w:b/>
          <w:bCs/>
          <w:color w:val="000000" w:themeColor="text1"/>
          <w:kern w:val="21"/>
          <w:sz w:val="32"/>
          <w:szCs w:val="32"/>
          <w14:textFill>
            <w14:solidFill>
              <w14:schemeClr w14:val="tx1"/>
            </w14:solidFill>
          </w14:textFill>
        </w:rPr>
        <w:t>畜禽养殖粪尿产生总量为7223吨，其中粪4195吨、尿3028吨。粪污利用量为6645吨，粪污综合利用率为92%。对于畜禽养殖粪尿产生量，分品种看，猪为3843吨，占53.2%；牛为1905吨，占26.4%；羊为862吨，占11.9%；家禽为613吨，占8.5%。可见，对于畜禽养殖粪尿产生量，猪和牛占比较大，二者之和为79.6%，为畜禽养殖行业污染治理的重点。</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hint="eastAsia" w:eastAsia="方正仿宋简体"/>
          <w:b/>
          <w:bCs/>
          <w:color w:val="000000" w:themeColor="text1"/>
          <w:kern w:val="21"/>
          <w:sz w:val="32"/>
          <w:szCs w:val="32"/>
          <w14:textFill>
            <w14:solidFill>
              <w14:schemeClr w14:val="tx1"/>
            </w14:solidFill>
          </w14:textFill>
        </w:rPr>
        <w:t xml:space="preserve">2. </w:t>
      </w:r>
      <w:r>
        <w:rPr>
          <w:rFonts w:eastAsia="方正仿宋简体"/>
          <w:b/>
          <w:bCs/>
          <w:color w:val="000000" w:themeColor="text1"/>
          <w:kern w:val="21"/>
          <w:sz w:val="32"/>
          <w:szCs w:val="32"/>
          <w14:textFill>
            <w14:solidFill>
              <w14:schemeClr w14:val="tx1"/>
            </w14:solidFill>
          </w14:textFill>
        </w:rPr>
        <w:t>畜禽养殖污染治理现状</w:t>
      </w:r>
    </w:p>
    <w:p>
      <w:pPr>
        <w:spacing w:line="560" w:lineRule="exact"/>
        <w:ind w:firstLine="643" w:firstLineChars="2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济宁高新区辖区内54家养殖户，均配套建有粪污收集或处理设施，畜禽粪污处理设施装备配套率达到 100%。畜禽养殖户禽粪污产生量为7223吨，主要采用堆肥、直接还田等利用方式，综合利用率达 92%。</w:t>
      </w:r>
    </w:p>
    <w:bookmarkEnd w:id="51"/>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3. </w:t>
      </w:r>
      <w:r>
        <w:rPr>
          <w:rFonts w:ascii="Times New Roman" w:hAnsi="Times New Roman" w:eastAsia="方正仿宋简体"/>
          <w:b/>
          <w:bCs/>
          <w:color w:val="000000" w:themeColor="text1"/>
          <w:kern w:val="21"/>
          <w:sz w:val="32"/>
          <w:szCs w:val="32"/>
          <w14:textFill>
            <w14:solidFill>
              <w14:schemeClr w14:val="tx1"/>
            </w14:solidFill>
          </w14:textFill>
        </w:rPr>
        <w:t>粪污处理利用情况</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52" w:name="_Hlk118051071"/>
      <w:r>
        <w:rPr>
          <w:rFonts w:eastAsia="方正仿宋简体"/>
          <w:b/>
          <w:bCs/>
          <w:color w:val="000000" w:themeColor="text1"/>
          <w:kern w:val="21"/>
          <w:sz w:val="32"/>
          <w:szCs w:val="32"/>
          <w14:textFill>
            <w14:solidFill>
              <w14:schemeClr w14:val="tx1"/>
            </w14:solidFill>
          </w14:textFill>
        </w:rPr>
        <w:t>近年来，济宁高新区把畜禽养殖污染治理摆上重要议程，逐步加大工作力度，强化规划布局，推广适宜模式，取得了较好效果。2020年，全区粪污利用量为6645吨，粪污综合利用率达到92%。</w:t>
      </w:r>
      <w:bookmarkEnd w:id="52"/>
      <w:r>
        <w:rPr>
          <w:rFonts w:eastAsia="方正仿宋简体"/>
          <w:b/>
          <w:bCs/>
          <w:color w:val="000000" w:themeColor="text1"/>
          <w:kern w:val="21"/>
          <w:sz w:val="32"/>
          <w:szCs w:val="32"/>
          <w14:textFill>
            <w14:solidFill>
              <w14:schemeClr w14:val="tx1"/>
            </w14:solidFill>
          </w14:textFill>
        </w:rPr>
        <w:t>一是推进标准化养殖，规范养殖户养殖行为。加大对畜禽养殖污染防治的扶持力度，提升养殖污染防治水平，推动第三方治理等社会化运营模式健康发展。二是完善资源化利用政策配套。加快推进种养结合、优化布局、农牧循环，围绕源头减量、过程控制、末端利用等环节，加大培训力度，推广适宜模式，促进畜禽粪污就近就地低成本还田利用。三是严格规范病死畜禽无害化处理。进一步落实无害化处理的主体责任，整合优化处理能力。健全病死畜禽无害化处理与保险联动机制。加强无害化处理监管，落实部门监管职责，规范无害化处理监管措施和程序，提高信息化监管能力。四是统筹推进畜牧业发展和环境保护，加快畜牧业转型升级和绿色发展。要统筹兼顾生产生态两大目标，以粪污综合利用为核心强化畜禽养殖污染治理，促进畜禽养殖业生产与环境保护协调发展，加强源头治理，科学解决畜禽养殖业发展带来的环境污染问题，推动畜禽养殖业的转型升级和持续发展。</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4. </w:t>
      </w:r>
      <w:r>
        <w:rPr>
          <w:rFonts w:ascii="Times New Roman" w:hAnsi="Times New Roman" w:eastAsia="方正仿宋简体"/>
          <w:b/>
          <w:bCs/>
          <w:color w:val="000000" w:themeColor="text1"/>
          <w:kern w:val="21"/>
          <w:sz w:val="32"/>
          <w:szCs w:val="32"/>
          <w14:textFill>
            <w14:solidFill>
              <w14:schemeClr w14:val="tx1"/>
            </w14:solidFill>
          </w14:textFill>
        </w:rPr>
        <w:t>禁养区划定情况及综合整治</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根据生态环境部、农业农村部《关于进一步规范畜禽养殖禁养区划定和管理促进生猪生产发展的通知》要求，济宁市生态环境局高新区分局联合济宁高新区</w:t>
      </w:r>
      <w:r>
        <w:rPr>
          <w:rFonts w:hint="eastAsia" w:eastAsia="方正仿宋简体"/>
          <w:b/>
          <w:bCs/>
          <w:color w:val="000000" w:themeColor="text1"/>
          <w:kern w:val="21"/>
          <w:sz w:val="32"/>
          <w:szCs w:val="32"/>
          <w14:textFill>
            <w14:solidFill>
              <w14:schemeClr w14:val="tx1"/>
            </w14:solidFill>
          </w14:textFill>
        </w:rPr>
        <w:t>发展软环境保障局（</w:t>
      </w:r>
      <w:r>
        <w:rPr>
          <w:rFonts w:eastAsia="方正仿宋简体"/>
          <w:b/>
          <w:bCs/>
          <w:color w:val="000000" w:themeColor="text1"/>
          <w:kern w:val="21"/>
          <w:sz w:val="32"/>
          <w:szCs w:val="32"/>
          <w14:textFill>
            <w14:solidFill>
              <w14:schemeClr w14:val="tx1"/>
            </w14:solidFill>
          </w14:textFill>
        </w:rPr>
        <w:t>城乡统筹</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共同开展济宁高新区畜禽养殖禁养区优化工作。在前期排查的基础上，严格依据《中华人民共和国畜牧法》《畜禽规模养殖污染防治条例》《中华人民共和国动物防疫法》《中华人民共和国城乡规划法》《中华人民共和国文物保护法》《基本农田保护条例》《山东省南水北调工程沿线区域水污染防治条例》等文件规定划定养殖禁养区，严禁超范围划定。济宁高新技术产业开发区管理委员会办公室于2020年2月发布《济宁高新区畜禽养殖禁养区优化方案》，畜禽养殖禁养区范围如下：</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城北水源地一级保护区（高新水厂）。为以单井或以外围井的外接多边形，分别向外径距离为130米的圆形或多边形区域。如在本方案执行期间，有饮用水水源保护区撤销或新增的，与之相应禁养区范围亦取消或新增。</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贾村水源地一级保护区。王回庄井为以水源井泵房范围为界；其他井以单井中心或以外围井的外接多边形，分别向外径距离为162米的圆形或多边形区域。如在本方案执行期间，有饮用水水源保护区撤销或新增的，与之相应禁养区范围亦取消或新增。</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53" w:name="OLE_LINK2"/>
      <w:r>
        <w:rPr>
          <w:rFonts w:eastAsia="方正仿宋简体"/>
          <w:b/>
          <w:bCs/>
          <w:color w:val="000000" w:themeColor="text1"/>
          <w:kern w:val="21"/>
          <w:sz w:val="32"/>
          <w:szCs w:val="32"/>
          <w14:textFill>
            <w14:solidFill>
              <w14:schemeClr w14:val="tx1"/>
            </w14:solidFill>
          </w14:textFill>
        </w:rPr>
        <w:t>（3）农村集中供水工程和饮用水源井</w:t>
      </w:r>
      <w:bookmarkEnd w:id="53"/>
      <w:r>
        <w:rPr>
          <w:rFonts w:eastAsia="方正仿宋简体"/>
          <w:b/>
          <w:bCs/>
          <w:color w:val="000000" w:themeColor="text1"/>
          <w:kern w:val="21"/>
          <w:sz w:val="32"/>
          <w:szCs w:val="32"/>
          <w14:textFill>
            <w14:solidFill>
              <w14:schemeClr w14:val="tx1"/>
            </w14:solidFill>
          </w14:textFill>
        </w:rPr>
        <w:t>。农村饮用水水源地半径50米以内。如在本方案执行期间，有饮用水水源保护区撤销或新增的，与之相应禁养区范围亦取消或新增。</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城市建设区、街道办事处驻地和文化教育科学研究区等人口集中区域。城市建成区纳入禁养区，具体边界调整东外环以西的高新区所属范围；东外环以东范围：西至东外环，东至西浦路，南至济邹路，北至任城大道东延；镇街驻地及居民区：仅指各街道驻地建成区纳入禁养区；文化教育科学研究区：区域内所有学校、幼儿园区域纳入禁养区。</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（5）法律法规规定的其它禁止建设养殖场的区域。</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根据《关于落实国家、省进一步规范畜禽养殖禁养区管理工作的紧急通知》，我区进一步厘清了畜禽养殖空间管控范围，对全区禁养区范围进行了优化调整，全区现有禁养区共计10处，总面积95.17平方公里。</w:t>
      </w:r>
    </w:p>
    <w:p>
      <w:pPr>
        <w:spacing w:line="560" w:lineRule="exact"/>
        <w:ind w:firstLine="643" w:firstLineChars="2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根据禁养区划定方案，各街道进行了禁养区专项整治工作，目前全部完成禁养区内综合整治工作，禁养区综合整治率达到 100%。</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54" w:name="_Toc12461"/>
      <w:r>
        <w:rPr>
          <w:rFonts w:eastAsia="方正楷体简体"/>
          <w:b/>
          <w:bCs/>
          <w:color w:val="000000" w:themeColor="text1"/>
          <w:kern w:val="21"/>
          <w:sz w:val="32"/>
          <w:szCs w:val="32"/>
          <w14:textFill>
            <w14:solidFill>
              <w14:schemeClr w14:val="tx1"/>
            </w14:solidFill>
          </w14:textFill>
        </w:rPr>
        <w:t>（三）种养结合现状</w:t>
      </w:r>
      <w:bookmarkEnd w:id="5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现有种植（耕地、种植园地）总面积为245924.61亩，粮食播种面积达到210706.31亩，总产量达到121139.37吨。经济作物播种面积达到35218.3亩，其中油料播种面积33415.3亩、总产量8356.23吨，蔬菜及食用菌播种面积46834亩、总产量152579.816吨。从作物类型和占比来看，济宁高新区主要以种植粮食作物为主，种植经济作物和蔬菜的占比很小。现有耕地可承载猪当量为344800头，各街道耕地可承载猪当量的阈值为275840。</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济宁高新区畜禽养殖猪当量总量为 3393.3头，其中王因街道畜禽养殖猪当量总量最大，猪当量总量为 2412.6 头；接庄街道畜禽养殖猪当量总量第二，猪当量总量为 632 头；黄屯街道畜禽养殖猪当量总量第三，猪当量总量为 348.7头。</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从济宁高新区现有耕地可承载猪当量和高新区畜禽养殖猪当量总量来看，全区产生的畜禽粪污均可被现有耕地完全消纳。</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55" w:name="_Toc27911"/>
      <w:r>
        <w:rPr>
          <w:rFonts w:eastAsia="方正楷体简体"/>
          <w:b/>
          <w:bCs/>
          <w:color w:val="000000" w:themeColor="text1"/>
          <w:kern w:val="21"/>
          <w:sz w:val="32"/>
          <w:szCs w:val="32"/>
          <w14:textFill>
            <w14:solidFill>
              <w14:schemeClr w14:val="tx1"/>
            </w14:solidFill>
          </w14:textFill>
        </w:rPr>
        <w:t>（四）存在的问题</w:t>
      </w:r>
      <w:bookmarkEnd w:id="55"/>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济宁高新区畜禽养殖发展规模较低，以养殖户和养殖散户为主，无规模化养殖场。养殖人员文化程度不高，部分养殖户存在生产粗放、防疫条件差、标准化程度低等问题；配建的粪污处理设施简陋、标准低，而当前畜禽养殖整体行情不佳，粪污处理设施和除臭设备投资较大，养殖业主很难独立承担治理污染的费用，畜禽养殖产生的异味对周边环境影响较大。</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环保意识不强，粪污设施简陋</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区域内养殖户以中小散户居多，大部分建设在村庄附近，个别在村内，从业人员以农村劳动力为主，文化程度不高，法律意识不强，环保意识较差，部分畜禽养殖户只追求经济效益，建设粪污处理设施简陋，与粪污产生量不配套。</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资金短缺，养殖户治污难度大</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养殖业受疫病及市场价格波动的影响，粪污处理设施和除臭设备投资大，中小养殖业主普遍缺乏投入治污设施的积极性，各级财政在畜禽污染治理上的投入较少，远不能满足粪污处理资金需求。</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畜禽养殖粪污无害化处理不规范</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养殖专业户污染防治设施配套率已达到100%，粪污处理设施正常运行，粪污无害化处理方式大部分采用堆肥方式，但堆肥处理程序不规范等问题。部分养殖户对技术细节掌握不到位，堆肥时间不够，致使粪污没有腐熟充分，未达到有效杀灭有害微生物与寄生虫卵的目的，不能发挥应有肥力，且运输过程中存在疫病扩散风险。</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运行情况掌握不及时</w:t>
      </w:r>
    </w:p>
    <w:p>
      <w:pPr>
        <w:pStyle w:val="2"/>
        <w:keepNext w:val="0"/>
        <w:keepLines w:val="0"/>
        <w:spacing w:beforeLines="0" w:afterLines="0" w:line="560" w:lineRule="exact"/>
        <w:ind w:firstLine="643" w:firstLineChars="200"/>
        <w:jc w:val="both"/>
        <w:rPr>
          <w:rFonts w:eastAsia="方正仿宋简体"/>
          <w:color w:val="000000" w:themeColor="text1"/>
          <w:kern w:val="21"/>
          <w:sz w:val="32"/>
          <w:szCs w:val="32"/>
          <w14:textFill>
            <w14:solidFill>
              <w14:schemeClr w14:val="tx1"/>
            </w14:solidFill>
          </w14:textFill>
        </w:rPr>
      </w:pPr>
      <w:bookmarkStart w:id="56" w:name="_Toc22076"/>
      <w:bookmarkStart w:id="57" w:name="_Toc99132315"/>
      <w:r>
        <w:rPr>
          <w:rFonts w:eastAsia="方正仿宋简体"/>
          <w:color w:val="000000" w:themeColor="text1"/>
          <w:kern w:val="21"/>
          <w:sz w:val="32"/>
          <w:szCs w:val="32"/>
          <w14:textFill>
            <w14:solidFill>
              <w14:schemeClr w14:val="tx1"/>
            </w14:solidFill>
          </w14:textFill>
        </w:rPr>
        <w:t>目前畜禽养殖户尚未对污水、粪便和恶臭进行定期监测，也未定期向环境保护行政主管部门报告污水处理设施和粪便处理设施的运行情况。</w:t>
      </w:r>
    </w:p>
    <w:p>
      <w:pPr>
        <w:spacing w:line="560" w:lineRule="exact"/>
        <w:ind w:firstLine="643" w:firstLineChars="200"/>
        <w:rPr>
          <w:rFonts w:eastAsia="方正小标宋简体"/>
          <w:b/>
          <w:bCs/>
          <w:color w:val="000000" w:themeColor="text1"/>
          <w:kern w:val="21"/>
          <w:sz w:val="32"/>
          <w:szCs w:val="36"/>
          <w14:textFill>
            <w14:solidFill>
              <w14:schemeClr w14:val="tx1"/>
            </w14:solidFill>
          </w14:textFill>
        </w:rPr>
      </w:pPr>
      <w:bookmarkStart w:id="58" w:name="_Toc14899"/>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第三章  规划目标与指标</w:t>
      </w:r>
      <w:bookmarkEnd w:id="58"/>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59" w:name="_Toc21570"/>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一、规划目标与指标</w:t>
      </w:r>
      <w:bookmarkEnd w:id="59"/>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ascii="Times New Roman" w:hAnsi="Times New Roman" w:eastAsia="方正楷体简体"/>
          <w:b/>
          <w:bCs/>
          <w:color w:val="000000" w:themeColor="text1"/>
          <w:kern w:val="21"/>
          <w:sz w:val="32"/>
          <w:szCs w:val="32"/>
          <w14:textFill>
            <w14:solidFill>
              <w14:schemeClr w14:val="tx1"/>
            </w14:solidFill>
          </w14:textFill>
        </w:rPr>
        <w:t>1. 规划目标</w:t>
      </w:r>
    </w:p>
    <w:p>
      <w:pPr>
        <w:pStyle w:val="19"/>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到2025年，建立起空间布局合理、种养结合紧密、粪污高效利用、污染治理能力大幅提升、污染排放有效控制的畜牧业发展与污染防治格局。建立起权责清晰、约束有力的畜禽养殖粪污资源化利用制度，全区畜禽粪污综合利用率达到93%以上，养殖专业户粪污处理设施配套率达到100%。</w:t>
      </w:r>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hint="eastAsia" w:ascii="Times New Roman" w:hAnsi="Times New Roman" w:eastAsia="方正楷体简体"/>
          <w:b/>
          <w:bCs/>
          <w:color w:val="000000" w:themeColor="text1"/>
          <w:kern w:val="21"/>
          <w:sz w:val="32"/>
          <w:szCs w:val="32"/>
          <w14:textFill>
            <w14:solidFill>
              <w14:schemeClr w14:val="tx1"/>
            </w14:solidFill>
          </w14:textFill>
        </w:rPr>
        <w:t xml:space="preserve">2. </w:t>
      </w:r>
      <w:r>
        <w:rPr>
          <w:rFonts w:ascii="Times New Roman" w:hAnsi="Times New Roman" w:eastAsia="方正楷体简体"/>
          <w:b/>
          <w:bCs/>
          <w:color w:val="000000" w:themeColor="text1"/>
          <w:kern w:val="21"/>
          <w:sz w:val="32"/>
          <w:szCs w:val="32"/>
          <w14:textFill>
            <w14:solidFill>
              <w14:schemeClr w14:val="tx1"/>
            </w14:solidFill>
          </w14:textFill>
        </w:rPr>
        <w:t>规划指标</w:t>
      </w:r>
    </w:p>
    <w:p>
      <w:pPr>
        <w:spacing w:line="560" w:lineRule="exact"/>
        <w:ind w:firstLine="643" w:firstLineChars="200"/>
        <w:rPr>
          <w:rFonts w:eastAsia="方正仿宋简体"/>
          <w:b/>
          <w:bCs/>
          <w:color w:val="000000" w:themeColor="text1"/>
          <w:kern w:val="21"/>
          <w:sz w:val="32"/>
          <w:szCs w:val="28"/>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济宁高新区畜禽养殖污染防治规划指标体系见表4。</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表4 济宁高新区畜禽养殖污染防治规划指标体系</w:t>
      </w:r>
    </w:p>
    <w:p>
      <w:pPr>
        <w:pStyle w:val="16"/>
      </w:pPr>
    </w:p>
    <w:tbl>
      <w:tblPr>
        <w:tblStyle w:val="22"/>
        <w:tblW w:w="88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2"/>
        <w:gridCol w:w="3216"/>
        <w:gridCol w:w="1063"/>
        <w:gridCol w:w="2110"/>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exact"/>
          <w:tblHeader/>
          <w:jc w:val="center"/>
        </w:trPr>
        <w:tc>
          <w:tcPr>
            <w:tcW w:w="90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bookmarkStart w:id="60" w:name="_Hlk118059419" w:colFirst="0" w:colLast="5"/>
            <w:r>
              <w:rPr>
                <w:rFonts w:eastAsia="方正仿宋简体"/>
                <w:b/>
                <w:bCs/>
                <w:color w:val="000000" w:themeColor="text1"/>
                <w:kern w:val="21"/>
                <w:sz w:val="28"/>
                <w:szCs w:val="28"/>
                <w14:textFill>
                  <w14:solidFill>
                    <w14:schemeClr w14:val="tx1"/>
                  </w14:solidFill>
                </w14:textFill>
              </w:rPr>
              <w:t>序号</w:t>
            </w:r>
          </w:p>
        </w:tc>
        <w:tc>
          <w:tcPr>
            <w:tcW w:w="321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指  标</w:t>
            </w:r>
          </w:p>
        </w:tc>
        <w:tc>
          <w:tcPr>
            <w:tcW w:w="10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现状值</w:t>
            </w:r>
          </w:p>
        </w:tc>
        <w:tc>
          <w:tcPr>
            <w:tcW w:w="211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2025年目标值</w:t>
            </w:r>
          </w:p>
        </w:tc>
        <w:tc>
          <w:tcPr>
            <w:tcW w:w="154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指标属性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0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321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畜禽粪污综合利用率</w:t>
            </w:r>
          </w:p>
        </w:tc>
        <w:tc>
          <w:tcPr>
            <w:tcW w:w="10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92%</w:t>
            </w:r>
          </w:p>
        </w:tc>
        <w:tc>
          <w:tcPr>
            <w:tcW w:w="211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93%以上</w:t>
            </w:r>
          </w:p>
        </w:tc>
        <w:tc>
          <w:tcPr>
            <w:tcW w:w="154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4" w:hRule="atLeast"/>
          <w:jc w:val="center"/>
        </w:trPr>
        <w:tc>
          <w:tcPr>
            <w:tcW w:w="90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w:t>
            </w:r>
          </w:p>
        </w:tc>
        <w:tc>
          <w:tcPr>
            <w:tcW w:w="321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畜禽养殖专业户粪污处理设施装备配套率</w:t>
            </w:r>
          </w:p>
        </w:tc>
        <w:tc>
          <w:tcPr>
            <w:tcW w:w="10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211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154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约束性</w:t>
            </w:r>
          </w:p>
        </w:tc>
      </w:tr>
      <w:bookmarkEnd w:id="60"/>
    </w:tbl>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61" w:name="_Toc17085"/>
      <w:r>
        <w:rPr>
          <w:rFonts w:eastAsia="方正黑体简体"/>
          <w:b/>
          <w:bCs/>
          <w:color w:val="000000" w:themeColor="text1"/>
          <w:kern w:val="21"/>
          <w:sz w:val="32"/>
          <w:szCs w:val="32"/>
          <w14:textFill>
            <w14:solidFill>
              <w14:schemeClr w14:val="tx1"/>
            </w14:solidFill>
          </w14:textFill>
        </w:rPr>
        <w:t>二、畜禽养殖环境承载力分析</w:t>
      </w:r>
      <w:bookmarkEnd w:id="61"/>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ascii="Times New Roman" w:hAnsi="Times New Roman" w:eastAsia="方正楷体简体"/>
          <w:b/>
          <w:bCs/>
          <w:color w:val="000000" w:themeColor="text1"/>
          <w:kern w:val="21"/>
          <w:sz w:val="32"/>
          <w:szCs w:val="32"/>
          <w14:textFill>
            <w14:solidFill>
              <w14:schemeClr w14:val="tx1"/>
            </w14:solidFill>
          </w14:textFill>
        </w:rPr>
        <w:t>1. 畜禽粪污土地承载力测算</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济宁高新区农用地总计15286.16公顷，其中：耕地10167.58公顷、园地306.78公顷、林地3437.61公顷，草地162.66公顷。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根据《畜禽粪污土地承载力测算技术指南》提供相关参数，在</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固体粪便堆肥外供+肥水就地利用</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条件下，耕地系数选取以磷为基础的玉米种植承载量，即1.9猪当量/亩；园地选取以氮为基础苹果种植承载量，即1.5猪当量/亩；林地选取以氮为基础杨树种植承载量，即0.9猪当量/亩，草地选取以氮为基础苜蓿种植承载量，即0.7猪当量/亩。经计算，高新区总可承载猪当量为34.48万头。综合考虑禁养区及耕地空间分布差异，理论承载量按照总可承载猪当量的80%计，为27.58万头猪当量。济宁高新区目前畜禽养殖核算猪当量3393.3头，占可承载猪当量的1.23%，土地承载力充足。因此，从全区范围的土地承载力来看，能够满足大力发展畜禽养殖业的需求，现有耕地能够全部消纳畜禽养殖所产生的全部粪污量。</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表5 济宁高新区养殖规模土地承载能力分析</w:t>
      </w:r>
    </w:p>
    <w:tbl>
      <w:tblPr>
        <w:tblStyle w:val="22"/>
        <w:tblW w:w="88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1341"/>
        <w:gridCol w:w="1400"/>
        <w:gridCol w:w="1538"/>
        <w:gridCol w:w="1563"/>
        <w:gridCol w:w="16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2" w:hRule="exact"/>
          <w:tblHeader/>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地类名称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面积</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（公顷）</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可承载猪当量</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（万头）</w:t>
            </w:r>
          </w:p>
        </w:tc>
        <w:tc>
          <w:tcPr>
            <w:tcW w:w="1538"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总可承载猪当量</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（万头）</w:t>
            </w:r>
          </w:p>
        </w:tc>
        <w:tc>
          <w:tcPr>
            <w:tcW w:w="15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土地可承载猪当量的阈值（80%）</w:t>
            </w:r>
          </w:p>
        </w:tc>
        <w:tc>
          <w:tcPr>
            <w:tcW w:w="163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核算的实际总猪当量（万头）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耕地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10167.58</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28.98</w:t>
            </w:r>
          </w:p>
        </w:tc>
        <w:tc>
          <w:tcPr>
            <w:tcW w:w="1538" w:type="dxa"/>
            <w:vMerge w:val="restart"/>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34.48</w:t>
            </w:r>
          </w:p>
        </w:tc>
        <w:tc>
          <w:tcPr>
            <w:tcW w:w="1563" w:type="dxa"/>
            <w:vMerge w:val="restart"/>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27.58</w:t>
            </w:r>
          </w:p>
        </w:tc>
        <w:tc>
          <w:tcPr>
            <w:tcW w:w="1639" w:type="dxa"/>
            <w:vMerge w:val="restart"/>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0.33933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园地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306.78</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0.69</w:t>
            </w:r>
          </w:p>
        </w:tc>
        <w:tc>
          <w:tcPr>
            <w:tcW w:w="1538"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563"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639"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草地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162.66</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0.17</w:t>
            </w:r>
          </w:p>
        </w:tc>
        <w:tc>
          <w:tcPr>
            <w:tcW w:w="1538"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563"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639"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林地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3437.61</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4.64</w:t>
            </w:r>
          </w:p>
        </w:tc>
        <w:tc>
          <w:tcPr>
            <w:tcW w:w="1538"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563"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639"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按照各街道各类农林用地面积核算可承载猪当量，并与当前养殖量对比。根据计算结果，济宁高新区各街道可承载猪当量与现状猪当量比例占最大的为黄屯街道，说明济宁高新区各街道的耕地能够全部消纳辖区内畜禽养殖产生的全部粪污量，畜禽粪污综合利用空间十分广阔。</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表6 济宁高新区各街道土地承载力与承载现状对比情况</w:t>
      </w:r>
    </w:p>
    <w:tbl>
      <w:tblPr>
        <w:tblStyle w:val="22"/>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4"/>
        <w:gridCol w:w="1699"/>
        <w:gridCol w:w="1746"/>
        <w:gridCol w:w="1044"/>
        <w:gridCol w:w="1462"/>
        <w:gridCol w:w="12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0" w:hRule="atLeast"/>
          <w:tblHeader/>
          <w:jc w:val="center"/>
        </w:trPr>
        <w:tc>
          <w:tcPr>
            <w:tcW w:w="153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区域</w:t>
            </w:r>
          </w:p>
        </w:tc>
        <w:tc>
          <w:tcPr>
            <w:tcW w:w="169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现状猪当量A（头）</w:t>
            </w:r>
          </w:p>
        </w:tc>
        <w:tc>
          <w:tcPr>
            <w:tcW w:w="174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可承载猪当量R（头）</w:t>
            </w:r>
          </w:p>
        </w:tc>
        <w:tc>
          <w:tcPr>
            <w:tcW w:w="104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R/A</w:t>
            </w:r>
          </w:p>
        </w:tc>
        <w:tc>
          <w:tcPr>
            <w:tcW w:w="1462"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阈值（以可承载80%计）</w:t>
            </w:r>
          </w:p>
        </w:tc>
        <w:tc>
          <w:tcPr>
            <w:tcW w:w="120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是否总量超载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exact"/>
          <w:jc w:val="center"/>
        </w:trPr>
        <w:tc>
          <w:tcPr>
            <w:tcW w:w="153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169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348.7</w:t>
            </w:r>
          </w:p>
        </w:tc>
        <w:tc>
          <w:tcPr>
            <w:tcW w:w="174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72416</w:t>
            </w:r>
          </w:p>
        </w:tc>
        <w:tc>
          <w:tcPr>
            <w:tcW w:w="104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207.67</w:t>
            </w:r>
          </w:p>
        </w:tc>
        <w:tc>
          <w:tcPr>
            <w:tcW w:w="146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57933</w:t>
            </w:r>
          </w:p>
        </w:tc>
        <w:tc>
          <w:tcPr>
            <w:tcW w:w="120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exact"/>
          <w:jc w:val="center"/>
        </w:trPr>
        <w:tc>
          <w:tcPr>
            <w:tcW w:w="153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169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632</w:t>
            </w:r>
          </w:p>
        </w:tc>
        <w:tc>
          <w:tcPr>
            <w:tcW w:w="174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108130</w:t>
            </w:r>
          </w:p>
        </w:tc>
        <w:tc>
          <w:tcPr>
            <w:tcW w:w="104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171.09</w:t>
            </w:r>
          </w:p>
        </w:tc>
        <w:tc>
          <w:tcPr>
            <w:tcW w:w="146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86504</w:t>
            </w:r>
          </w:p>
        </w:tc>
        <w:tc>
          <w:tcPr>
            <w:tcW w:w="120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exact"/>
          <w:jc w:val="center"/>
        </w:trPr>
        <w:tc>
          <w:tcPr>
            <w:tcW w:w="153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169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2412.6</w:t>
            </w:r>
          </w:p>
        </w:tc>
        <w:tc>
          <w:tcPr>
            <w:tcW w:w="174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134742</w:t>
            </w:r>
          </w:p>
        </w:tc>
        <w:tc>
          <w:tcPr>
            <w:tcW w:w="104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55.85</w:t>
            </w:r>
          </w:p>
        </w:tc>
        <w:tc>
          <w:tcPr>
            <w:tcW w:w="146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107794</w:t>
            </w:r>
          </w:p>
        </w:tc>
        <w:tc>
          <w:tcPr>
            <w:tcW w:w="120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否</w:t>
            </w:r>
          </w:p>
        </w:tc>
      </w:tr>
    </w:tbl>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ascii="Times New Roman" w:hAnsi="Times New Roman" w:eastAsia="方正楷体简体"/>
          <w:b/>
          <w:bCs/>
          <w:color w:val="000000" w:themeColor="text1"/>
          <w:kern w:val="21"/>
          <w:sz w:val="32"/>
          <w:szCs w:val="32"/>
          <w14:textFill>
            <w14:solidFill>
              <w14:schemeClr w14:val="tx1"/>
            </w14:solidFill>
          </w14:textFill>
        </w:rPr>
        <w:t>2. 水资源承载力测算</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区内多年平均水资源总量为7594万立方米，地表水资源量为2099万立方米，地下水可开采量为5895万立方米。根据《山东省农业用水定额》（DB37/T 3772—2019）中的畜牧业基本用水定额，一个猪当量用水量为7m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头•年。按照最大承载量上限34.48万头猪当量计算，年总用水量为241.64万立方米，占济宁高新区水资源总量的3.18%。可见，高新区水资源承载力能够满足畜禽养殖发展需要，畜禽养殖行业发展重点应考虑土地承载能力。同时，考虑到存在区域性缺水和季节性缺水，部分区域时空分布不均，发展过程中应尽可能采取节水措施以降低水资源消耗。</w:t>
      </w:r>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hint="eastAsia" w:ascii="Times New Roman" w:hAnsi="Times New Roman" w:eastAsia="方正楷体简体"/>
          <w:b/>
          <w:bCs/>
          <w:color w:val="000000" w:themeColor="text1"/>
          <w:kern w:val="21"/>
          <w:sz w:val="32"/>
          <w:szCs w:val="32"/>
          <w14:textFill>
            <w14:solidFill>
              <w14:schemeClr w14:val="tx1"/>
            </w14:solidFill>
          </w14:textFill>
        </w:rPr>
        <w:t xml:space="preserve">2. </w:t>
      </w:r>
      <w:r>
        <w:rPr>
          <w:rFonts w:ascii="Times New Roman" w:hAnsi="Times New Roman" w:eastAsia="方正楷体简体"/>
          <w:b/>
          <w:bCs/>
          <w:color w:val="000000" w:themeColor="text1"/>
          <w:kern w:val="21"/>
          <w:sz w:val="32"/>
          <w:szCs w:val="32"/>
          <w14:textFill>
            <w14:solidFill>
              <w14:schemeClr w14:val="tx1"/>
            </w14:solidFill>
          </w14:textFill>
        </w:rPr>
        <w:t>水环境承载力测算</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设置水质监测断面的河流为洸府河和蓼河。共设置2个河流水质镇域监测断面。依据《水环境承载力评价办法（试行）》，统计2020年济宁高新区区主要河流水质达标情况，计算得到主要河流环境承载力，水环境承载力指数越大，表明区域水环境系统对社会经济系统支持能力越强。</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表7 主要河流现状水环境承载力评价</w:t>
      </w:r>
    </w:p>
    <w:tbl>
      <w:tblPr>
        <w:tblStyle w:val="22"/>
        <w:tblW w:w="52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122"/>
        <w:gridCol w:w="637"/>
        <w:gridCol w:w="1304"/>
        <w:gridCol w:w="659"/>
        <w:gridCol w:w="678"/>
        <w:gridCol w:w="716"/>
        <w:gridCol w:w="673"/>
        <w:gridCol w:w="934"/>
        <w:gridCol w:w="649"/>
        <w:gridCol w:w="857"/>
        <w:gridCol w:w="6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39"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序号</w:t>
            </w:r>
          </w:p>
        </w:tc>
        <w:tc>
          <w:tcPr>
            <w:tcW w:w="598"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河流名称</w:t>
            </w:r>
          </w:p>
        </w:tc>
        <w:tc>
          <w:tcPr>
            <w:tcW w:w="339"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断面级别</w:t>
            </w:r>
          </w:p>
        </w:tc>
        <w:tc>
          <w:tcPr>
            <w:tcW w:w="695"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断面名称</w:t>
            </w:r>
          </w:p>
        </w:tc>
        <w:tc>
          <w:tcPr>
            <w:tcW w:w="1453" w:type="pct"/>
            <w:gridSpan w:val="4"/>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水质时间达标率</w:t>
            </w:r>
          </w:p>
        </w:tc>
        <w:tc>
          <w:tcPr>
            <w:tcW w:w="844" w:type="pct"/>
            <w:gridSpan w:val="2"/>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水质空间</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达标率</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承载力指数</w:t>
            </w:r>
          </w:p>
        </w:tc>
        <w:tc>
          <w:tcPr>
            <w:tcW w:w="372"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239"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598"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339"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695"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35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达标</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次数</w:t>
            </w:r>
          </w:p>
        </w:tc>
        <w:tc>
          <w:tcPr>
            <w:tcW w:w="36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监测次数</w:t>
            </w:r>
          </w:p>
        </w:tc>
        <w:tc>
          <w:tcPr>
            <w:tcW w:w="38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Ci</w:t>
            </w:r>
          </w:p>
        </w:tc>
        <w:tc>
          <w:tcPr>
            <w:tcW w:w="35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A1</w:t>
            </w:r>
          </w:p>
        </w:tc>
        <w:tc>
          <w:tcPr>
            <w:tcW w:w="4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年均值达标</w:t>
            </w:r>
          </w:p>
        </w:tc>
        <w:tc>
          <w:tcPr>
            <w:tcW w:w="346"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A2</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Rc</w:t>
            </w:r>
          </w:p>
        </w:tc>
        <w:tc>
          <w:tcPr>
            <w:tcW w:w="372"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2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5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洸府河</w:t>
            </w:r>
          </w:p>
        </w:tc>
        <w:tc>
          <w:tcPr>
            <w:tcW w:w="3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国控</w:t>
            </w:r>
          </w:p>
        </w:tc>
        <w:tc>
          <w:tcPr>
            <w:tcW w:w="695"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洸府河</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东石佛</w:t>
            </w:r>
          </w:p>
        </w:tc>
        <w:tc>
          <w:tcPr>
            <w:tcW w:w="35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w:t>
            </w:r>
          </w:p>
        </w:tc>
        <w:tc>
          <w:tcPr>
            <w:tcW w:w="36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12</w:t>
            </w:r>
          </w:p>
        </w:tc>
        <w:tc>
          <w:tcPr>
            <w:tcW w:w="38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83.33%</w:t>
            </w:r>
          </w:p>
        </w:tc>
        <w:tc>
          <w:tcPr>
            <w:tcW w:w="35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83.33%</w:t>
            </w:r>
          </w:p>
        </w:tc>
        <w:tc>
          <w:tcPr>
            <w:tcW w:w="4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346"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91.67%</w:t>
            </w:r>
          </w:p>
        </w:tc>
        <w:tc>
          <w:tcPr>
            <w:tcW w:w="37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未超载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w:t>
            </w:r>
          </w:p>
        </w:tc>
        <w:tc>
          <w:tcPr>
            <w:tcW w:w="5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蓼河</w:t>
            </w:r>
          </w:p>
        </w:tc>
        <w:tc>
          <w:tcPr>
            <w:tcW w:w="3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省控</w:t>
            </w:r>
          </w:p>
        </w:tc>
        <w:tc>
          <w:tcPr>
            <w:tcW w:w="695"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蓼河东</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外环桥</w:t>
            </w:r>
          </w:p>
        </w:tc>
        <w:tc>
          <w:tcPr>
            <w:tcW w:w="35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w:t>
            </w:r>
          </w:p>
        </w:tc>
        <w:tc>
          <w:tcPr>
            <w:tcW w:w="36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w:t>
            </w:r>
          </w:p>
        </w:tc>
        <w:tc>
          <w:tcPr>
            <w:tcW w:w="38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90.91%</w:t>
            </w:r>
          </w:p>
        </w:tc>
        <w:tc>
          <w:tcPr>
            <w:tcW w:w="35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85.66%</w:t>
            </w:r>
          </w:p>
        </w:tc>
        <w:tc>
          <w:tcPr>
            <w:tcW w:w="4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346"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92.83</w:t>
            </w:r>
          </w:p>
        </w:tc>
        <w:tc>
          <w:tcPr>
            <w:tcW w:w="37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未超载</w:t>
            </w:r>
          </w:p>
        </w:tc>
      </w:tr>
    </w:tbl>
    <w:p>
      <w:pPr>
        <w:spacing w:line="560" w:lineRule="exact"/>
        <w:ind w:firstLine="643" w:firstLineChars="200"/>
        <w:rPr>
          <w:rFonts w:eastAsia="方正仿宋简体"/>
          <w:b/>
          <w:bCs/>
          <w:color w:val="000000" w:themeColor="text1"/>
          <w:kern w:val="21"/>
          <w:sz w:val="32"/>
          <w:szCs w:val="24"/>
          <w14:textFill>
            <w14:solidFill>
              <w14:schemeClr w14:val="tx1"/>
            </w14:solidFill>
          </w14:textFill>
        </w:rPr>
      </w:pPr>
      <w:r>
        <w:rPr>
          <w:rFonts w:eastAsia="方正仿宋简体"/>
          <w:b/>
          <w:bCs/>
          <w:color w:val="000000" w:themeColor="text1"/>
          <w:kern w:val="21"/>
          <w:sz w:val="32"/>
          <w:szCs w:val="24"/>
          <w14:textFill>
            <w14:solidFill>
              <w14:schemeClr w14:val="tx1"/>
            </w14:solidFill>
          </w14:textFill>
        </w:rPr>
        <w:t>注：1.评价结果包括市本级和行政区域内县级行政单元。</w:t>
      </w:r>
    </w:p>
    <w:p>
      <w:pPr>
        <w:spacing w:line="560" w:lineRule="exact"/>
        <w:ind w:firstLine="1285" w:firstLineChars="4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24"/>
          <w14:textFill>
            <w14:solidFill>
              <w14:schemeClr w14:val="tx1"/>
            </w14:solidFill>
          </w14:textFill>
        </w:rPr>
        <w:t>2.承载状态：填写</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超载</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临界超载</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未超载</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，当Rc＜70%时，为超载状态；当70%≤Rc＜90%时，为临界超载状态；当Rc≥90%时，为未超载状态。</w:t>
      </w:r>
    </w:p>
    <w:p>
      <w:pPr>
        <w:pStyle w:val="76"/>
        <w:spacing w:beforeLines="0" w:afterLines="0" w:line="560" w:lineRule="exact"/>
        <w:ind w:firstLine="643" w:firstLineChars="200"/>
        <w:rPr>
          <w:rFonts w:eastAsia="方正仿宋简体"/>
          <w:bCs/>
          <w:color w:val="000000" w:themeColor="text1"/>
          <w:kern w:val="21"/>
          <w:sz w:val="32"/>
          <w:szCs w:val="32"/>
          <w14:textFill>
            <w14:solidFill>
              <w14:schemeClr w14:val="tx1"/>
            </w14:solidFill>
          </w14:textFill>
        </w:rPr>
      </w:pPr>
      <w:r>
        <w:rPr>
          <w:rFonts w:eastAsia="方正仿宋简体"/>
          <w:bCs/>
          <w:color w:val="000000" w:themeColor="text1"/>
          <w:kern w:val="21"/>
          <w:sz w:val="32"/>
          <w:szCs w:val="32"/>
          <w14:textFill>
            <w14:solidFill>
              <w14:schemeClr w14:val="tx1"/>
            </w14:solidFill>
          </w14:textFill>
        </w:rPr>
        <w:t>由评价结果可知，济宁高新区水环境处于未超载状态。</w:t>
      </w:r>
    </w:p>
    <w:bookmarkEnd w:id="56"/>
    <w:bookmarkEnd w:id="57"/>
    <w:p>
      <w:pPr>
        <w:pStyle w:val="2"/>
        <w:keepNext w:val="0"/>
        <w:keepLines w:val="0"/>
        <w:spacing w:beforeLines="0" w:afterLines="0" w:line="560" w:lineRule="exact"/>
        <w:ind w:firstLine="643" w:firstLineChars="200"/>
        <w:jc w:val="both"/>
        <w:rPr>
          <w:rFonts w:eastAsia="仿宋_GB2312"/>
          <w:color w:val="000000" w:themeColor="text1"/>
          <w:kern w:val="21"/>
          <w:sz w:val="32"/>
          <w:szCs w:val="36"/>
          <w14:textFill>
            <w14:solidFill>
              <w14:schemeClr w14:val="tx1"/>
            </w14:solidFill>
          </w14:textFill>
        </w:rPr>
      </w:pPr>
      <w:bookmarkStart w:id="62" w:name="_Toc30723"/>
      <w:bookmarkStart w:id="63" w:name="_Toc120973238"/>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第四章  主要任务</w:t>
      </w:r>
      <w:bookmarkEnd w:id="62"/>
      <w:bookmarkEnd w:id="63"/>
    </w:p>
    <w:p>
      <w:pPr>
        <w:pStyle w:val="9"/>
        <w:spacing w:after="0" w:line="560" w:lineRule="exact"/>
        <w:ind w:left="0" w:leftChars="0" w:firstLine="643"/>
        <w:outlineLvl w:val="1"/>
        <w:rPr>
          <w:rFonts w:eastAsia="仿宋_GB2312"/>
          <w:b/>
          <w:bCs/>
          <w:color w:val="000000" w:themeColor="text1"/>
          <w:kern w:val="21"/>
          <w:sz w:val="32"/>
          <w:szCs w:val="32"/>
          <w14:textFill>
            <w14:solidFill>
              <w14:schemeClr w14:val="tx1"/>
            </w14:solidFill>
          </w14:textFill>
        </w:rPr>
      </w:pPr>
      <w:bookmarkStart w:id="64" w:name="_Toc24645"/>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一、坚持分区管控，优化养殖空间布局</w:t>
      </w:r>
    </w:p>
    <w:bookmarkEnd w:id="64"/>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65" w:name="_Toc16914"/>
      <w:r>
        <w:rPr>
          <w:rFonts w:eastAsia="方正仿宋简体"/>
          <w:b/>
          <w:bCs/>
          <w:color w:val="000000" w:themeColor="text1"/>
          <w:kern w:val="21"/>
          <w:sz w:val="32"/>
          <w:szCs w:val="32"/>
          <w14:textFill>
            <w14:solidFill>
              <w14:schemeClr w14:val="tx1"/>
            </w14:solidFill>
          </w14:textFill>
        </w:rPr>
        <w:t>加强畜禽养殖禁养区管理。根据济宁高新区畜禽养殖禁养区优化方案、</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三线一单</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生态环境分区管控方案、水环境分区管控方案等进一步优化养殖业布局。严格落实畜禽养殖禁养区管理规定。结合饮用水水源保护区调整、区域环境容量、调整畜禽养殖业结构、布局和规模的需要，组织开展实地勘察、核定边界。加强对禁养区内已关闭搬迁的畜禽养殖场和养殖户的巡查和监管，严防禁养区内畜禽养殖</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反弹</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复养</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现象发生。禁止在畜禽养殖禁养区新建畜禽养殖场和散养户，加大对禁养区内违法养殖行为的查处力度。</w:t>
      </w:r>
    </w:p>
    <w:p>
      <w:pPr>
        <w:pStyle w:val="9"/>
        <w:spacing w:after="0" w:line="560" w:lineRule="exact"/>
        <w:ind w:left="0" w:leftChars="0" w:firstLine="643"/>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严格畜禽养殖业环境准入。依法开展畜牧业发展规划的环境影响评价，确保畜禽养殖产业发展符合区域环境功能定位和环境保护要求。新建畜禽养殖场选址应位于畜禽养殖非禁养区，须符合城镇总体规划、土地利用总体规划、畜牧业发展规划、生态环境功能区划和环境保护规划，且尽量设在敏感区常年主导风向的下风向或侧风向，养殖场场界与敏感区之间距离应满足其大气环境防护距离和卫生防护距离。新建或改扩建畜禽养殖场，应配备粪污收集、贮存、处理、利用设施，并配套与养殖规模和处理工艺相适应的粪污消纳用地，落实环境影响评价制度。畜禽养殖污染防治设施要落实</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 xml:space="preserve"> 三同时</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 xml:space="preserve"> 制度，加强建设项目工程监理，严格项目验收，确保综合利用和污染防治效果。</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二、落实主体责任，完善污染防治设施建设</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落实养殖场户主体责任。养殖场户应当切实履行粪污利用和污染防治主体责任，采取措施对畜禽粪污进行科学处理和资源化利用，防止污染环境。从事畜禽养殖要严格落实《中华人民共和国固体废物污染环境防治法》《中华人民共和国水污染防治法》、国务院《畜禽规模养殖污染防治条例》要求，建设粪污无害化处理和资源化利用设施并确保其正常运行。对畜禽养殖污染防治设施配套不到位，粪污未经无害化处理直接还田或向环境排放，不符合国家和地方排放标准的，畜牧兽医部门要加强技术指导和服务，生态环境部门要依法查处。</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完善畜禽粪污处理设施。根据《畜禽养殖场（户）粪污处理设施建设技术指南》，指导畜禽养殖场（户）科学建设粪污资源化利用设施，提高设施装备配套和整体建设水平。粪污暂存池容积要与养殖量、暂存周期匹配。堆（沤）肥设施发酵容积要与养殖量、发酵周期匹配。委托第三方处理机构或外销给种植户、家庭农场等无害化处理畜禽粪污后综合利用的，须与受委托方或购买方签订粪污委托处理（购销）协议或合同。严禁以委托或外销等名义，转移畜禽粪污形成二次污染。委托第三方处理的，应按照转运时间间隔建设粪污暂存设施并定期清运。粪污运输时，应采取有效措施防止跑、冒、滴、漏。畜禽粪污自行土地利用的，应配备并使用与养殖规模相匹配的粪污</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消纳用地。</w:t>
      </w:r>
    </w:p>
    <w:bookmarkEnd w:id="65"/>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三、坚持绿色发展，提升畜禽粪污资源化利用水平</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推广清洁技术模式。针对不同养殖规模、畜种和现有条件因场施策，实行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一场一策</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推广应用科学合理、经济有效的畜禽粪污处理方式。在源头减量上，推广干清粪、雨污分流、固液分离等技术模式，控制养殖污水产生量。在过程控制上，推广发酵床、添加益生菌等技术模式，加速畜禽粪污无害化处理。在末端利用上，推广全量收集还田、水肥一体化、能源化、基质化、清洁回用等技术模式。淘汰全程水冲粪清粪方式。严格规范兽药、饲料添加剂的生产和使用，严厉打击生产企业违法违规使用兽用抗菌药物的行为。倡导养殖户通过喷洒微生物菌剂、增设水帘、物理吸附等过程控臭，密闭收集处理、机械过滤、臭气收集等末端除臭，改善畜禽养殖周边空气环境。</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规范畜禽粪便无害化处理。按照《畜禽粪便还田技术规范》（GB/T 25246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2010）》《畜禽粪便无害化卫生要求（GB7959</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2012）》《畜禽粪便无害化处理技术规范（GB/T 36195</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2018）》有关要求，采用粪污堆沤就近还田模式的，堆体温度维持50℃以上的时间不少于7天，或45℃以上的时间不少于14天，堆体周围不应有活的蛆、蛹或新羽化的成蝇，确保达到无害化处理利用要求后施用。规模以下养殖户自行处理畜禽粪污的，应配备与养殖规模相匹配的粪污消纳土地，采用堆积腐熟发酵等形式达到无害化要求后就地就近还田。配套土地面积不足，无法就地就近换田利用的，应委托第三方社会化服务组织代为实现粪污资源化利用，并及时记录有关信息。</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四、畅通种养结合路径，提高种养结合机械化水平</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畅通种养结合路径。实施《十四五全国畜禽粪肥利用种养结合建设规划》，畅通农业内部资源循环。推行液体粪肥机械化施用，培育粪肥还田社会化服务组织，推行养殖场（户）付费处理、种植户付费用肥，建立多方利益联结机制。建立畜禽粪肥和沼气等终端产品使用政策支持体系，推动形成粪污收集、贮存、处理、运输、利用市场机制，提高终端产品竞争力。开展试点示范，因地制宜推广堆沤肥还田、液体粪污贮存还田等技术模式，推动粪肥低成本还田利用，提高粪肥还田效率。统筹考虑种养布局和规模，降低粪肥加工、运输成本。形成可复制可推广的养殖场户、服务组织和种植主体紧密衔接的绿色循环农业发展模式。解决粪污收集及储运能力与农作物季节性施肥不对称的问题及养殖场粪便、液肥到种植基地</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最后一公里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的输送问题。</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提高种养结合机械化水平。认真贯彻落实《关于加快推进畜牧业机械化发展的意见》，探索种养结合机械化模式，推广循环农业模式，促进畜禽养殖废弃物利用，着力补齐畜牧业机械化短板。大力发展畜禽标准化养殖，加快推进饲草料收获加工、种畜禽性能测定、精准饲喂、智能环控、畜产品采集、畜禽屠宰加工、卫生防疫、病死畜禽处理、粪污处理利用、养殖异味消除等环节全过程机械化。落实畜禽种类成套设备补贴政策，提高畜牧装备成套设备供给能力，推进主要畜种养殖各环节机械化均衡发展。</w:t>
      </w:r>
      <w:bookmarkStart w:id="66" w:name="_Toc25954"/>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bookmarkStart w:id="67" w:name="_Toc11872"/>
      <w:r>
        <w:rPr>
          <w:rFonts w:eastAsia="方正黑体简体"/>
          <w:b/>
          <w:bCs/>
          <w:color w:val="000000" w:themeColor="text1"/>
          <w:kern w:val="21"/>
          <w:sz w:val="32"/>
          <w:szCs w:val="32"/>
          <w14:textFill>
            <w14:solidFill>
              <w14:schemeClr w14:val="tx1"/>
            </w14:solidFill>
          </w14:textFill>
        </w:rPr>
        <w:t>五、强化生态环境监管</w:t>
      </w:r>
      <w:bookmarkEnd w:id="67"/>
      <w:r>
        <w:rPr>
          <w:rFonts w:eastAsia="方正黑体简体"/>
          <w:b/>
          <w:bCs/>
          <w:color w:val="000000" w:themeColor="text1"/>
          <w:kern w:val="21"/>
          <w:sz w:val="32"/>
          <w:szCs w:val="32"/>
          <w14:textFill>
            <w14:solidFill>
              <w14:schemeClr w14:val="tx1"/>
            </w14:solidFill>
          </w14:textFill>
        </w:rPr>
        <w:t>，推进台账制度实施</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68" w:name="_Toc20231"/>
      <w:r>
        <w:rPr>
          <w:rFonts w:eastAsia="方正仿宋简体"/>
          <w:b/>
          <w:bCs/>
          <w:color w:val="000000" w:themeColor="text1"/>
          <w:kern w:val="21"/>
          <w:sz w:val="32"/>
          <w:szCs w:val="32"/>
          <w14:textFill>
            <w14:solidFill>
              <w14:schemeClr w14:val="tx1"/>
            </w14:solidFill>
          </w14:textFill>
        </w:rPr>
        <w:t>加强跟踪服务，强化生态环境监管。落实街道属地管理责任、养殖业主主体责任、畜牧兽医部门行业主管责任、生态环境部门监管责任，加强畜禽养殖粪污资源化利用考核。以街道为主体，强化日常巡查监管，建立区乡村三级联动的畜禽养殖污染防治监管体系。畜牧兽医部门加强对畜禽养殖户的跟踪服务指导，生态环境部门加强对畜禽养殖户的监督，把畜禽粪污资源化利用计划和台账作为技术指导、执法监管的重要依据。生态环境部门要依法加强畜禽养殖污染执法监管，加大部门间协同配合，联合开展检查，及时发现问题及时进行解决，坚决防止问题反复反弹，确保工作取得实效。</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完善台账管理制度。鼓励畜禽养殖户配备视频监控设施，记录粪污处理、运输和资源化利用等情况，防止粪污偷运偷排。畜牧兽医部门指导养殖专业户将畜禽粪污资源化利用情况作为养殖档案的重要内容，建立畜禽粪污资源化利用台账，及时准确记录有关信息，确保畜禽粪污去向可追溯。委托第三方代为实现粪污资源化利用的要及时准确记录有关信息。进一步畅通部门协作机制，加强信息共享、典型培树、宣传培训，指导养殖户准确理解填报要求和指标含义。</w:t>
      </w:r>
    </w:p>
    <w:bookmarkEnd w:id="66"/>
    <w:bookmarkEnd w:id="68"/>
    <w:p>
      <w:pPr>
        <w:pStyle w:val="2"/>
        <w:keepNext w:val="0"/>
        <w:keepLines w:val="0"/>
        <w:spacing w:beforeLines="0" w:afterLines="0" w:line="560" w:lineRule="exact"/>
        <w:ind w:firstLine="643" w:firstLineChars="200"/>
        <w:jc w:val="both"/>
        <w:rPr>
          <w:rFonts w:eastAsia="仿宋_GB2312"/>
          <w:color w:val="000000" w:themeColor="text1"/>
          <w:kern w:val="21"/>
          <w:sz w:val="32"/>
          <w:szCs w:val="36"/>
          <w14:textFill>
            <w14:solidFill>
              <w14:schemeClr w14:val="tx1"/>
            </w14:solidFill>
          </w14:textFill>
        </w:rPr>
      </w:pPr>
      <w:bookmarkStart w:id="69" w:name="_Toc3375"/>
      <w:bookmarkStart w:id="70" w:name="_Toc120973240"/>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第五章  保障措施</w:t>
      </w:r>
      <w:bookmarkEnd w:id="69"/>
      <w:bookmarkEnd w:id="70"/>
    </w:p>
    <w:p>
      <w:pPr>
        <w:pStyle w:val="9"/>
        <w:spacing w:after="0" w:line="560" w:lineRule="exact"/>
        <w:ind w:left="0" w:leftChars="0" w:firstLine="643"/>
        <w:outlineLvl w:val="1"/>
        <w:rPr>
          <w:rFonts w:eastAsia="黑体"/>
          <w:b/>
          <w:bCs/>
          <w:color w:val="000000" w:themeColor="text1"/>
          <w:kern w:val="21"/>
          <w:sz w:val="32"/>
          <w:szCs w:val="32"/>
          <w14:textFill>
            <w14:solidFill>
              <w14:schemeClr w14:val="tx1"/>
            </w14:solidFill>
          </w14:textFill>
        </w:rPr>
      </w:pPr>
      <w:bookmarkStart w:id="71" w:name="_Toc12519"/>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一、加强领导，</w:t>
      </w:r>
      <w:bookmarkEnd w:id="71"/>
      <w:r>
        <w:rPr>
          <w:rFonts w:eastAsia="方正黑体简体"/>
          <w:b/>
          <w:bCs/>
          <w:color w:val="000000" w:themeColor="text1"/>
          <w:kern w:val="21"/>
          <w:sz w:val="32"/>
          <w:szCs w:val="32"/>
          <w14:textFill>
            <w14:solidFill>
              <w14:schemeClr w14:val="tx1"/>
            </w14:solidFill>
          </w14:textFill>
        </w:rPr>
        <w:t>落实责任</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加强对畜禽养殖污染防治工作的组织领导，加强污染防治工作协调，建立有效的部门沟通协作机制，按照部门职责分工，分解落实畜禽养殖污染防治任务，实现资源和信息共享，形成部门合力，保障畜禽养殖管理工作的顺利进行。</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72" w:name="_Toc28475"/>
      <w:r>
        <w:rPr>
          <w:rFonts w:eastAsia="方正仿宋简体"/>
          <w:b/>
          <w:bCs/>
          <w:color w:val="000000" w:themeColor="text1"/>
          <w:kern w:val="21"/>
          <w:sz w:val="32"/>
          <w:szCs w:val="32"/>
          <w14:textFill>
            <w14:solidFill>
              <w14:schemeClr w14:val="tx1"/>
            </w14:solidFill>
          </w14:textFill>
        </w:rPr>
        <w:t>济宁高新区</w:t>
      </w:r>
      <w:r>
        <w:rPr>
          <w:rFonts w:hint="eastAsia" w:eastAsia="方正仿宋简体"/>
          <w:b/>
          <w:bCs/>
          <w:color w:val="000000" w:themeColor="text1"/>
          <w:kern w:val="21"/>
          <w:sz w:val="32"/>
          <w:szCs w:val="32"/>
          <w14:textFill>
            <w14:solidFill>
              <w14:schemeClr w14:val="tx1"/>
            </w14:solidFill>
          </w14:textFill>
        </w:rPr>
        <w:t>发展软环境保障局（</w:t>
      </w:r>
      <w:r>
        <w:rPr>
          <w:rFonts w:eastAsia="方正仿宋简体"/>
          <w:b/>
          <w:bCs/>
          <w:color w:val="000000" w:themeColor="text1"/>
          <w:kern w:val="21"/>
          <w:sz w:val="32"/>
          <w:szCs w:val="32"/>
          <w14:textFill>
            <w14:solidFill>
              <w14:schemeClr w14:val="tx1"/>
            </w14:solidFill>
          </w14:textFill>
        </w:rPr>
        <w:t>城乡统筹</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负责</w:t>
      </w:r>
      <w:r>
        <w:rPr>
          <w:rFonts w:hint="eastAsia" w:eastAsia="方正仿宋简体"/>
          <w:b/>
          <w:bCs/>
          <w:color w:val="000000" w:themeColor="text1"/>
          <w:kern w:val="21"/>
          <w:sz w:val="32"/>
          <w:szCs w:val="32"/>
          <w14:textFill>
            <w14:solidFill>
              <w14:schemeClr w14:val="tx1"/>
            </w14:solidFill>
          </w14:textFill>
        </w:rPr>
        <w:t>畜禽粪污综合利用的指导和服务；指导各</w:t>
      </w:r>
      <w:r>
        <w:rPr>
          <w:rFonts w:hint="eastAsia" w:eastAsia="方正仿宋简体"/>
          <w:b/>
          <w:bCs/>
          <w:color w:val="000000" w:themeColor="text1"/>
          <w:kern w:val="21"/>
          <w:sz w:val="32"/>
          <w:szCs w:val="32"/>
          <w:lang w:val="en-US" w:eastAsia="zh-CN"/>
          <w14:textFill>
            <w14:solidFill>
              <w14:schemeClr w14:val="tx1"/>
            </w14:solidFill>
          </w14:textFill>
        </w:rPr>
        <w:t>街道</w:t>
      </w:r>
      <w:r>
        <w:rPr>
          <w:rFonts w:hint="eastAsia" w:eastAsia="方正仿宋简体"/>
          <w:b/>
          <w:bCs/>
          <w:color w:val="000000" w:themeColor="text1"/>
          <w:kern w:val="21"/>
          <w:sz w:val="32"/>
          <w:szCs w:val="32"/>
          <w14:textFill>
            <w14:solidFill>
              <w14:schemeClr w14:val="tx1"/>
            </w14:solidFill>
          </w14:textFill>
        </w:rPr>
        <w:t>开展粪污处理设施的建设；开展养殖生产、粪污处理的培训，指导养殖场改进养殖工艺和设备。</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济宁市生态环境局高新区分局负责畜禽规模养殖场污染防治的统一监督管理；</w:t>
      </w:r>
      <w:r>
        <w:rPr>
          <w:rFonts w:hint="eastAsia" w:eastAsia="方正仿宋简体"/>
          <w:b/>
          <w:bCs/>
          <w:color w:val="000000" w:themeColor="text1"/>
          <w:kern w:val="21"/>
          <w:sz w:val="32"/>
          <w:szCs w:val="32"/>
          <w14:textFill>
            <w14:solidFill>
              <w14:schemeClr w14:val="tx1"/>
            </w14:solidFill>
          </w14:textFill>
        </w:rPr>
        <w:t>负责新（改、扩）建规模养殖场（小区）的环境影响评价和审批、养殖场（小区）排污许可（登记）等工作，加强环境污染治理设施执行</w:t>
      </w:r>
      <w:r>
        <w:rPr>
          <w:rFonts w:hint="eastAsia" w:eastAsia="方正仿宋简体"/>
          <w:b/>
          <w:bCs/>
          <w:color w:val="000000" w:themeColor="text1"/>
          <w:kern w:val="21"/>
          <w:sz w:val="32"/>
          <w:szCs w:val="32"/>
          <w:lang w:eastAsia="zh-CN"/>
          <w14:textFill>
            <w14:solidFill>
              <w14:schemeClr w14:val="tx1"/>
            </w14:solidFill>
          </w14:textFill>
        </w:rPr>
        <w:t>“</w:t>
      </w:r>
      <w:r>
        <w:rPr>
          <w:rFonts w:hint="eastAsia" w:eastAsia="方正仿宋简体"/>
          <w:b/>
          <w:bCs/>
          <w:color w:val="000000" w:themeColor="text1"/>
          <w:kern w:val="21"/>
          <w:sz w:val="32"/>
          <w:szCs w:val="32"/>
          <w14:textFill>
            <w14:solidFill>
              <w14:schemeClr w14:val="tx1"/>
            </w14:solidFill>
          </w14:textFill>
        </w:rPr>
        <w:t>三同时</w:t>
      </w:r>
      <w:r>
        <w:rPr>
          <w:rFonts w:hint="eastAsia" w:eastAsia="方正仿宋简体"/>
          <w:b/>
          <w:bCs/>
          <w:color w:val="000000" w:themeColor="text1"/>
          <w:kern w:val="21"/>
          <w:sz w:val="32"/>
          <w:szCs w:val="32"/>
          <w:lang w:eastAsia="zh-CN"/>
          <w14:textFill>
            <w14:solidFill>
              <w14:schemeClr w14:val="tx1"/>
            </w14:solidFill>
          </w14:textFill>
        </w:rPr>
        <w:t>”</w:t>
      </w:r>
      <w:r>
        <w:rPr>
          <w:rFonts w:hint="eastAsia" w:eastAsia="方正仿宋简体"/>
          <w:b/>
          <w:bCs/>
          <w:color w:val="000000" w:themeColor="text1"/>
          <w:kern w:val="21"/>
          <w:sz w:val="32"/>
          <w:szCs w:val="32"/>
          <w14:textFill>
            <w14:solidFill>
              <w14:schemeClr w14:val="tx1"/>
            </w14:solidFill>
          </w14:textFill>
        </w:rPr>
        <w:t>的监督检查。</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各街道要</w:t>
      </w:r>
      <w:r>
        <w:rPr>
          <w:rFonts w:hint="eastAsia" w:eastAsia="方正仿宋简体"/>
          <w:b/>
          <w:bCs/>
          <w:color w:val="000000" w:themeColor="text1"/>
          <w:kern w:val="21"/>
          <w:sz w:val="32"/>
          <w:szCs w:val="32"/>
          <w14:textFill>
            <w14:solidFill>
              <w14:schemeClr w14:val="tx1"/>
            </w14:solidFill>
          </w14:textFill>
        </w:rPr>
        <w:t>落实畜禽粪污资源化利用属地管理责任，对辖区内的畜禽粪污资源化利用和污染防治工作负总责。</w:t>
      </w:r>
      <w:r>
        <w:rPr>
          <w:rFonts w:eastAsia="方正仿宋简体"/>
          <w:b/>
          <w:bCs/>
          <w:color w:val="000000" w:themeColor="text1"/>
          <w:kern w:val="21"/>
          <w:sz w:val="32"/>
          <w:szCs w:val="32"/>
          <w14:textFill>
            <w14:solidFill>
              <w14:schemeClr w14:val="tx1"/>
            </w14:solidFill>
          </w14:textFill>
        </w:rPr>
        <w:t>组织人员加大日常巡查指导频次，压实养殖场户主体责任，做到治污设施应建尽建，确保已建粪污处理设施正常运行，并建立完善粪污处理台账；及时现问题及时清理整治，坚决杜绝粪污偷排直排、漏填堆积等问题发生。</w:t>
      </w:r>
    </w:p>
    <w:bookmarkEnd w:id="72"/>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t>二</w:t>
      </w:r>
      <w:r>
        <w:rPr>
          <w:rFonts w:eastAsia="方正黑体简体"/>
          <w:b/>
          <w:bCs/>
          <w:color w:val="000000" w:themeColor="text1"/>
          <w:kern w:val="21"/>
          <w:sz w:val="32"/>
          <w:szCs w:val="32"/>
          <w14:textFill>
            <w14:solidFill>
              <w14:schemeClr w14:val="tx1"/>
            </w14:solidFill>
          </w14:textFill>
        </w:rPr>
        <w:t>、明确职责，强化考核</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突出工作重点，明确治理任务及进度，各街道、各有关部门要按照职责分工，切实履职到位，做好畜禽养殖污染防治工作。通过多部门联合监督、专项监督和日常性监督等多种监管方式加大畜禽养殖污染日常监督和执法管理，并将</w:t>
      </w:r>
      <w:bookmarkStart w:id="73" w:name="_Toc28922"/>
      <w:r>
        <w:rPr>
          <w:rFonts w:eastAsia="方正仿宋简体"/>
          <w:b/>
          <w:bCs/>
          <w:color w:val="000000" w:themeColor="text1"/>
          <w:kern w:val="21"/>
          <w:sz w:val="32"/>
          <w:szCs w:val="32"/>
          <w14:textFill>
            <w14:solidFill>
              <w14:schemeClr w14:val="tx1"/>
            </w14:solidFill>
          </w14:textFill>
        </w:rPr>
        <w:t>畜禽粪污资源化利用和污染整治工作纳入年底作考核，定期通报工作进展，即时发现问题即时进行交办，限期整改到位，确保任务落实到位。</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t>三</w:t>
      </w:r>
      <w:r>
        <w:rPr>
          <w:rFonts w:eastAsia="方正黑体简体"/>
          <w:b/>
          <w:bCs/>
          <w:color w:val="000000" w:themeColor="text1"/>
          <w:kern w:val="21"/>
          <w:sz w:val="32"/>
          <w:szCs w:val="32"/>
          <w14:textFill>
            <w14:solidFill>
              <w14:schemeClr w14:val="tx1"/>
            </w14:solidFill>
          </w14:textFill>
        </w:rPr>
        <w:t>、完善政策，加大扶持</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统筹运用现有的环保和涉农财政政策，加强资金整合，逐步建立各级财政、企业、社会多元化投入机制。优先制定和实施废弃物资源化利用、污染治理设施建设和运营，环境监测收费等优惠和扶持措施。加大对技术研发的投入和政策支持。</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t>四</w:t>
      </w:r>
      <w:r>
        <w:rPr>
          <w:rFonts w:eastAsia="方正黑体简体"/>
          <w:b/>
          <w:bCs/>
          <w:color w:val="000000" w:themeColor="text1"/>
          <w:kern w:val="21"/>
          <w:sz w:val="32"/>
          <w:szCs w:val="32"/>
          <w14:textFill>
            <w14:solidFill>
              <w14:schemeClr w14:val="tx1"/>
            </w14:solidFill>
          </w14:textFill>
        </w:rPr>
        <w:t>、</w:t>
      </w:r>
      <w:bookmarkEnd w:id="73"/>
      <w:bookmarkStart w:id="74" w:name="_Toc9950"/>
      <w:r>
        <w:rPr>
          <w:rFonts w:eastAsia="方正黑体简体"/>
          <w:b/>
          <w:bCs/>
          <w:color w:val="000000" w:themeColor="text1"/>
          <w:kern w:val="21"/>
          <w:sz w:val="32"/>
          <w:szCs w:val="32"/>
          <w14:textFill>
            <w14:solidFill>
              <w14:schemeClr w14:val="tx1"/>
            </w14:solidFill>
          </w14:textFill>
        </w:rPr>
        <w:t>加强宣传，</w:t>
      </w:r>
      <w:bookmarkEnd w:id="74"/>
      <w:r>
        <w:rPr>
          <w:rFonts w:eastAsia="方正黑体简体"/>
          <w:b/>
          <w:bCs/>
          <w:color w:val="000000" w:themeColor="text1"/>
          <w:kern w:val="21"/>
          <w:sz w:val="32"/>
          <w:szCs w:val="32"/>
          <w14:textFill>
            <w14:solidFill>
              <w14:schemeClr w14:val="tx1"/>
            </w14:solidFill>
          </w14:textFill>
        </w:rPr>
        <w:t>公众参与</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sectPr>
          <w:headerReference r:id="rId3" w:type="default"/>
          <w:footerReference r:id="rId4" w:type="default"/>
          <w:pgSz w:w="11906" w:h="16838"/>
          <w:pgMar w:top="2098" w:right="1474" w:bottom="1984" w:left="1587" w:header="850" w:footer="1587" w:gutter="0"/>
          <w:pgNumType w:fmt="numberInDash"/>
          <w:cols w:space="0" w:num="1"/>
          <w:docGrid w:type="lines" w:linePitch="312" w:charSpace="0"/>
        </w:sectPr>
      </w:pPr>
      <w:r>
        <w:rPr>
          <w:rFonts w:eastAsia="方正仿宋简体"/>
          <w:b/>
          <w:bCs/>
          <w:color w:val="000000" w:themeColor="text1"/>
          <w:kern w:val="21"/>
          <w:sz w:val="32"/>
          <w:szCs w:val="32"/>
          <w14:textFill>
            <w14:solidFill>
              <w14:schemeClr w14:val="tx1"/>
            </w14:solidFill>
          </w14:textFill>
        </w:rPr>
        <w:t>各级各有关部门要充分利用电视、报刊、网络等多种媒体加强法律法规宣传，增强畜禽养殖从业人员的法律意识、责任意识、环保意识，营造全社会推动畜禽养殖废弃物资源化利用的良好氛围。开辟公众参与生态保护的有效途径，推动环境信息及时公开，为公众参与环境监督提供必要的条件。</w:t>
      </w:r>
    </w:p>
    <w:p>
      <w:pPr>
        <w:pStyle w:val="2"/>
        <w:keepNext w:val="0"/>
        <w:keepLines w:val="0"/>
        <w:overflowPunct w:val="0"/>
        <w:snapToGrid w:val="0"/>
        <w:spacing w:beforeLines="0" w:afterLines="0" w:line="560" w:lineRule="exact"/>
        <w:jc w:val="left"/>
        <w:rPr>
          <w:rFonts w:ascii="宋体" w:hAnsi="宋体" w:eastAsia="宋体" w:cs="宋体"/>
          <w:color w:val="000000" w:themeColor="text1"/>
          <w:kern w:val="21"/>
          <w14:textFill>
            <w14:solidFill>
              <w14:schemeClr w14:val="tx1"/>
            </w14:solidFill>
          </w14:textFill>
        </w:rPr>
      </w:pPr>
      <w:bookmarkStart w:id="75" w:name="_Toc120973241"/>
      <w:bookmarkStart w:id="76" w:name="_Toc4197"/>
      <w:r>
        <w:rPr>
          <w:rFonts w:eastAsia="方正黑体简体"/>
          <w:color w:val="000000" w:themeColor="text1"/>
          <w:kern w:val="21"/>
          <w:sz w:val="32"/>
          <w:szCs w:val="32"/>
          <w14:textFill>
            <w14:solidFill>
              <w14:schemeClr w14:val="tx1"/>
            </w14:solidFill>
          </w14:textFill>
        </w:rPr>
        <w:t>附表1</w:t>
      </w:r>
      <w:bookmarkEnd w:id="75"/>
      <w:bookmarkEnd w:id="76"/>
      <w:bookmarkStart w:id="77" w:name="_Toc120973244"/>
      <w:bookmarkStart w:id="78" w:name="_Toc27528"/>
    </w:p>
    <w:p>
      <w:pPr>
        <w:pStyle w:val="2"/>
        <w:keepNext w:val="0"/>
        <w:keepLines w:val="0"/>
        <w:spacing w:beforeLines="0" w:afterLines="0" w:line="240" w:lineRule="auto"/>
        <w:rPr>
          <w:rFonts w:eastAsia="方正小标宋简体"/>
          <w:color w:val="000000" w:themeColor="text1"/>
          <w:kern w:val="21"/>
          <w14:textFill>
            <w14:solidFill>
              <w14:schemeClr w14:val="tx1"/>
            </w14:solidFill>
          </w14:textFill>
        </w:rPr>
      </w:pPr>
      <w:r>
        <w:rPr>
          <w:rFonts w:hint="eastAsia" w:eastAsia="方正小标宋简体"/>
          <w:color w:val="000000" w:themeColor="text1"/>
          <w:kern w:val="21"/>
          <w14:textFill>
            <w14:solidFill>
              <w14:schemeClr w14:val="tx1"/>
            </w14:solidFill>
          </w14:textFill>
        </w:rPr>
        <w:t>2020年济宁高新区畜禽养殖户粪污处理设施配建情况调查表</w:t>
      </w:r>
      <w:bookmarkEnd w:id="77"/>
      <w:bookmarkEnd w:id="78"/>
    </w:p>
    <w:tbl>
      <w:tblPr>
        <w:tblStyle w:val="22"/>
        <w:tblW w:w="136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53"/>
        <w:gridCol w:w="1115"/>
        <w:gridCol w:w="1455"/>
        <w:gridCol w:w="461"/>
        <w:gridCol w:w="763"/>
        <w:gridCol w:w="756"/>
        <w:gridCol w:w="626"/>
        <w:gridCol w:w="626"/>
        <w:gridCol w:w="626"/>
        <w:gridCol w:w="730"/>
        <w:gridCol w:w="551"/>
        <w:gridCol w:w="669"/>
        <w:gridCol w:w="548"/>
        <w:gridCol w:w="518"/>
        <w:gridCol w:w="463"/>
        <w:gridCol w:w="663"/>
        <w:gridCol w:w="857"/>
        <w:gridCol w:w="733"/>
        <w:gridCol w:w="474"/>
        <w:gridCol w:w="6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8" w:hRule="atLeast"/>
          <w:tblHeader/>
          <w:jc w:val="center"/>
        </w:trPr>
        <w:tc>
          <w:tcPr>
            <w:tcW w:w="353" w:type="dxa"/>
            <w:vMerge w:val="restart"/>
            <w:noWrap/>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序号</w:t>
            </w:r>
          </w:p>
        </w:tc>
        <w:tc>
          <w:tcPr>
            <w:tcW w:w="1115"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畜禽养殖场户名称</w:t>
            </w:r>
          </w:p>
        </w:tc>
        <w:tc>
          <w:tcPr>
            <w:tcW w:w="1455"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具体地址</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/街道、村）</w:t>
            </w:r>
          </w:p>
        </w:tc>
        <w:tc>
          <w:tcPr>
            <w:tcW w:w="461"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养殖</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畜种</w:t>
            </w:r>
          </w:p>
        </w:tc>
        <w:tc>
          <w:tcPr>
            <w:tcW w:w="76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养殖</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类型</w:t>
            </w:r>
          </w:p>
        </w:tc>
        <w:tc>
          <w:tcPr>
            <w:tcW w:w="756"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设计存栏量</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头、只）</w:t>
            </w:r>
          </w:p>
        </w:tc>
        <w:tc>
          <w:tcPr>
            <w:tcW w:w="2608" w:type="dxa"/>
            <w:gridSpan w:val="4"/>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现有粪污处理设施、设备</w:t>
            </w:r>
          </w:p>
        </w:tc>
        <w:tc>
          <w:tcPr>
            <w:tcW w:w="551"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处理设施是否匹配</w:t>
            </w:r>
          </w:p>
        </w:tc>
        <w:tc>
          <w:tcPr>
            <w:tcW w:w="669"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清粪</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方式</w:t>
            </w:r>
          </w:p>
        </w:tc>
        <w:tc>
          <w:tcPr>
            <w:tcW w:w="548"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粪便处理方式</w:t>
            </w:r>
          </w:p>
        </w:tc>
        <w:tc>
          <w:tcPr>
            <w:tcW w:w="518"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养殖废水去向</w:t>
            </w:r>
          </w:p>
        </w:tc>
        <w:tc>
          <w:tcPr>
            <w:tcW w:w="46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是否定期自行检测</w:t>
            </w:r>
          </w:p>
        </w:tc>
        <w:tc>
          <w:tcPr>
            <w:tcW w:w="66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配套粪肥消纳土地面积</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亩）</w:t>
            </w:r>
          </w:p>
        </w:tc>
        <w:tc>
          <w:tcPr>
            <w:tcW w:w="857"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是否配备氨气等臭气治理设施</w:t>
            </w:r>
          </w:p>
        </w:tc>
        <w:tc>
          <w:tcPr>
            <w:tcW w:w="73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臭气治理措施工艺</w:t>
            </w:r>
          </w:p>
        </w:tc>
        <w:tc>
          <w:tcPr>
            <w:tcW w:w="474"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粪污去向</w:t>
            </w:r>
          </w:p>
        </w:tc>
        <w:tc>
          <w:tcPr>
            <w:tcW w:w="690"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畜禽粪便就地利用比例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4" w:hRule="atLeast"/>
          <w:tblHeader/>
          <w:jc w:val="center"/>
        </w:trPr>
        <w:tc>
          <w:tcPr>
            <w:tcW w:w="353" w:type="dxa"/>
            <w:vMerge w:val="continue"/>
            <w:vAlign w:val="center"/>
          </w:tcPr>
          <w:p>
            <w:pPr>
              <w:spacing w:line="240" w:lineRule="exact"/>
              <w:rPr>
                <w:b/>
                <w:bCs/>
                <w:color w:val="000000" w:themeColor="text1"/>
                <w:kern w:val="21"/>
                <w14:textFill>
                  <w14:solidFill>
                    <w14:schemeClr w14:val="tx1"/>
                  </w14:solidFill>
                </w14:textFill>
              </w:rPr>
            </w:pPr>
          </w:p>
        </w:tc>
        <w:tc>
          <w:tcPr>
            <w:tcW w:w="1115" w:type="dxa"/>
            <w:vMerge w:val="continue"/>
            <w:vAlign w:val="center"/>
          </w:tcPr>
          <w:p>
            <w:pPr>
              <w:spacing w:line="240" w:lineRule="exact"/>
              <w:rPr>
                <w:b/>
                <w:bCs/>
                <w:color w:val="000000" w:themeColor="text1"/>
                <w:kern w:val="21"/>
                <w14:textFill>
                  <w14:solidFill>
                    <w14:schemeClr w14:val="tx1"/>
                  </w14:solidFill>
                </w14:textFill>
              </w:rPr>
            </w:pPr>
          </w:p>
        </w:tc>
        <w:tc>
          <w:tcPr>
            <w:tcW w:w="1455" w:type="dxa"/>
            <w:vMerge w:val="continue"/>
            <w:vAlign w:val="center"/>
          </w:tcPr>
          <w:p>
            <w:pPr>
              <w:spacing w:line="240" w:lineRule="exact"/>
              <w:rPr>
                <w:b/>
                <w:bCs/>
                <w:color w:val="000000" w:themeColor="text1"/>
                <w:kern w:val="21"/>
                <w14:textFill>
                  <w14:solidFill>
                    <w14:schemeClr w14:val="tx1"/>
                  </w14:solidFill>
                </w14:textFill>
              </w:rPr>
            </w:pPr>
          </w:p>
        </w:tc>
        <w:tc>
          <w:tcPr>
            <w:tcW w:w="461" w:type="dxa"/>
            <w:vMerge w:val="continue"/>
            <w:vAlign w:val="center"/>
          </w:tcPr>
          <w:p>
            <w:pPr>
              <w:spacing w:line="240" w:lineRule="exact"/>
              <w:rPr>
                <w:b/>
                <w:bCs/>
                <w:color w:val="000000" w:themeColor="text1"/>
                <w:kern w:val="21"/>
                <w14:textFill>
                  <w14:solidFill>
                    <w14:schemeClr w14:val="tx1"/>
                  </w14:solidFill>
                </w14:textFill>
              </w:rPr>
            </w:pPr>
          </w:p>
        </w:tc>
        <w:tc>
          <w:tcPr>
            <w:tcW w:w="763" w:type="dxa"/>
            <w:vMerge w:val="continue"/>
            <w:vAlign w:val="center"/>
          </w:tcPr>
          <w:p>
            <w:pPr>
              <w:spacing w:line="240" w:lineRule="exact"/>
              <w:rPr>
                <w:b/>
                <w:bCs/>
                <w:color w:val="000000" w:themeColor="text1"/>
                <w:kern w:val="21"/>
                <w14:textFill>
                  <w14:solidFill>
                    <w14:schemeClr w14:val="tx1"/>
                  </w14:solidFill>
                </w14:textFill>
              </w:rPr>
            </w:pPr>
          </w:p>
        </w:tc>
        <w:tc>
          <w:tcPr>
            <w:tcW w:w="756" w:type="dxa"/>
            <w:vMerge w:val="continue"/>
            <w:vAlign w:val="center"/>
          </w:tcPr>
          <w:p>
            <w:pPr>
              <w:spacing w:line="240" w:lineRule="exact"/>
              <w:rPr>
                <w:b/>
                <w:bCs/>
                <w:color w:val="000000" w:themeColor="text1"/>
                <w:kern w:val="21"/>
                <w14:textFill>
                  <w14:solidFill>
                    <w14:schemeClr w14:val="tx1"/>
                  </w14:solidFill>
                </w14:textFill>
              </w:rPr>
            </w:pPr>
          </w:p>
        </w:tc>
        <w:tc>
          <w:tcPr>
            <w:tcW w:w="626"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储粪棚</w:t>
            </w:r>
            <w:r>
              <w:rPr>
                <w:rFonts w:hint="eastAsia" w:eastAsia="方正黑体简体"/>
                <w:b/>
                <w:bCs/>
                <w:color w:val="000000" w:themeColor="text1"/>
                <w:kern w:val="21"/>
                <w:sz w:val="15"/>
                <w:szCs w:val="15"/>
                <w14:textFill>
                  <w14:solidFill>
                    <w14:schemeClr w14:val="tx1"/>
                  </w14:solidFill>
                </w14:textFill>
              </w:rPr>
              <w:t>（</w:t>
            </w:r>
            <w:r>
              <w:rPr>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w:t>
            </w:r>
          </w:p>
        </w:tc>
        <w:tc>
          <w:tcPr>
            <w:tcW w:w="626"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污水池容积</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m</w:t>
            </w:r>
            <w:r>
              <w:rPr>
                <w:b/>
                <w:bCs/>
                <w:color w:val="000000" w:themeColor="text1"/>
                <w:kern w:val="21"/>
                <w:sz w:val="15"/>
                <w:szCs w:val="15"/>
                <w14:textFill>
                  <w14:solidFill>
                    <w14:schemeClr w14:val="tx1"/>
                  </w14:solidFill>
                </w14:textFill>
              </w:rPr>
              <w:t>³</w:t>
            </w:r>
            <w:r>
              <w:rPr>
                <w:rFonts w:eastAsia="方正黑体简体"/>
                <w:b/>
                <w:bCs/>
                <w:color w:val="000000" w:themeColor="text1"/>
                <w:kern w:val="21"/>
                <w:sz w:val="15"/>
                <w:szCs w:val="15"/>
                <w14:textFill>
                  <w14:solidFill>
                    <w14:schemeClr w14:val="tx1"/>
                  </w14:solidFill>
                </w14:textFill>
              </w:rPr>
              <w:t>）</w:t>
            </w:r>
          </w:p>
        </w:tc>
        <w:tc>
          <w:tcPr>
            <w:tcW w:w="626"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沼气池容积</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m</w:t>
            </w:r>
            <w:r>
              <w:rPr>
                <w:b/>
                <w:bCs/>
                <w:color w:val="000000" w:themeColor="text1"/>
                <w:kern w:val="21"/>
                <w:sz w:val="15"/>
                <w:szCs w:val="15"/>
                <w14:textFill>
                  <w14:solidFill>
                    <w14:schemeClr w14:val="tx1"/>
                  </w14:solidFill>
                </w14:textFill>
              </w:rPr>
              <w:t>³</w:t>
            </w:r>
            <w:r>
              <w:rPr>
                <w:rFonts w:eastAsia="方正黑体简体"/>
                <w:b/>
                <w:bCs/>
                <w:color w:val="000000" w:themeColor="text1"/>
                <w:kern w:val="21"/>
                <w:sz w:val="15"/>
                <w:szCs w:val="15"/>
                <w14:textFill>
                  <w14:solidFill>
                    <w14:schemeClr w14:val="tx1"/>
                  </w14:solidFill>
                </w14:textFill>
              </w:rPr>
              <w:t>）</w:t>
            </w:r>
          </w:p>
        </w:tc>
        <w:tc>
          <w:tcPr>
            <w:tcW w:w="730"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其他</w:t>
            </w:r>
          </w:p>
        </w:tc>
        <w:tc>
          <w:tcPr>
            <w:tcW w:w="551" w:type="dxa"/>
            <w:vMerge w:val="continue"/>
            <w:vAlign w:val="center"/>
          </w:tcPr>
          <w:p>
            <w:pPr>
              <w:spacing w:line="240" w:lineRule="exact"/>
              <w:rPr>
                <w:b/>
                <w:bCs/>
                <w:color w:val="000000" w:themeColor="text1"/>
                <w:kern w:val="21"/>
                <w14:textFill>
                  <w14:solidFill>
                    <w14:schemeClr w14:val="tx1"/>
                  </w14:solidFill>
                </w14:textFill>
              </w:rPr>
            </w:pPr>
          </w:p>
        </w:tc>
        <w:tc>
          <w:tcPr>
            <w:tcW w:w="669" w:type="dxa"/>
            <w:vMerge w:val="continue"/>
            <w:vAlign w:val="center"/>
          </w:tcPr>
          <w:p>
            <w:pPr>
              <w:spacing w:line="240" w:lineRule="exact"/>
              <w:rPr>
                <w:b/>
                <w:bCs/>
                <w:color w:val="000000" w:themeColor="text1"/>
                <w:kern w:val="21"/>
                <w14:textFill>
                  <w14:solidFill>
                    <w14:schemeClr w14:val="tx1"/>
                  </w14:solidFill>
                </w14:textFill>
              </w:rPr>
            </w:pPr>
          </w:p>
        </w:tc>
        <w:tc>
          <w:tcPr>
            <w:tcW w:w="548" w:type="dxa"/>
            <w:vMerge w:val="continue"/>
            <w:vAlign w:val="center"/>
          </w:tcPr>
          <w:p>
            <w:pPr>
              <w:spacing w:line="240" w:lineRule="exact"/>
              <w:rPr>
                <w:b/>
                <w:bCs/>
                <w:color w:val="000000" w:themeColor="text1"/>
                <w:kern w:val="21"/>
                <w14:textFill>
                  <w14:solidFill>
                    <w14:schemeClr w14:val="tx1"/>
                  </w14:solidFill>
                </w14:textFill>
              </w:rPr>
            </w:pPr>
          </w:p>
        </w:tc>
        <w:tc>
          <w:tcPr>
            <w:tcW w:w="518" w:type="dxa"/>
            <w:vMerge w:val="continue"/>
            <w:vAlign w:val="center"/>
          </w:tcPr>
          <w:p>
            <w:pPr>
              <w:spacing w:line="240" w:lineRule="exact"/>
              <w:rPr>
                <w:b/>
                <w:bCs/>
                <w:color w:val="000000" w:themeColor="text1"/>
                <w:kern w:val="21"/>
                <w14:textFill>
                  <w14:solidFill>
                    <w14:schemeClr w14:val="tx1"/>
                  </w14:solidFill>
                </w14:textFill>
              </w:rPr>
            </w:pPr>
          </w:p>
        </w:tc>
        <w:tc>
          <w:tcPr>
            <w:tcW w:w="463" w:type="dxa"/>
            <w:vMerge w:val="continue"/>
            <w:vAlign w:val="center"/>
          </w:tcPr>
          <w:p>
            <w:pPr>
              <w:spacing w:line="240" w:lineRule="exact"/>
              <w:rPr>
                <w:b/>
                <w:bCs/>
                <w:color w:val="000000" w:themeColor="text1"/>
                <w:kern w:val="21"/>
                <w14:textFill>
                  <w14:solidFill>
                    <w14:schemeClr w14:val="tx1"/>
                  </w14:solidFill>
                </w14:textFill>
              </w:rPr>
            </w:pPr>
          </w:p>
        </w:tc>
        <w:tc>
          <w:tcPr>
            <w:tcW w:w="663" w:type="dxa"/>
            <w:vMerge w:val="continue"/>
            <w:vAlign w:val="center"/>
          </w:tcPr>
          <w:p>
            <w:pPr>
              <w:spacing w:line="240" w:lineRule="exact"/>
              <w:rPr>
                <w:b/>
                <w:bCs/>
                <w:color w:val="000000" w:themeColor="text1"/>
                <w:kern w:val="21"/>
                <w14:textFill>
                  <w14:solidFill>
                    <w14:schemeClr w14:val="tx1"/>
                  </w14:solidFill>
                </w14:textFill>
              </w:rPr>
            </w:pPr>
          </w:p>
        </w:tc>
        <w:tc>
          <w:tcPr>
            <w:tcW w:w="857" w:type="dxa"/>
            <w:vMerge w:val="continue"/>
            <w:vAlign w:val="center"/>
          </w:tcPr>
          <w:p>
            <w:pPr>
              <w:spacing w:line="240" w:lineRule="exact"/>
              <w:rPr>
                <w:b/>
                <w:bCs/>
                <w:color w:val="000000" w:themeColor="text1"/>
                <w:kern w:val="21"/>
                <w14:textFill>
                  <w14:solidFill>
                    <w14:schemeClr w14:val="tx1"/>
                  </w14:solidFill>
                </w14:textFill>
              </w:rPr>
            </w:pPr>
          </w:p>
        </w:tc>
        <w:tc>
          <w:tcPr>
            <w:tcW w:w="733" w:type="dxa"/>
            <w:vMerge w:val="continue"/>
            <w:vAlign w:val="center"/>
          </w:tcPr>
          <w:p>
            <w:pPr>
              <w:spacing w:line="240" w:lineRule="exact"/>
              <w:rPr>
                <w:b/>
                <w:bCs/>
                <w:color w:val="000000" w:themeColor="text1"/>
                <w:kern w:val="21"/>
                <w14:textFill>
                  <w14:solidFill>
                    <w14:schemeClr w14:val="tx1"/>
                  </w14:solidFill>
                </w14:textFill>
              </w:rPr>
            </w:pPr>
          </w:p>
        </w:tc>
        <w:tc>
          <w:tcPr>
            <w:tcW w:w="474" w:type="dxa"/>
            <w:vMerge w:val="continue"/>
            <w:vAlign w:val="center"/>
          </w:tcPr>
          <w:p>
            <w:pPr>
              <w:spacing w:line="240" w:lineRule="exact"/>
              <w:rPr>
                <w:b/>
                <w:bCs/>
                <w:color w:val="000000" w:themeColor="text1"/>
                <w:kern w:val="21"/>
                <w14:textFill>
                  <w14:solidFill>
                    <w14:schemeClr w14:val="tx1"/>
                  </w14:solidFill>
                </w14:textFill>
              </w:rPr>
            </w:pPr>
          </w:p>
        </w:tc>
        <w:tc>
          <w:tcPr>
            <w:tcW w:w="690" w:type="dxa"/>
            <w:vMerge w:val="continue"/>
            <w:vAlign w:val="center"/>
          </w:tcPr>
          <w:p>
            <w:pPr>
              <w:spacing w:line="240" w:lineRule="exact"/>
              <w:rPr>
                <w:b/>
                <w:bCs/>
                <w:color w:val="000000" w:themeColor="text1"/>
                <w:kern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1</w:t>
            </w:r>
          </w:p>
        </w:tc>
        <w:tc>
          <w:tcPr>
            <w:tcW w:w="111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韩庆环</w:t>
            </w:r>
            <w:r>
              <w:rPr>
                <w:rFonts w:eastAsia="仿宋_GB2312"/>
                <w:b/>
                <w:bCs/>
                <w:color w:val="000000" w:themeColor="text1"/>
                <w:kern w:val="21"/>
                <w:sz w:val="15"/>
                <w:szCs w:val="15"/>
                <w14:textFill>
                  <w14:solidFill>
                    <w14:schemeClr w14:val="tx1"/>
                  </w14:solidFill>
                </w14:textFill>
              </w:rPr>
              <w:t>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黄屯街道孙氏店村</w:t>
            </w:r>
          </w:p>
        </w:tc>
        <w:tc>
          <w:tcPr>
            <w:tcW w:w="46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1"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邱培江养殖场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黄屯街道孙氏店村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80</w:t>
            </w: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4"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刘养明养殖场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黄屯街道孙氏闸村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73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韩善安养殖场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黄屯街道卓村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林宪垒养殖场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黄屯街道谢村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仲计春养殖场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黄屯街道高汪庄村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仲同新养殖场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黄屯街道高汪庄村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许爱国养殖场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黄屯街道高汪庄村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林宪垒养殖场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黄屯街道谢村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曹玉桐养殖场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黄屯街道丁庄村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11</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韩昌儒养殖场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接庄街道北辛村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潘美丽养殖场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接庄街道北辛村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43</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216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6"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顾士华养殖场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接庄街道后袁村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134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4"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祝长密养殖场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接庄街道垞河村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 xml:space="preserve">  </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刘振顿养殖场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接庄街道前铺村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李潘柱养殖场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接庄街道舒辛村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闫运刚养殖场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接庄街道东贯村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吴玉娥养殖场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姜六民养殖场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姜健养殖场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21</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张夫君养殖场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接庄街道后铺村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马西田养殖场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边贻峰养殖场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杨玉辰养殖场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马洪印养殖场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李振新养殖场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马洪吉养殖场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袁凤花养殖场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薛洪伟养殖场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谢洪福养殖场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31</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高国林养殖场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王因街道兴隆村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马平安养殖场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李振美养殖场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边贻宣养殖场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马西栾养殖场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薛洪利养殖场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边贻延养殖场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薛长志养殖场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薛存芳养殖场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荣长贝养殖场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王因街道魏庙村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41</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全德兴养殖场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王因街道店子村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贾洪延养殖场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王因街道长庆村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肉鸡</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钱友勤养殖场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王因街道钱家村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钱洪利养殖场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王因街道钱家村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张德元养殖场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王因街道前候</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李兵养殖场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王因街道沙河村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张爱迎养殖场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王因街道玉皇庙村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王盼盼养殖户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王因街道玉皇庙村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魏永渠养殖户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王因街道前岗村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900</w:t>
            </w: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张明军养殖户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王因街道后岗村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51</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王利国养殖户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52</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郭义峰养殖户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王因街道店子</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53</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徐振顶养殖户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王因街道陈庄</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54</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孟广华养殖户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王因街道齐村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bl>
    <w:p>
      <w:pPr>
        <w:pStyle w:val="18"/>
        <w:rPr>
          <w:rFonts w:ascii="宋体" w:hAnsi="宋体" w:eastAsia="宋体"/>
          <w:b/>
          <w:bCs/>
          <w:color w:val="000000" w:themeColor="text1"/>
          <w:kern w:val="21"/>
          <w:sz w:val="28"/>
          <w:szCs w:val="28"/>
          <w:lang w:val="en-US" w:eastAsia="en-US" w:bidi="ar-SA"/>
          <w14:textFill>
            <w14:solidFill>
              <w14:schemeClr w14:val="tx1"/>
            </w14:solidFill>
          </w14:textFill>
        </w:rPr>
      </w:pPr>
    </w:p>
    <w:p>
      <w:pPr>
        <w:pStyle w:val="18"/>
        <w:rPr>
          <w:rFonts w:ascii="宋体" w:hAnsi="宋体" w:eastAsia="宋体"/>
          <w:b/>
          <w:bCs/>
          <w:color w:val="000000" w:themeColor="text1"/>
          <w:kern w:val="21"/>
          <w:sz w:val="28"/>
          <w:szCs w:val="28"/>
          <w:lang w:val="en-US" w:eastAsia="en-US" w:bidi="ar-SA"/>
          <w14:textFill>
            <w14:solidFill>
              <w14:schemeClr w14:val="tx1"/>
            </w14:solidFill>
          </w14:textFill>
        </w:rPr>
        <w:sectPr>
          <w:footerReference r:id="rId5" w:type="default"/>
          <w:footerReference r:id="rId6" w:type="even"/>
          <w:pgSz w:w="16838" w:h="11906" w:orient="landscape"/>
          <w:pgMar w:top="1531" w:right="1531" w:bottom="1531" w:left="1531" w:header="1134" w:footer="1077" w:gutter="0"/>
          <w:pgNumType w:fmt="numberInDash"/>
          <w:cols w:space="0" w:num="1"/>
          <w:docGrid w:type="lines" w:linePitch="315" w:charSpace="0"/>
        </w:sectPr>
      </w:pP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bookmarkStart w:id="79" w:name="_Toc120973245"/>
      <w:bookmarkStart w:id="80" w:name="_Toc2667"/>
      <w:r>
        <w:rPr>
          <w:rFonts w:hint="eastAsia" w:eastAsia="方正黑体简体"/>
          <w:color w:val="000000" w:themeColor="text1"/>
          <w:kern w:val="21"/>
          <w:sz w:val="32"/>
          <w:szCs w:val="32"/>
          <w14:textFill>
            <w14:solidFill>
              <w14:schemeClr w14:val="tx1"/>
            </w14:solidFill>
          </w14:textFill>
        </w:rPr>
        <w:t>附表</w:t>
      </w:r>
      <w:bookmarkEnd w:id="79"/>
      <w:r>
        <w:rPr>
          <w:rFonts w:hint="eastAsia" w:eastAsia="方正黑体简体"/>
          <w:color w:val="000000" w:themeColor="text1"/>
          <w:kern w:val="21"/>
          <w:sz w:val="32"/>
          <w:szCs w:val="32"/>
          <w14:textFill>
            <w14:solidFill>
              <w14:schemeClr w14:val="tx1"/>
            </w14:solidFill>
          </w14:textFill>
        </w:rPr>
        <w:t>2</w:t>
      </w:r>
    </w:p>
    <w:p>
      <w:pPr>
        <w:pStyle w:val="2"/>
        <w:keepNext w:val="0"/>
        <w:keepLines w:val="0"/>
        <w:spacing w:beforeLines="0" w:afterLines="0" w:line="240" w:lineRule="auto"/>
        <w:rPr>
          <w:rFonts w:eastAsia="方正小标宋简体"/>
          <w:color w:val="000000" w:themeColor="text1"/>
          <w:kern w:val="21"/>
          <w14:textFill>
            <w14:solidFill>
              <w14:schemeClr w14:val="tx1"/>
            </w14:solidFill>
          </w14:textFill>
        </w:rPr>
      </w:pPr>
      <w:bookmarkStart w:id="81" w:name="_Toc120973246"/>
      <w:r>
        <w:rPr>
          <w:rFonts w:eastAsia="方正小标宋简体"/>
          <w:color w:val="000000" w:themeColor="text1"/>
          <w:kern w:val="21"/>
          <w14:textFill>
            <w14:solidFill>
              <w14:schemeClr w14:val="tx1"/>
            </w14:solidFill>
          </w14:textFill>
        </w:rPr>
        <w:t>济宁高新区耕地、园地、林地、草地面积清单</w:t>
      </w:r>
      <w:bookmarkEnd w:id="80"/>
      <w:bookmarkEnd w:id="81"/>
    </w:p>
    <w:tbl>
      <w:tblPr>
        <w:tblStyle w:val="23"/>
        <w:tblW w:w="91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823"/>
        <w:gridCol w:w="1823"/>
        <w:gridCol w:w="1823"/>
        <w:gridCol w:w="18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名  称</w:t>
            </w:r>
          </w:p>
        </w:tc>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耕地面积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园地面积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林地面积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c>
          <w:tcPr>
            <w:tcW w:w="1824"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草地面积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洸河街道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15.23</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0.85</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41.28</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柳行街道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560.64</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19.22</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858.89</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2301.09</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40.49</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436.84</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4462.98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62.38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441.37</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2827.64</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183.84</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1659.23</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高新区</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10167.58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306.78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3437.61</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162.66</w:t>
            </w:r>
          </w:p>
        </w:tc>
      </w:tr>
    </w:tbl>
    <w:p>
      <w:pPr>
        <w:rPr>
          <w:rFonts w:ascii="宋体" w:hAnsi="宋体" w:cs="宋体"/>
          <w:b/>
          <w:bCs/>
          <w:color w:val="000000" w:themeColor="text1"/>
          <w:kern w:val="21"/>
          <w14:textFill>
            <w14:solidFill>
              <w14:schemeClr w14:val="tx1"/>
            </w14:solidFill>
          </w14:textFill>
        </w:rPr>
      </w:pPr>
    </w:p>
    <w:p>
      <w:pPr>
        <w:rPr>
          <w:rFonts w:eastAsia="方正黑体简体"/>
          <w:b/>
          <w:bCs/>
          <w:color w:val="000000" w:themeColor="text1"/>
          <w:kern w:val="21"/>
          <w:sz w:val="32"/>
          <w:szCs w:val="32"/>
          <w14:textFill>
            <w14:solidFill>
              <w14:schemeClr w14:val="tx1"/>
            </w14:solidFill>
          </w14:textFill>
        </w:rPr>
      </w:pPr>
      <w:bookmarkStart w:id="82" w:name="_Toc120973247"/>
      <w:bookmarkStart w:id="83" w:name="_Toc30352"/>
      <w:r>
        <w:rPr>
          <w:rFonts w:hint="eastAsia" w:eastAsia="方正黑体简体"/>
          <w:b/>
          <w:bCs/>
          <w:color w:val="000000" w:themeColor="text1"/>
          <w:kern w:val="21"/>
          <w:sz w:val="32"/>
          <w:szCs w:val="32"/>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r>
        <w:rPr>
          <w:rFonts w:hint="eastAsia" w:eastAsia="方正黑体简体"/>
          <w:color w:val="000000" w:themeColor="text1"/>
          <w:kern w:val="21"/>
          <w:sz w:val="32"/>
          <w:szCs w:val="32"/>
          <w14:textFill>
            <w14:solidFill>
              <w14:schemeClr w14:val="tx1"/>
            </w14:solidFill>
          </w14:textFill>
        </w:rPr>
        <w:t>附图1  行政区划图</w:t>
      </w:r>
      <w:bookmarkEnd w:id="82"/>
      <w:bookmarkEnd w:id="83"/>
    </w:p>
    <w:p>
      <w:pPr>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drawing>
          <wp:anchor distT="0" distB="0" distL="114935" distR="114935" simplePos="0" relativeHeight="251664384" behindDoc="0" locked="0" layoutInCell="1" allowOverlap="1">
            <wp:simplePos x="0" y="0"/>
            <wp:positionH relativeFrom="column">
              <wp:posOffset>-419735</wp:posOffset>
            </wp:positionH>
            <wp:positionV relativeFrom="paragraph">
              <wp:posOffset>519430</wp:posOffset>
            </wp:positionV>
            <wp:extent cx="6466205" cy="5868035"/>
            <wp:effectExtent l="0" t="0" r="10795" b="184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6466205" cy="5868035"/>
                    </a:xfrm>
                    <a:prstGeom prst="rect">
                      <a:avLst/>
                    </a:prstGeom>
                    <a:noFill/>
                    <a:ln>
                      <a:noFill/>
                    </a:ln>
                  </pic:spPr>
                </pic:pic>
              </a:graphicData>
            </a:graphic>
          </wp:anchor>
        </w:drawing>
      </w:r>
      <w:r>
        <w:rPr>
          <w:rFonts w:hint="eastAsia" w:eastAsia="方正黑体简体"/>
          <w:b/>
          <w:bCs/>
          <w:color w:val="000000" w:themeColor="text1"/>
          <w:kern w:val="21"/>
          <w:sz w:val="32"/>
          <w:szCs w:val="32"/>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bookmarkStart w:id="84" w:name="_Toc2721"/>
      <w:bookmarkStart w:id="85" w:name="_Toc120973248"/>
      <w:r>
        <w:rPr>
          <w:rFonts w:hint="eastAsia" w:eastAsia="方正黑体简体"/>
          <w:color w:val="000000" w:themeColor="text1"/>
          <w:kern w:val="21"/>
          <w:sz w:val="32"/>
          <w:szCs w:val="32"/>
          <w14:textFill>
            <w14:solidFill>
              <w14:schemeClr w14:val="tx1"/>
            </w14:solidFill>
          </w14:textFill>
        </w:rPr>
        <w:drawing>
          <wp:anchor distT="0" distB="0" distL="114935" distR="114935" simplePos="0" relativeHeight="251662336" behindDoc="0" locked="0" layoutInCell="1" allowOverlap="1">
            <wp:simplePos x="0" y="0"/>
            <wp:positionH relativeFrom="column">
              <wp:posOffset>-52070</wp:posOffset>
            </wp:positionH>
            <wp:positionV relativeFrom="paragraph">
              <wp:posOffset>558165</wp:posOffset>
            </wp:positionV>
            <wp:extent cx="5741035" cy="7173595"/>
            <wp:effectExtent l="0" t="0" r="12065" b="825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5741035" cy="7173595"/>
                    </a:xfrm>
                    <a:prstGeom prst="rect">
                      <a:avLst/>
                    </a:prstGeom>
                    <a:noFill/>
                    <a:ln>
                      <a:noFill/>
                    </a:ln>
                  </pic:spPr>
                </pic:pic>
              </a:graphicData>
            </a:graphic>
          </wp:anchor>
        </w:drawing>
      </w:r>
      <w:r>
        <w:rPr>
          <w:rFonts w:hint="eastAsia" w:eastAsia="方正黑体简体"/>
          <w:color w:val="000000" w:themeColor="text1"/>
          <w:kern w:val="21"/>
          <w:sz w:val="32"/>
          <w:szCs w:val="32"/>
          <w14:textFill>
            <w14:solidFill>
              <w14:schemeClr w14:val="tx1"/>
            </w14:solidFill>
          </w14:textFill>
        </w:rPr>
        <w:t>附图2  水功能区划图</w:t>
      </w:r>
      <w:bookmarkEnd w:id="84"/>
      <w:bookmarkEnd w:id="85"/>
    </w:p>
    <w:p>
      <w:pPr>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r>
        <w:rPr>
          <w:color w:val="000000" w:themeColor="text1"/>
          <w:kern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-104775</wp:posOffset>
            </wp:positionH>
            <wp:positionV relativeFrom="paragraph">
              <wp:posOffset>499110</wp:posOffset>
            </wp:positionV>
            <wp:extent cx="5905500" cy="7029450"/>
            <wp:effectExtent l="0" t="0" r="0"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cstate="print"/>
                    <a:stretch>
                      <a:fillRect/>
                    </a:stretch>
                  </pic:blipFill>
                  <pic:spPr>
                    <a:xfrm>
                      <a:off x="0" y="0"/>
                      <a:ext cx="5905500" cy="7029450"/>
                    </a:xfrm>
                    <a:prstGeom prst="rect">
                      <a:avLst/>
                    </a:prstGeom>
                    <a:noFill/>
                    <a:ln>
                      <a:noFill/>
                    </a:ln>
                  </pic:spPr>
                </pic:pic>
              </a:graphicData>
            </a:graphic>
          </wp:anchor>
        </w:drawing>
      </w:r>
      <w:r>
        <w:rPr>
          <w:rFonts w:hint="eastAsia" w:ascii="宋体" w:hAnsi="宋体" w:eastAsia="宋体" w:cs="宋体"/>
          <w:color w:val="000000" w:themeColor="text1"/>
          <w:kern w:val="21"/>
          <w:sz w:val="30"/>
          <w:szCs w:val="30"/>
          <w14:textFill>
            <w14:solidFill>
              <w14:schemeClr w14:val="tx1"/>
            </w14:solidFill>
          </w14:textFill>
        </w:rPr>
        <w:br w:type="page"/>
      </w:r>
      <w:bookmarkStart w:id="86" w:name="_Toc120973249"/>
      <w:bookmarkStart w:id="87" w:name="_Toc27679"/>
      <w:r>
        <w:rPr>
          <w:rFonts w:hint="eastAsia" w:eastAsia="方正黑体简体"/>
          <w:color w:val="000000" w:themeColor="text1"/>
          <w:kern w:val="21"/>
          <w:sz w:val="32"/>
          <w:szCs w:val="32"/>
          <w14:textFill>
            <w14:solidFill>
              <w14:schemeClr w14:val="tx1"/>
            </w14:solidFill>
          </w14:textFill>
        </w:rPr>
        <w:t xml:space="preserve">附图3  </w:t>
      </w:r>
      <w:bookmarkEnd w:id="86"/>
      <w:bookmarkEnd w:id="87"/>
      <w:r>
        <w:rPr>
          <w:rFonts w:hint="eastAsia" w:eastAsia="方正黑体简体"/>
          <w:color w:val="000000" w:themeColor="text1"/>
          <w:kern w:val="21"/>
          <w:sz w:val="32"/>
          <w:szCs w:val="32"/>
          <w14:textFill>
            <w14:solidFill>
              <w14:schemeClr w14:val="tx1"/>
            </w14:solidFill>
          </w14:textFill>
        </w:rPr>
        <w:t>高新区土地利用现状图</w:t>
      </w:r>
    </w:p>
    <w:p>
      <w:pPr>
        <w:snapToGrid w:val="0"/>
        <w:spacing w:line="360" w:lineRule="auto"/>
        <w:jc w:val="center"/>
        <w:rPr>
          <w:rFonts w:ascii="宋体" w:hAnsi="宋体" w:cs="宋体"/>
          <w:b/>
          <w:bCs/>
          <w:color w:val="000000" w:themeColor="text1"/>
          <w:kern w:val="21"/>
          <w:sz w:val="30"/>
          <w:szCs w:val="30"/>
          <w14:textFill>
            <w14:solidFill>
              <w14:schemeClr w14:val="tx1"/>
            </w14:solidFill>
          </w14:textFill>
        </w:rPr>
      </w:pPr>
      <w:r>
        <w:rPr>
          <w:rFonts w:hint="eastAsia" w:ascii="宋体" w:hAnsi="宋体" w:cs="宋体"/>
          <w:b/>
          <w:bCs/>
          <w:color w:val="000000" w:themeColor="text1"/>
          <w:kern w:val="21"/>
          <w:sz w:val="30"/>
          <w:szCs w:val="30"/>
          <w14:textFill>
            <w14:solidFill>
              <w14:schemeClr w14:val="tx1"/>
            </w14:solidFill>
          </w14:textFill>
        </w:rPr>
        <w:drawing>
          <wp:inline distT="0" distB="0" distL="114300" distR="114300">
            <wp:extent cx="5347335" cy="7569200"/>
            <wp:effectExtent l="0" t="0" r="5715" b="12700"/>
            <wp:docPr id="9" name="图片 9" descr="土地利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土地利用图"/>
                    <pic:cNvPicPr>
                      <a:picLocks noChangeAspect="1"/>
                    </pic:cNvPicPr>
                  </pic:nvPicPr>
                  <pic:blipFill>
                    <a:blip r:embed="rId14" cstate="print"/>
                    <a:stretch>
                      <a:fillRect/>
                    </a:stretch>
                  </pic:blipFill>
                  <pic:spPr>
                    <a:xfrm>
                      <a:off x="0" y="0"/>
                      <a:ext cx="5347335" cy="7569200"/>
                    </a:xfrm>
                    <a:prstGeom prst="rect">
                      <a:avLst/>
                    </a:prstGeom>
                  </pic:spPr>
                </pic:pic>
              </a:graphicData>
            </a:graphic>
          </wp:inline>
        </w:drawing>
      </w:r>
    </w:p>
    <w:p>
      <w:pPr>
        <w:rPr>
          <w:rFonts w:ascii="宋体" w:hAnsi="宋体" w:cs="宋体"/>
          <w:b/>
          <w:bCs/>
          <w:color w:val="000000" w:themeColor="text1"/>
          <w:kern w:val="21"/>
          <w:sz w:val="44"/>
          <w:szCs w:val="44"/>
          <w14:textFill>
            <w14:solidFill>
              <w14:schemeClr w14:val="tx1"/>
            </w14:solidFill>
          </w14:textFill>
        </w:rPr>
      </w:pPr>
      <w:bookmarkStart w:id="88" w:name="_Toc120973250"/>
      <w:bookmarkStart w:id="89" w:name="_Toc14597"/>
      <w:r>
        <w:rPr>
          <w:rFonts w:hint="eastAsia" w:ascii="宋体" w:hAnsi="宋体" w:cs="宋体"/>
          <w:b/>
          <w:bCs/>
          <w:color w:val="000000" w:themeColor="text1"/>
          <w:kern w:val="21"/>
          <w:sz w:val="44"/>
          <w:szCs w:val="44"/>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r>
        <w:rPr>
          <w:rFonts w:hint="eastAsia" w:eastAsia="方正黑体简体"/>
          <w:color w:val="000000" w:themeColor="text1"/>
          <w:kern w:val="21"/>
          <w:sz w:val="32"/>
          <w:szCs w:val="32"/>
          <w14:textFill>
            <w14:solidFill>
              <w14:schemeClr w14:val="tx1"/>
            </w14:solidFill>
          </w14:textFill>
        </w:rPr>
        <w:t>附图4  禁养区范围图</w:t>
      </w:r>
      <w:bookmarkEnd w:id="88"/>
      <w:bookmarkEnd w:id="89"/>
    </w:p>
    <w:p>
      <w:pPr>
        <w:rPr>
          <w:rFonts w:ascii="宋体" w:hAnsi="宋体" w:cs="宋体"/>
          <w:b/>
          <w:bCs/>
          <w:color w:val="000000" w:themeColor="text1"/>
          <w:kern w:val="21"/>
          <w:sz w:val="32"/>
          <w:szCs w:val="32"/>
          <w14:textFill>
            <w14:solidFill>
              <w14:schemeClr w14:val="tx1"/>
            </w14:solidFill>
          </w14:textFill>
        </w:rPr>
      </w:pPr>
      <w:r>
        <w:rPr>
          <w:rFonts w:ascii="方正仿宋简体" w:eastAsia="方正仿宋简体"/>
          <w:b/>
          <w:bCs/>
          <w:color w:val="000000" w:themeColor="text1"/>
          <w:kern w:val="2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-13335</wp:posOffset>
            </wp:positionH>
            <wp:positionV relativeFrom="paragraph">
              <wp:posOffset>305435</wp:posOffset>
            </wp:positionV>
            <wp:extent cx="5474335" cy="6425565"/>
            <wp:effectExtent l="0" t="0" r="12065" b="13335"/>
            <wp:wrapNone/>
            <wp:docPr id="7" name="图片 7" descr="附件2 济宁高新区畜禽养殖禁养区范围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2 济宁高新区畜禽养殖禁养区范围图1"/>
                    <pic:cNvPicPr>
                      <a:picLocks noChangeAspect="1" noChangeArrowheads="1"/>
                    </pic:cNvPicPr>
                  </pic:nvPicPr>
                  <pic:blipFill>
                    <a:blip r:embed="rId15" cstate="print"/>
                    <a:srcRect/>
                    <a:stretch>
                      <a:fillRect/>
                    </a:stretch>
                  </pic:blipFill>
                  <pic:spPr>
                    <a:xfrm>
                      <a:off x="0" y="0"/>
                      <a:ext cx="5474335" cy="6425565"/>
                    </a:xfrm>
                    <a:prstGeom prst="rect">
                      <a:avLst/>
                    </a:prstGeom>
                    <a:noFill/>
                    <a:ln w="9525">
                      <a:noFill/>
                      <a:miter lim="800000"/>
                      <a:headEnd/>
                      <a:tailEnd/>
                    </a:ln>
                  </pic:spPr>
                </pic:pic>
              </a:graphicData>
            </a:graphic>
          </wp:anchor>
        </w:drawing>
      </w:r>
      <w:r>
        <w:rPr>
          <w:rFonts w:ascii="宋体" w:hAnsi="宋体" w:cs="宋体"/>
          <w:b/>
          <w:bCs/>
          <w:color w:val="000000" w:themeColor="text1"/>
          <w:kern w:val="21"/>
          <w:sz w:val="32"/>
          <w:szCs w:val="32"/>
          <w14:textFill>
            <w14:solidFill>
              <w14:schemeClr w14:val="tx1"/>
            </w14:solidFill>
          </w14:textFill>
        </w:rPr>
        <w:br w:type="page"/>
      </w: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60" w:lineRule="exact"/>
        <w:rPr>
          <w:rFonts w:eastAsia="方正仿宋简体"/>
          <w:b/>
          <w:bCs/>
          <w:color w:val="000000"/>
          <w:kern w:val="21"/>
          <w:sz w:val="32"/>
          <w:szCs w:val="32"/>
        </w:rPr>
      </w:pPr>
    </w:p>
    <w:p>
      <w:pPr>
        <w:pStyle w:val="19"/>
        <w:spacing w:line="560" w:lineRule="exact"/>
        <w:rPr>
          <w:rFonts w:eastAsia="方正仿宋简体"/>
          <w:b/>
          <w:bCs/>
          <w:color w:val="000000"/>
          <w:kern w:val="21"/>
          <w:sz w:val="32"/>
          <w:szCs w:val="32"/>
        </w:rPr>
      </w:pPr>
    </w:p>
    <w:p>
      <w:pPr>
        <w:pStyle w:val="19"/>
        <w:spacing w:line="560" w:lineRule="exact"/>
        <w:rPr>
          <w:rFonts w:eastAsia="方正仿宋简体"/>
          <w:b/>
          <w:bCs/>
          <w:color w:val="000000"/>
          <w:kern w:val="21"/>
          <w:sz w:val="32"/>
          <w:szCs w:val="32"/>
        </w:rPr>
      </w:pPr>
    </w:p>
    <w:p>
      <w:pPr>
        <w:spacing w:line="560" w:lineRule="exact"/>
        <w:ind w:firstLine="281" w:firstLineChars="100"/>
        <w:rPr>
          <w:rFonts w:hint="default" w:ascii="Times New Roman" w:hAnsi="Times New Roman" w:cs="Times New Roman"/>
          <w:b/>
          <w:bCs/>
          <w:color w:val="000000" w:themeColor="text1"/>
          <w:kern w:val="21"/>
          <w:sz w:val="32"/>
          <w:szCs w:val="32"/>
          <w14:textFill>
            <w14:solidFill>
              <w14:schemeClr w14:val="tx1"/>
            </w14:solidFill>
          </w14:textFill>
        </w:rPr>
      </w:pPr>
      <w:r>
        <w:rPr>
          <w:rFonts w:hint="default" w:ascii="Times New Roman" w:hAnsi="Times New Roman" w:eastAsia="方正仿宋简体" w:cs="Times New Roman"/>
          <w:b/>
          <w:bCs/>
          <w:color w:val="000000"/>
          <w:kern w:val="21"/>
          <w:sz w:val="28"/>
          <w:szCs w:val="28"/>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398145</wp:posOffset>
                </wp:positionV>
                <wp:extent cx="5612130" cy="1905"/>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5612130" cy="1905"/>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05pt;margin-top:31.35pt;height:0.15pt;width:441.9pt;z-index:251666432;mso-width-relative:page;mso-height-relative:page;" filled="f" stroked="t" coordsize="21600,21600" o:gfxdata="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jHSt1gAAAAYBAAAPAAAAAAAAAAEAIAAAACIAAABkcnMvZG93&#10;bnJldi54bWxQSwECFAAUAAAACACHTuJAQA76vgICAAD/AwAADgAAAAAAAAABACAAAAAlAQAAZHJz&#10;L2Uyb0RvYy54bWxQSwUGAAAAAAYABgBZAQAAmQUAAAAA&#10;">
                <v:fill on="f" focussize="0,0"/>
                <v:stroke weight="0.5pt" color="#000000" joinstyle="round"/>
                <v:imagedata o:title=""/>
                <o:lock v:ext="edit" aspectratio="f"/>
              </v:line>
            </w:pict>
          </mc:Fallback>
        </mc:AlternateContent>
      </w:r>
      <w:r>
        <w:rPr>
          <w:rFonts w:hint="default" w:ascii="Times New Roman" w:hAnsi="Times New Roman" w:eastAsia="方正仿宋简体" w:cs="Times New Roman"/>
          <w:b/>
          <w:bCs/>
          <w:color w:val="000000"/>
          <w:kern w:val="21"/>
          <w:sz w:val="28"/>
          <w:szCs w:val="28"/>
        </w:rPr>
        <mc:AlternateContent>
          <mc:Choice Requires="wps">
            <w:drawing>
              <wp:anchor distT="0" distB="0" distL="114300" distR="114300" simplePos="0" relativeHeight="251667456" behindDoc="0" locked="0" layoutInCell="1" allowOverlap="1">
                <wp:simplePos x="0" y="0"/>
                <wp:positionH relativeFrom="column">
                  <wp:posOffset>-1270</wp:posOffset>
                </wp:positionH>
                <wp:positionV relativeFrom="paragraph">
                  <wp:posOffset>31115</wp:posOffset>
                </wp:positionV>
                <wp:extent cx="5619750" cy="3175"/>
                <wp:effectExtent l="0" t="0" r="0" b="0"/>
                <wp:wrapNone/>
                <wp:docPr id="2" name="直接连接符 2"/>
                <wp:cNvGraphicFramePr/>
                <a:graphic xmlns:a="http://schemas.openxmlformats.org/drawingml/2006/main">
                  <a:graphicData uri="http://schemas.microsoft.com/office/word/2010/wordprocessingShape">
                    <wps:wsp>
                      <wps:cNvCnPr/>
                      <wps:spPr>
                        <a:xfrm>
                          <a:off x="0" y="0"/>
                          <a:ext cx="5619750" cy="3175"/>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1pt;margin-top:2.45pt;height:0.25pt;width:442.5pt;z-index:251667456;mso-width-relative:page;mso-height-relative:page;" filled="f" stroked="t" coordsize="21600,21600" o:gfxdata="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sFqdMAAAAFAQAADwAAAAAAAAABACAAAAAiAAAAZHJzL2Rvd25yZXYueG1sUEsB&#10;AhQAFAAAAAgAh07iQLku7Or6AQAA9QMAAA4AAAAAAAAAAQAgAAAAIgEAAGRycy9lMm9Eb2MueG1s&#10;UEsFBgAAAAAGAAYAWQEAAI4FAAAAAA==&#10;">
                <v:fill on="f" focussize="0,0"/>
                <v:stroke weight="0.5pt" color="#000000" joinstyle="round"/>
                <v:imagedata o:title=""/>
                <o:lock v:ext="edit" aspectratio="f"/>
              </v:line>
            </w:pict>
          </mc:Fallback>
        </mc:AlternateContent>
      </w:r>
      <w:r>
        <w:rPr>
          <w:rFonts w:hint="default" w:ascii="Times New Roman" w:hAnsi="Times New Roman" w:eastAsia="方正仿宋简体" w:cs="Times New Roman"/>
          <w:b/>
          <w:bCs/>
          <w:color w:val="000000"/>
          <w:kern w:val="21"/>
          <w:sz w:val="28"/>
          <w:szCs w:val="28"/>
        </w:rPr>
        <w:t>济宁高新区管委会办公室                 2024年</w:t>
      </w:r>
      <w:r>
        <w:rPr>
          <w:rFonts w:hint="default" w:ascii="Times New Roman" w:hAnsi="Times New Roman" w:eastAsia="方正仿宋简体" w:cs="Times New Roman"/>
          <w:b/>
          <w:bCs/>
          <w:color w:val="000000"/>
          <w:kern w:val="21"/>
          <w:sz w:val="28"/>
          <w:szCs w:val="28"/>
          <w:lang w:val="en-US" w:eastAsia="zh-CN"/>
        </w:rPr>
        <w:t>5</w:t>
      </w:r>
      <w:r>
        <w:rPr>
          <w:rFonts w:hint="default" w:ascii="Times New Roman" w:hAnsi="Times New Roman" w:eastAsia="方正仿宋简体" w:cs="Times New Roman"/>
          <w:b/>
          <w:bCs/>
          <w:color w:val="000000"/>
          <w:kern w:val="21"/>
          <w:sz w:val="28"/>
          <w:szCs w:val="28"/>
        </w:rPr>
        <w:t>月</w:t>
      </w:r>
      <w:r>
        <w:rPr>
          <w:rFonts w:hint="eastAsia" w:ascii="Times New Roman" w:hAnsi="Times New Roman" w:eastAsia="方正仿宋简体" w:cs="Times New Roman"/>
          <w:b/>
          <w:bCs/>
          <w:color w:val="000000"/>
          <w:kern w:val="21"/>
          <w:sz w:val="28"/>
          <w:szCs w:val="28"/>
          <w:lang w:val="en-US" w:eastAsia="zh-CN"/>
        </w:rPr>
        <w:t>31</w:t>
      </w:r>
      <w:r>
        <w:rPr>
          <w:rFonts w:hint="default" w:ascii="Times New Roman" w:hAnsi="Times New Roman" w:eastAsia="方正仿宋简体" w:cs="Times New Roman"/>
          <w:b/>
          <w:bCs/>
          <w:color w:val="000000"/>
          <w:kern w:val="21"/>
          <w:sz w:val="28"/>
          <w:szCs w:val="28"/>
        </w:rPr>
        <w:t>日印发</w:t>
      </w:r>
    </w:p>
    <w:sectPr>
      <w:footerReference r:id="rId7" w:type="default"/>
      <w:footerReference r:id="rId8" w:type="even"/>
      <w:pgSz w:w="11906" w:h="16838"/>
      <w:pgMar w:top="2098" w:right="1474" w:bottom="1984" w:left="1587" w:header="1134" w:footer="1587"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8FC7D1-0B4D-4FC4-86AB-CFFAE55588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493E0B1B-6BE9-4A1E-A8A8-A37204F1A82B}"/>
  </w:font>
  <w:font w:name="方正仿宋简体">
    <w:panose1 w:val="02010601030101010101"/>
    <w:charset w:val="86"/>
    <w:family w:val="script"/>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altName w:val="微软雅黑"/>
    <w:panose1 w:val="00000000000000000000"/>
    <w:charset w:val="86"/>
    <w:family w:val="auto"/>
    <w:pitch w:val="default"/>
    <w:sig w:usb0="00000000" w:usb1="00000000" w:usb2="00000016" w:usb3="00000000" w:csb0="00040000" w:csb1="00000000"/>
    <w:embedRegular r:id="rId3" w:fontKey="{78FFD621-9173-4002-999A-87BBAB95DDDE}"/>
  </w:font>
  <w:font w:name="方正楷体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eastAsia="方正小标宋简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80010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6.3pt;height:144pt;width:144pt;mso-position-horizontal:outside;mso-position-horizontal-relative:margin;mso-wrap-style:none;z-index:251661312;mso-width-relative:page;mso-height-relative:page;" filled="f" stroked="f" coordsize="21600,21600" o:gfxdata="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GZldvSAAAABwEAAA8AAAAAAAAAAQAgAAAAIgAAAGRycy9kb3ducmV2&#10;LnhtbFBLAQIUABQAAAAIAIdO4kDe+RF6yQEAAJkDAAAOAAAAAAAAAAEAIAAAACEBAABkcnMvZTJv&#10;RG9jLnhtbFBLBQYAAAAABgAGAFkBAABcBQAAAAA=&#10;">
              <v:fill on="f" focussize="0,0"/>
              <v:stroke on="f"/>
              <v:imagedata o:title=""/>
              <o:lock v:ext="edit" aspectratio="f"/>
              <v:textbox inset="0mm,0mm,0mm,0mm" style="mso-fit-shape-to-text:t;">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eastAsia="方正小标宋简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80010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6.3pt;height:144pt;width:144pt;mso-position-horizontal:center;mso-position-horizontal-relative:margin;mso-wrap-style:none;z-index:251668480;mso-width-relative:page;mso-height-relative:page;" filled="f" stroked="f" coordsize="21600,21600" o:gfxdata="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GZldvSAAAABwEAAA8AAAAAAAAAAQAgAAAAIgAAAGRycy9kb3ducmV2&#10;LnhtbFBLAQIUABQAAAAIAIdO4kBqtr8KyQEAAJoDAAAOAAAAAAAAAAEAIAAAACEBAABkcnMvZTJv&#10;RG9jLnhtbFBLBQYAAAAABgAGAFkBAABcBQAAAAA=&#10;">
              <v:fill on="f" focussize="0,0"/>
              <v:stroke on="f"/>
              <v:imagedata o:title=""/>
              <o:lock v:ext="edit" aspectratio="f"/>
              <v:textbox inset="0mm,0mm,0mm,0mm" style="mso-fit-shape-to-text:t;">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eastAsia="方正小标宋简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0</wp:posOffset>
              </wp:positionV>
              <wp:extent cx="281940" cy="14668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281940" cy="146685"/>
                      </a:xfrm>
                      <a:prstGeom prst="rect">
                        <a:avLst/>
                      </a:prstGeom>
                      <a:noFill/>
                      <a:ln w="6350">
                        <a:noFill/>
                      </a:ln>
                      <a:effectLst/>
                    </wps:spPr>
                    <wps:txbx>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30</w:t>
                          </w:r>
                          <w:r>
                            <w:rPr>
                              <w:sz w:val="24"/>
                              <w:szCs w:val="24"/>
                            </w:rPr>
                            <w:fldChar w:fldCharType="end"/>
                          </w:r>
                          <w:r>
                            <w:rPr>
                              <w:rFonts w:hint="eastAsia"/>
                              <w:sz w:val="24"/>
                              <w:szCs w:val="24"/>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11.55pt;width:22.2pt;mso-position-horizontal-relative:margin;z-index:251659264;mso-width-relative:page;mso-height-relative:page;" filled="f" stroked="f" coordsize="21600,21600" o:gfxdata="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a+tPXTAAAAAwEAAA8AAAAAAAAAAQAgAAAAIgAAAGRycy9kb3ducmV2&#10;LnhtbFBLAQIUABQAAAAIAIdO4kA9FVMtOgIAAGUEAAAOAAAAAAAAAAEAIAAAACIBAABkcnMvZTJv&#10;RG9jLnhtbFBLBQYAAAAABgAGAFkBAADOBQAAAAA=&#10;">
              <v:fill on="f" focussize="0,0"/>
              <v:stroke on="f" weight="0.5pt"/>
              <v:imagedata o:title=""/>
              <o:lock v:ext="edit" aspectratio="f"/>
              <v:textbox inset="0mm,0mm,0mm,0mm">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30</w:t>
                    </w:r>
                    <w:r>
                      <w:rPr>
                        <w:sz w:val="24"/>
                        <w:szCs w:val="24"/>
                      </w:rPr>
                      <w:fldChar w:fldCharType="end"/>
                    </w:r>
                    <w:r>
                      <w:rPr>
                        <w:rFonts w:hint="eastAsia"/>
                        <w:sz w:val="24"/>
                        <w:szCs w:val="24"/>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eastAsia="方正小标宋简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80010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6.3pt;height:144pt;width:144pt;mso-position-horizontal:outside;mso-position-horizontal-relative:margin;mso-wrap-style:none;z-index:251665408;mso-width-relative:page;mso-height-relative:page;" filled="f" stroked="f" coordsize="21600,21600" o:gfxdata="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ZmV29IAAAAHAQAADwAAAAAAAAABACAAAAAiAAAAZHJzL2Rvd25yZXYu&#10;eG1sUEsBAhQAFAAAAAgAh07iQJuVWybIAQAAmgMAAA4AAAAAAAAAAQAgAAAAIQEAAGRycy9lMm9E&#10;b2MueG1sUEsFBgAAAAAGAAYAWQEAAFsFAAAAAA==&#10;">
              <v:fill on="f" focussize="0,0"/>
              <v:stroke on="f"/>
              <v:imagedata o:title=""/>
              <o:lock v:ext="edit" aspectratio="f"/>
              <v:textbox inset="0mm,0mm,0mm,0mm" style="mso-fit-shape-to-text:t;">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posOffset>-19050</wp:posOffset>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36</w:t>
                          </w:r>
                          <w:r>
                            <w:rPr>
                              <w:sz w:val="24"/>
                              <w:szCs w:val="24"/>
                            </w:rP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pt;margin-top:0pt;height:144pt;width:144pt;mso-position-horizontal-relative:margin;mso-wrap-style:none;z-index:251660288;mso-width-relative:page;mso-height-relative:page;" filled="f" stroked="f" coordsize="21600,21600" o:gfxdata="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ZplPjUAAAABwEAAA8AAAAAAAAAAQAgAAAAIgAAAGRycy9kb3ducmV2LnhtbFBL&#10;AQIUABQAAAAIAIdO4kD7D7+BMwIAAGUEAAAOAAAAAAAAAAEAIAAAACMBAABkcnMvZTJvRG9jLnht&#10;bFBLBQYAAAAABgAGAFkBAADIBQAAAAA=&#10;">
              <v:fill on="f" focussize="0,0"/>
              <v:stroke on="f" weight="0.5pt"/>
              <v:imagedata o:title=""/>
              <o:lock v:ext="edit" aspectratio="f"/>
              <v:textbox inset="0mm,0mm,0mm,0mm" style="mso-fit-shape-to-text:t;">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36</w:t>
                    </w:r>
                    <w:r>
                      <w:rPr>
                        <w:sz w:val="24"/>
                        <w:szCs w:val="24"/>
                      </w:rPr>
                      <w:fldChar w:fldCharType="end"/>
                    </w:r>
                    <w:r>
                      <w:rPr>
                        <w:rFonts w:hint="eastAsia"/>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916140"/>
    <w:multiLevelType w:val="singleLevel"/>
    <w:tmpl w:val="A6916140"/>
    <w:lvl w:ilvl="0" w:tentative="0">
      <w:start w:val="1"/>
      <w:numFmt w:val="decimal"/>
      <w:suff w:val="space"/>
      <w:lvlText w:val="%1."/>
      <w:lvlJc w:val="left"/>
    </w:lvl>
  </w:abstractNum>
  <w:abstractNum w:abstractNumId="1">
    <w:nsid w:val="0FFFFF7D"/>
    <w:multiLevelType w:val="singleLevel"/>
    <w:tmpl w:val="0FFFFF7D"/>
    <w:lvl w:ilvl="0" w:tentative="0">
      <w:start w:val="1"/>
      <w:numFmt w:val="decimal"/>
      <w:pStyle w:val="73"/>
      <w:lvlText w:val="%1."/>
      <w:lvlJc w:val="left"/>
      <w:pPr>
        <w:tabs>
          <w:tab w:val="left" w:pos="1620"/>
        </w:tabs>
        <w:ind w:left="1620" w:hanging="360"/>
      </w:pPr>
    </w:lvl>
  </w:abstractNum>
  <w:abstractNum w:abstractNumId="2">
    <w:nsid w:val="6F854B1A"/>
    <w:multiLevelType w:val="singleLevel"/>
    <w:tmpl w:val="6F854B1A"/>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1"/>
  <w:bordersDoNotSurroundFooter w:val="1"/>
  <w:documentProtection w:enforcement="0"/>
  <w:defaultTabStop w:val="419"/>
  <w:drawingGridHorizontalSpacing w:val="210"/>
  <w:drawingGridVerticalSpacing w:val="158"/>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wNTBlYjNmNzUyNmFhNDZlNTJhOTFjOWM3OWY2ODYifQ=="/>
  </w:docVars>
  <w:rsids>
    <w:rsidRoot w:val="00172A27"/>
    <w:rsid w:val="0000782D"/>
    <w:rsid w:val="000103E8"/>
    <w:rsid w:val="000119C2"/>
    <w:rsid w:val="00012324"/>
    <w:rsid w:val="00013FFD"/>
    <w:rsid w:val="00016884"/>
    <w:rsid w:val="000207D7"/>
    <w:rsid w:val="00021122"/>
    <w:rsid w:val="00022AFD"/>
    <w:rsid w:val="00022D94"/>
    <w:rsid w:val="00022E9A"/>
    <w:rsid w:val="00024034"/>
    <w:rsid w:val="000259C9"/>
    <w:rsid w:val="00031550"/>
    <w:rsid w:val="00035B33"/>
    <w:rsid w:val="00037A48"/>
    <w:rsid w:val="0004082C"/>
    <w:rsid w:val="00043B20"/>
    <w:rsid w:val="000456D2"/>
    <w:rsid w:val="000469B7"/>
    <w:rsid w:val="000469F4"/>
    <w:rsid w:val="00046D45"/>
    <w:rsid w:val="00047DE3"/>
    <w:rsid w:val="00047FD2"/>
    <w:rsid w:val="00053AFA"/>
    <w:rsid w:val="0005659C"/>
    <w:rsid w:val="00056AC3"/>
    <w:rsid w:val="0007353A"/>
    <w:rsid w:val="00076EF2"/>
    <w:rsid w:val="00076FD3"/>
    <w:rsid w:val="00077C9D"/>
    <w:rsid w:val="0008050F"/>
    <w:rsid w:val="00086302"/>
    <w:rsid w:val="000863EC"/>
    <w:rsid w:val="00087376"/>
    <w:rsid w:val="00087A87"/>
    <w:rsid w:val="00095B80"/>
    <w:rsid w:val="00097190"/>
    <w:rsid w:val="00097472"/>
    <w:rsid w:val="0009757F"/>
    <w:rsid w:val="000A4463"/>
    <w:rsid w:val="000A76B1"/>
    <w:rsid w:val="000A7B4E"/>
    <w:rsid w:val="000B1E4A"/>
    <w:rsid w:val="000B60B9"/>
    <w:rsid w:val="000B7224"/>
    <w:rsid w:val="000B7683"/>
    <w:rsid w:val="000C5E77"/>
    <w:rsid w:val="000C72B8"/>
    <w:rsid w:val="000D0F53"/>
    <w:rsid w:val="000D39DC"/>
    <w:rsid w:val="000D6DB8"/>
    <w:rsid w:val="000E0734"/>
    <w:rsid w:val="000E34E5"/>
    <w:rsid w:val="000E5CB7"/>
    <w:rsid w:val="000E655A"/>
    <w:rsid w:val="000E6BB7"/>
    <w:rsid w:val="000F0AC6"/>
    <w:rsid w:val="000F0E6C"/>
    <w:rsid w:val="000F1F72"/>
    <w:rsid w:val="000F1FC6"/>
    <w:rsid w:val="000F3271"/>
    <w:rsid w:val="000F6C25"/>
    <w:rsid w:val="00102C4D"/>
    <w:rsid w:val="00105232"/>
    <w:rsid w:val="001057C7"/>
    <w:rsid w:val="00110D64"/>
    <w:rsid w:val="00116548"/>
    <w:rsid w:val="00117656"/>
    <w:rsid w:val="0012258A"/>
    <w:rsid w:val="0012476B"/>
    <w:rsid w:val="001263F0"/>
    <w:rsid w:val="0013450C"/>
    <w:rsid w:val="00134926"/>
    <w:rsid w:val="001369A4"/>
    <w:rsid w:val="00140FAB"/>
    <w:rsid w:val="00145228"/>
    <w:rsid w:val="00146F3A"/>
    <w:rsid w:val="0015043B"/>
    <w:rsid w:val="00151802"/>
    <w:rsid w:val="00151F12"/>
    <w:rsid w:val="00157273"/>
    <w:rsid w:val="00157A24"/>
    <w:rsid w:val="00160851"/>
    <w:rsid w:val="0016277F"/>
    <w:rsid w:val="00162B02"/>
    <w:rsid w:val="00162BA2"/>
    <w:rsid w:val="00163304"/>
    <w:rsid w:val="00165A98"/>
    <w:rsid w:val="00171572"/>
    <w:rsid w:val="001722A2"/>
    <w:rsid w:val="00172A27"/>
    <w:rsid w:val="00173EF6"/>
    <w:rsid w:val="00175947"/>
    <w:rsid w:val="00175B5C"/>
    <w:rsid w:val="00177DEE"/>
    <w:rsid w:val="001812C0"/>
    <w:rsid w:val="00183554"/>
    <w:rsid w:val="00184D12"/>
    <w:rsid w:val="00184FE5"/>
    <w:rsid w:val="001850AB"/>
    <w:rsid w:val="001851C0"/>
    <w:rsid w:val="00186835"/>
    <w:rsid w:val="00186F6A"/>
    <w:rsid w:val="001924B7"/>
    <w:rsid w:val="001933D9"/>
    <w:rsid w:val="00193638"/>
    <w:rsid w:val="0019596B"/>
    <w:rsid w:val="00195CC5"/>
    <w:rsid w:val="00197284"/>
    <w:rsid w:val="001A252B"/>
    <w:rsid w:val="001B166B"/>
    <w:rsid w:val="001B211C"/>
    <w:rsid w:val="001B299E"/>
    <w:rsid w:val="001B3111"/>
    <w:rsid w:val="001B4363"/>
    <w:rsid w:val="001B4EB0"/>
    <w:rsid w:val="001C5733"/>
    <w:rsid w:val="001D177C"/>
    <w:rsid w:val="001D5D24"/>
    <w:rsid w:val="001D5F80"/>
    <w:rsid w:val="001D648C"/>
    <w:rsid w:val="001D6A40"/>
    <w:rsid w:val="001D7976"/>
    <w:rsid w:val="001E374A"/>
    <w:rsid w:val="001E4BD1"/>
    <w:rsid w:val="001E7A5A"/>
    <w:rsid w:val="001F64DA"/>
    <w:rsid w:val="00200E09"/>
    <w:rsid w:val="00201B2B"/>
    <w:rsid w:val="00201EC0"/>
    <w:rsid w:val="00202E3D"/>
    <w:rsid w:val="00203730"/>
    <w:rsid w:val="002044AF"/>
    <w:rsid w:val="0020616F"/>
    <w:rsid w:val="00207241"/>
    <w:rsid w:val="00207252"/>
    <w:rsid w:val="002101BD"/>
    <w:rsid w:val="00210257"/>
    <w:rsid w:val="00213196"/>
    <w:rsid w:val="002207B2"/>
    <w:rsid w:val="00223311"/>
    <w:rsid w:val="002247F0"/>
    <w:rsid w:val="002251A4"/>
    <w:rsid w:val="00225547"/>
    <w:rsid w:val="002269F4"/>
    <w:rsid w:val="002276DD"/>
    <w:rsid w:val="00230748"/>
    <w:rsid w:val="00230F2A"/>
    <w:rsid w:val="002323FC"/>
    <w:rsid w:val="0023343E"/>
    <w:rsid w:val="002348F1"/>
    <w:rsid w:val="00236003"/>
    <w:rsid w:val="002365B5"/>
    <w:rsid w:val="0023798A"/>
    <w:rsid w:val="002415FF"/>
    <w:rsid w:val="0024499F"/>
    <w:rsid w:val="0024558E"/>
    <w:rsid w:val="00246246"/>
    <w:rsid w:val="00250042"/>
    <w:rsid w:val="00251F1F"/>
    <w:rsid w:val="0025481D"/>
    <w:rsid w:val="00260D3E"/>
    <w:rsid w:val="0026166F"/>
    <w:rsid w:val="00262F3C"/>
    <w:rsid w:val="00265073"/>
    <w:rsid w:val="0026700F"/>
    <w:rsid w:val="00272132"/>
    <w:rsid w:val="002767FC"/>
    <w:rsid w:val="0028281A"/>
    <w:rsid w:val="00282BD8"/>
    <w:rsid w:val="00284B1C"/>
    <w:rsid w:val="00285541"/>
    <w:rsid w:val="00285FEC"/>
    <w:rsid w:val="00287291"/>
    <w:rsid w:val="0028778F"/>
    <w:rsid w:val="00290E54"/>
    <w:rsid w:val="00292705"/>
    <w:rsid w:val="00294C1D"/>
    <w:rsid w:val="0029532B"/>
    <w:rsid w:val="002A09E0"/>
    <w:rsid w:val="002A13C8"/>
    <w:rsid w:val="002A2842"/>
    <w:rsid w:val="002A3739"/>
    <w:rsid w:val="002A3778"/>
    <w:rsid w:val="002A7C8C"/>
    <w:rsid w:val="002A7D40"/>
    <w:rsid w:val="002B189C"/>
    <w:rsid w:val="002B1D99"/>
    <w:rsid w:val="002B2465"/>
    <w:rsid w:val="002B3095"/>
    <w:rsid w:val="002B451D"/>
    <w:rsid w:val="002B624E"/>
    <w:rsid w:val="002B7E75"/>
    <w:rsid w:val="002C006F"/>
    <w:rsid w:val="002C02D0"/>
    <w:rsid w:val="002C21A7"/>
    <w:rsid w:val="002C2CAB"/>
    <w:rsid w:val="002C4D5F"/>
    <w:rsid w:val="002D16CB"/>
    <w:rsid w:val="002D40E8"/>
    <w:rsid w:val="002D4EC2"/>
    <w:rsid w:val="002D6D8B"/>
    <w:rsid w:val="002E0329"/>
    <w:rsid w:val="002E2C95"/>
    <w:rsid w:val="002E2DDB"/>
    <w:rsid w:val="002E3121"/>
    <w:rsid w:val="002E641E"/>
    <w:rsid w:val="002F0F33"/>
    <w:rsid w:val="002F2F50"/>
    <w:rsid w:val="002F5BBC"/>
    <w:rsid w:val="002F77AD"/>
    <w:rsid w:val="00301EF5"/>
    <w:rsid w:val="003027C8"/>
    <w:rsid w:val="003039FC"/>
    <w:rsid w:val="0031352E"/>
    <w:rsid w:val="00313CD5"/>
    <w:rsid w:val="003155F8"/>
    <w:rsid w:val="00316671"/>
    <w:rsid w:val="0032051C"/>
    <w:rsid w:val="003219FD"/>
    <w:rsid w:val="00326F49"/>
    <w:rsid w:val="00327676"/>
    <w:rsid w:val="00330371"/>
    <w:rsid w:val="0033037F"/>
    <w:rsid w:val="00335CA5"/>
    <w:rsid w:val="003362BA"/>
    <w:rsid w:val="00343CD7"/>
    <w:rsid w:val="003451FA"/>
    <w:rsid w:val="00345CDC"/>
    <w:rsid w:val="00347CEE"/>
    <w:rsid w:val="003500C6"/>
    <w:rsid w:val="00351C58"/>
    <w:rsid w:val="003537E5"/>
    <w:rsid w:val="00353A89"/>
    <w:rsid w:val="00355FA8"/>
    <w:rsid w:val="003562A0"/>
    <w:rsid w:val="003618E1"/>
    <w:rsid w:val="0036577D"/>
    <w:rsid w:val="00366077"/>
    <w:rsid w:val="0037001A"/>
    <w:rsid w:val="0037185D"/>
    <w:rsid w:val="00372E89"/>
    <w:rsid w:val="0037321A"/>
    <w:rsid w:val="00375A4E"/>
    <w:rsid w:val="00377329"/>
    <w:rsid w:val="003775B7"/>
    <w:rsid w:val="00377E30"/>
    <w:rsid w:val="0038161D"/>
    <w:rsid w:val="00382A99"/>
    <w:rsid w:val="00383EC2"/>
    <w:rsid w:val="00385880"/>
    <w:rsid w:val="0039230B"/>
    <w:rsid w:val="0039256C"/>
    <w:rsid w:val="0039275F"/>
    <w:rsid w:val="00392813"/>
    <w:rsid w:val="00393078"/>
    <w:rsid w:val="003962BA"/>
    <w:rsid w:val="0039660A"/>
    <w:rsid w:val="003970F2"/>
    <w:rsid w:val="003A2A6C"/>
    <w:rsid w:val="003A335D"/>
    <w:rsid w:val="003A6D23"/>
    <w:rsid w:val="003B03DF"/>
    <w:rsid w:val="003B1B3D"/>
    <w:rsid w:val="003B7557"/>
    <w:rsid w:val="003B768C"/>
    <w:rsid w:val="003B7D09"/>
    <w:rsid w:val="003C00A4"/>
    <w:rsid w:val="003C14AF"/>
    <w:rsid w:val="003C1B23"/>
    <w:rsid w:val="003C252F"/>
    <w:rsid w:val="003C7DC3"/>
    <w:rsid w:val="003D0C0C"/>
    <w:rsid w:val="003D1330"/>
    <w:rsid w:val="003D1547"/>
    <w:rsid w:val="003E2E0E"/>
    <w:rsid w:val="003E397F"/>
    <w:rsid w:val="003E40AB"/>
    <w:rsid w:val="003E43C5"/>
    <w:rsid w:val="003F104C"/>
    <w:rsid w:val="003F22C7"/>
    <w:rsid w:val="00400972"/>
    <w:rsid w:val="00404E3A"/>
    <w:rsid w:val="0040694C"/>
    <w:rsid w:val="004152F8"/>
    <w:rsid w:val="00415FCF"/>
    <w:rsid w:val="00417294"/>
    <w:rsid w:val="00420700"/>
    <w:rsid w:val="00422786"/>
    <w:rsid w:val="00425685"/>
    <w:rsid w:val="00425EBD"/>
    <w:rsid w:val="00426D7C"/>
    <w:rsid w:val="004273ED"/>
    <w:rsid w:val="00431CC0"/>
    <w:rsid w:val="00436211"/>
    <w:rsid w:val="004412B5"/>
    <w:rsid w:val="0044428D"/>
    <w:rsid w:val="00454566"/>
    <w:rsid w:val="00454670"/>
    <w:rsid w:val="0045630D"/>
    <w:rsid w:val="00456D0C"/>
    <w:rsid w:val="00456F0C"/>
    <w:rsid w:val="00461775"/>
    <w:rsid w:val="004646B3"/>
    <w:rsid w:val="004651AD"/>
    <w:rsid w:val="00466981"/>
    <w:rsid w:val="0047224E"/>
    <w:rsid w:val="00473209"/>
    <w:rsid w:val="0047500C"/>
    <w:rsid w:val="00477C24"/>
    <w:rsid w:val="00480010"/>
    <w:rsid w:val="00483F69"/>
    <w:rsid w:val="0048548A"/>
    <w:rsid w:val="004873A1"/>
    <w:rsid w:val="004901AE"/>
    <w:rsid w:val="00494112"/>
    <w:rsid w:val="00494864"/>
    <w:rsid w:val="004973B7"/>
    <w:rsid w:val="004A06E7"/>
    <w:rsid w:val="004A0A72"/>
    <w:rsid w:val="004A1E51"/>
    <w:rsid w:val="004A2B67"/>
    <w:rsid w:val="004A3DA3"/>
    <w:rsid w:val="004B06C1"/>
    <w:rsid w:val="004B14E5"/>
    <w:rsid w:val="004B2A11"/>
    <w:rsid w:val="004B2C84"/>
    <w:rsid w:val="004B40CC"/>
    <w:rsid w:val="004B5BDC"/>
    <w:rsid w:val="004B678D"/>
    <w:rsid w:val="004B6A3F"/>
    <w:rsid w:val="004B711C"/>
    <w:rsid w:val="004B738E"/>
    <w:rsid w:val="004C0208"/>
    <w:rsid w:val="004D0815"/>
    <w:rsid w:val="004D2CDD"/>
    <w:rsid w:val="004D2E5E"/>
    <w:rsid w:val="004D5055"/>
    <w:rsid w:val="004D50C5"/>
    <w:rsid w:val="004D5368"/>
    <w:rsid w:val="004D5800"/>
    <w:rsid w:val="004D5AFC"/>
    <w:rsid w:val="004D7012"/>
    <w:rsid w:val="004E06F2"/>
    <w:rsid w:val="004E27CE"/>
    <w:rsid w:val="004E4376"/>
    <w:rsid w:val="004E64BD"/>
    <w:rsid w:val="004E7AE1"/>
    <w:rsid w:val="004F2EAC"/>
    <w:rsid w:val="004F426E"/>
    <w:rsid w:val="004F79FA"/>
    <w:rsid w:val="005014A0"/>
    <w:rsid w:val="00507839"/>
    <w:rsid w:val="005107C7"/>
    <w:rsid w:val="005170BB"/>
    <w:rsid w:val="00517831"/>
    <w:rsid w:val="00517D6F"/>
    <w:rsid w:val="00520416"/>
    <w:rsid w:val="0052301A"/>
    <w:rsid w:val="00523DBF"/>
    <w:rsid w:val="00524606"/>
    <w:rsid w:val="005260CC"/>
    <w:rsid w:val="00526246"/>
    <w:rsid w:val="005276E2"/>
    <w:rsid w:val="00527CB2"/>
    <w:rsid w:val="0053223A"/>
    <w:rsid w:val="00535771"/>
    <w:rsid w:val="00535836"/>
    <w:rsid w:val="00546B88"/>
    <w:rsid w:val="00547784"/>
    <w:rsid w:val="0055226B"/>
    <w:rsid w:val="005523A5"/>
    <w:rsid w:val="00552C52"/>
    <w:rsid w:val="00554393"/>
    <w:rsid w:val="00555141"/>
    <w:rsid w:val="005572B8"/>
    <w:rsid w:val="005602F0"/>
    <w:rsid w:val="00560AAC"/>
    <w:rsid w:val="0056194F"/>
    <w:rsid w:val="00562FB9"/>
    <w:rsid w:val="00563CBC"/>
    <w:rsid w:val="00574838"/>
    <w:rsid w:val="005759C5"/>
    <w:rsid w:val="00580223"/>
    <w:rsid w:val="00581079"/>
    <w:rsid w:val="00582A1F"/>
    <w:rsid w:val="0058371A"/>
    <w:rsid w:val="00584E7A"/>
    <w:rsid w:val="00584F36"/>
    <w:rsid w:val="00586C1B"/>
    <w:rsid w:val="005904D5"/>
    <w:rsid w:val="00591D08"/>
    <w:rsid w:val="00591E98"/>
    <w:rsid w:val="005925E0"/>
    <w:rsid w:val="005926DC"/>
    <w:rsid w:val="00594068"/>
    <w:rsid w:val="005957D1"/>
    <w:rsid w:val="005965B3"/>
    <w:rsid w:val="00597A9B"/>
    <w:rsid w:val="005A21C2"/>
    <w:rsid w:val="005A503C"/>
    <w:rsid w:val="005A5073"/>
    <w:rsid w:val="005A5CBD"/>
    <w:rsid w:val="005A5FC6"/>
    <w:rsid w:val="005A7D50"/>
    <w:rsid w:val="005B2E36"/>
    <w:rsid w:val="005B32F7"/>
    <w:rsid w:val="005B33C3"/>
    <w:rsid w:val="005B3C22"/>
    <w:rsid w:val="005B54B3"/>
    <w:rsid w:val="005C17F8"/>
    <w:rsid w:val="005C3610"/>
    <w:rsid w:val="005C47A1"/>
    <w:rsid w:val="005C5101"/>
    <w:rsid w:val="005D01C5"/>
    <w:rsid w:val="005D0A18"/>
    <w:rsid w:val="005D2616"/>
    <w:rsid w:val="005D4DDE"/>
    <w:rsid w:val="005D5331"/>
    <w:rsid w:val="005E1ACD"/>
    <w:rsid w:val="005E26B6"/>
    <w:rsid w:val="005E5E1E"/>
    <w:rsid w:val="005F0AEE"/>
    <w:rsid w:val="005F25D0"/>
    <w:rsid w:val="005F29C9"/>
    <w:rsid w:val="005F31CE"/>
    <w:rsid w:val="005F3FD8"/>
    <w:rsid w:val="005F6EDA"/>
    <w:rsid w:val="005F74C8"/>
    <w:rsid w:val="005F7871"/>
    <w:rsid w:val="00602817"/>
    <w:rsid w:val="00603697"/>
    <w:rsid w:val="00603BB4"/>
    <w:rsid w:val="00603EBA"/>
    <w:rsid w:val="00604196"/>
    <w:rsid w:val="006078D2"/>
    <w:rsid w:val="00610610"/>
    <w:rsid w:val="0061115F"/>
    <w:rsid w:val="006121DF"/>
    <w:rsid w:val="00614040"/>
    <w:rsid w:val="0061717C"/>
    <w:rsid w:val="00620B7C"/>
    <w:rsid w:val="0062111F"/>
    <w:rsid w:val="00624D24"/>
    <w:rsid w:val="00625BAA"/>
    <w:rsid w:val="0062648A"/>
    <w:rsid w:val="00626A43"/>
    <w:rsid w:val="00627B5E"/>
    <w:rsid w:val="006335BA"/>
    <w:rsid w:val="00634BB9"/>
    <w:rsid w:val="00635AE4"/>
    <w:rsid w:val="006420D9"/>
    <w:rsid w:val="006464FB"/>
    <w:rsid w:val="006504E2"/>
    <w:rsid w:val="0065503A"/>
    <w:rsid w:val="00655D1B"/>
    <w:rsid w:val="00660FBC"/>
    <w:rsid w:val="00661CAC"/>
    <w:rsid w:val="00662F90"/>
    <w:rsid w:val="00665892"/>
    <w:rsid w:val="00666785"/>
    <w:rsid w:val="00667F60"/>
    <w:rsid w:val="00670DE9"/>
    <w:rsid w:val="00672BD1"/>
    <w:rsid w:val="006750A4"/>
    <w:rsid w:val="006779EF"/>
    <w:rsid w:val="00680310"/>
    <w:rsid w:val="00681787"/>
    <w:rsid w:val="00681F30"/>
    <w:rsid w:val="00683A67"/>
    <w:rsid w:val="00683B07"/>
    <w:rsid w:val="0068719F"/>
    <w:rsid w:val="00687504"/>
    <w:rsid w:val="00692098"/>
    <w:rsid w:val="006978AA"/>
    <w:rsid w:val="00697E85"/>
    <w:rsid w:val="006A0D78"/>
    <w:rsid w:val="006A1EE6"/>
    <w:rsid w:val="006A48E4"/>
    <w:rsid w:val="006A7730"/>
    <w:rsid w:val="006B26D1"/>
    <w:rsid w:val="006B4077"/>
    <w:rsid w:val="006B49FF"/>
    <w:rsid w:val="006B5E72"/>
    <w:rsid w:val="006C28BF"/>
    <w:rsid w:val="006C3E91"/>
    <w:rsid w:val="006C515B"/>
    <w:rsid w:val="006C5197"/>
    <w:rsid w:val="006C6412"/>
    <w:rsid w:val="006D02F4"/>
    <w:rsid w:val="006D0D06"/>
    <w:rsid w:val="006D1678"/>
    <w:rsid w:val="006D22CD"/>
    <w:rsid w:val="006D5CCD"/>
    <w:rsid w:val="006E2409"/>
    <w:rsid w:val="006E5890"/>
    <w:rsid w:val="006E61FD"/>
    <w:rsid w:val="006F08D4"/>
    <w:rsid w:val="006F1763"/>
    <w:rsid w:val="006F47BD"/>
    <w:rsid w:val="006F563B"/>
    <w:rsid w:val="006F59DA"/>
    <w:rsid w:val="006F7C39"/>
    <w:rsid w:val="007011EA"/>
    <w:rsid w:val="007018AA"/>
    <w:rsid w:val="007051BB"/>
    <w:rsid w:val="007069C7"/>
    <w:rsid w:val="0071139F"/>
    <w:rsid w:val="00713273"/>
    <w:rsid w:val="00714B44"/>
    <w:rsid w:val="007156C6"/>
    <w:rsid w:val="0071740B"/>
    <w:rsid w:val="0072194C"/>
    <w:rsid w:val="00722959"/>
    <w:rsid w:val="00727C9A"/>
    <w:rsid w:val="00727D01"/>
    <w:rsid w:val="00730395"/>
    <w:rsid w:val="007312E3"/>
    <w:rsid w:val="00731EFB"/>
    <w:rsid w:val="007323F5"/>
    <w:rsid w:val="00733DB4"/>
    <w:rsid w:val="00734D27"/>
    <w:rsid w:val="00735921"/>
    <w:rsid w:val="00737BAE"/>
    <w:rsid w:val="00741A8D"/>
    <w:rsid w:val="00744D52"/>
    <w:rsid w:val="0074590E"/>
    <w:rsid w:val="007459F6"/>
    <w:rsid w:val="00746BC4"/>
    <w:rsid w:val="00750D33"/>
    <w:rsid w:val="00751FFB"/>
    <w:rsid w:val="00752BC9"/>
    <w:rsid w:val="00752EE9"/>
    <w:rsid w:val="00753D86"/>
    <w:rsid w:val="00753F1E"/>
    <w:rsid w:val="00755DAC"/>
    <w:rsid w:val="0075611D"/>
    <w:rsid w:val="007600EE"/>
    <w:rsid w:val="00760951"/>
    <w:rsid w:val="00762269"/>
    <w:rsid w:val="00765F62"/>
    <w:rsid w:val="00767519"/>
    <w:rsid w:val="00771754"/>
    <w:rsid w:val="0077261F"/>
    <w:rsid w:val="0078046E"/>
    <w:rsid w:val="0078157B"/>
    <w:rsid w:val="0078182C"/>
    <w:rsid w:val="00782CC0"/>
    <w:rsid w:val="00785EF5"/>
    <w:rsid w:val="007868DF"/>
    <w:rsid w:val="007907ED"/>
    <w:rsid w:val="00790D79"/>
    <w:rsid w:val="00792152"/>
    <w:rsid w:val="00797BBA"/>
    <w:rsid w:val="007A0ECA"/>
    <w:rsid w:val="007A156E"/>
    <w:rsid w:val="007A1A7F"/>
    <w:rsid w:val="007A2BBA"/>
    <w:rsid w:val="007B0115"/>
    <w:rsid w:val="007B4D73"/>
    <w:rsid w:val="007B7A84"/>
    <w:rsid w:val="007C0B6B"/>
    <w:rsid w:val="007C1733"/>
    <w:rsid w:val="007C249A"/>
    <w:rsid w:val="007C2A92"/>
    <w:rsid w:val="007C2D13"/>
    <w:rsid w:val="007C5D64"/>
    <w:rsid w:val="007C5E90"/>
    <w:rsid w:val="007C77D5"/>
    <w:rsid w:val="007D13F4"/>
    <w:rsid w:val="007D1E1B"/>
    <w:rsid w:val="007D4379"/>
    <w:rsid w:val="007E4422"/>
    <w:rsid w:val="007E4605"/>
    <w:rsid w:val="007E56B0"/>
    <w:rsid w:val="007E69C0"/>
    <w:rsid w:val="007E6A39"/>
    <w:rsid w:val="007E74E9"/>
    <w:rsid w:val="007F0219"/>
    <w:rsid w:val="007F1624"/>
    <w:rsid w:val="007F23A0"/>
    <w:rsid w:val="007F300C"/>
    <w:rsid w:val="007F4398"/>
    <w:rsid w:val="007F5A09"/>
    <w:rsid w:val="007F6463"/>
    <w:rsid w:val="007F6CE7"/>
    <w:rsid w:val="007F7204"/>
    <w:rsid w:val="008032B1"/>
    <w:rsid w:val="00803DDF"/>
    <w:rsid w:val="008053D5"/>
    <w:rsid w:val="00806A9D"/>
    <w:rsid w:val="008121C0"/>
    <w:rsid w:val="0081277A"/>
    <w:rsid w:val="00814FCE"/>
    <w:rsid w:val="00815EE3"/>
    <w:rsid w:val="0081767B"/>
    <w:rsid w:val="00822B65"/>
    <w:rsid w:val="00822BD8"/>
    <w:rsid w:val="00822D5D"/>
    <w:rsid w:val="008232F3"/>
    <w:rsid w:val="0083139A"/>
    <w:rsid w:val="008314E1"/>
    <w:rsid w:val="0083390A"/>
    <w:rsid w:val="00833D17"/>
    <w:rsid w:val="0084004D"/>
    <w:rsid w:val="00842C3D"/>
    <w:rsid w:val="00843657"/>
    <w:rsid w:val="008436E7"/>
    <w:rsid w:val="00843979"/>
    <w:rsid w:val="0084404D"/>
    <w:rsid w:val="008443BD"/>
    <w:rsid w:val="00845D72"/>
    <w:rsid w:val="00846CDC"/>
    <w:rsid w:val="008543E1"/>
    <w:rsid w:val="008611E7"/>
    <w:rsid w:val="00861938"/>
    <w:rsid w:val="008650D1"/>
    <w:rsid w:val="00867A22"/>
    <w:rsid w:val="00870D8B"/>
    <w:rsid w:val="00875423"/>
    <w:rsid w:val="00881501"/>
    <w:rsid w:val="008843D0"/>
    <w:rsid w:val="00884F77"/>
    <w:rsid w:val="00892A41"/>
    <w:rsid w:val="00895340"/>
    <w:rsid w:val="008959DA"/>
    <w:rsid w:val="008A0204"/>
    <w:rsid w:val="008A22CB"/>
    <w:rsid w:val="008A586F"/>
    <w:rsid w:val="008A5DD4"/>
    <w:rsid w:val="008B0849"/>
    <w:rsid w:val="008C07D4"/>
    <w:rsid w:val="008C346F"/>
    <w:rsid w:val="008C4693"/>
    <w:rsid w:val="008C614F"/>
    <w:rsid w:val="008C7715"/>
    <w:rsid w:val="008D0FEB"/>
    <w:rsid w:val="008D50BD"/>
    <w:rsid w:val="008D7AD2"/>
    <w:rsid w:val="008E179E"/>
    <w:rsid w:val="008E2455"/>
    <w:rsid w:val="008E3A92"/>
    <w:rsid w:val="008E7F45"/>
    <w:rsid w:val="008F11E5"/>
    <w:rsid w:val="008F1AB9"/>
    <w:rsid w:val="008F1F3B"/>
    <w:rsid w:val="008F26C1"/>
    <w:rsid w:val="008F344C"/>
    <w:rsid w:val="008F52E1"/>
    <w:rsid w:val="00901732"/>
    <w:rsid w:val="00901DEE"/>
    <w:rsid w:val="009025F9"/>
    <w:rsid w:val="009038C7"/>
    <w:rsid w:val="00903A34"/>
    <w:rsid w:val="009058C3"/>
    <w:rsid w:val="00906D95"/>
    <w:rsid w:val="009071D9"/>
    <w:rsid w:val="00911048"/>
    <w:rsid w:val="009122BB"/>
    <w:rsid w:val="009138B9"/>
    <w:rsid w:val="00914702"/>
    <w:rsid w:val="00920CD6"/>
    <w:rsid w:val="0092283E"/>
    <w:rsid w:val="00922978"/>
    <w:rsid w:val="009249D4"/>
    <w:rsid w:val="00925651"/>
    <w:rsid w:val="00926284"/>
    <w:rsid w:val="00931FEC"/>
    <w:rsid w:val="009326A7"/>
    <w:rsid w:val="00932B6C"/>
    <w:rsid w:val="00934D93"/>
    <w:rsid w:val="0093719C"/>
    <w:rsid w:val="00937640"/>
    <w:rsid w:val="00941BA7"/>
    <w:rsid w:val="00941CBA"/>
    <w:rsid w:val="0094316B"/>
    <w:rsid w:val="00943377"/>
    <w:rsid w:val="00944281"/>
    <w:rsid w:val="00946951"/>
    <w:rsid w:val="009476F9"/>
    <w:rsid w:val="00947EFC"/>
    <w:rsid w:val="009506D0"/>
    <w:rsid w:val="0095150B"/>
    <w:rsid w:val="00953AA3"/>
    <w:rsid w:val="009568A3"/>
    <w:rsid w:val="009568F0"/>
    <w:rsid w:val="0096510C"/>
    <w:rsid w:val="00965768"/>
    <w:rsid w:val="00965910"/>
    <w:rsid w:val="0096765C"/>
    <w:rsid w:val="009749DA"/>
    <w:rsid w:val="0097770D"/>
    <w:rsid w:val="00980097"/>
    <w:rsid w:val="00980D79"/>
    <w:rsid w:val="00981C28"/>
    <w:rsid w:val="00982EC2"/>
    <w:rsid w:val="00990EBE"/>
    <w:rsid w:val="00991C11"/>
    <w:rsid w:val="0099533E"/>
    <w:rsid w:val="009957DA"/>
    <w:rsid w:val="00996585"/>
    <w:rsid w:val="0099738E"/>
    <w:rsid w:val="009A4D7B"/>
    <w:rsid w:val="009A7BEC"/>
    <w:rsid w:val="009B04AF"/>
    <w:rsid w:val="009B0B1C"/>
    <w:rsid w:val="009B1B87"/>
    <w:rsid w:val="009B29B7"/>
    <w:rsid w:val="009B2C08"/>
    <w:rsid w:val="009B66D2"/>
    <w:rsid w:val="009C0619"/>
    <w:rsid w:val="009C218A"/>
    <w:rsid w:val="009C6A20"/>
    <w:rsid w:val="009D0968"/>
    <w:rsid w:val="009D3E34"/>
    <w:rsid w:val="009D4B2F"/>
    <w:rsid w:val="009D4F9F"/>
    <w:rsid w:val="009D6373"/>
    <w:rsid w:val="009D75DE"/>
    <w:rsid w:val="009E0C87"/>
    <w:rsid w:val="009E1296"/>
    <w:rsid w:val="009E34B7"/>
    <w:rsid w:val="009E3DCD"/>
    <w:rsid w:val="009E3DF3"/>
    <w:rsid w:val="009E3F96"/>
    <w:rsid w:val="009E7B98"/>
    <w:rsid w:val="009F03DD"/>
    <w:rsid w:val="009F5248"/>
    <w:rsid w:val="009F661A"/>
    <w:rsid w:val="009F6F05"/>
    <w:rsid w:val="00A00311"/>
    <w:rsid w:val="00A0216F"/>
    <w:rsid w:val="00A032A5"/>
    <w:rsid w:val="00A06517"/>
    <w:rsid w:val="00A11775"/>
    <w:rsid w:val="00A118A8"/>
    <w:rsid w:val="00A2134A"/>
    <w:rsid w:val="00A2742C"/>
    <w:rsid w:val="00A308D0"/>
    <w:rsid w:val="00A36BBC"/>
    <w:rsid w:val="00A4002B"/>
    <w:rsid w:val="00A40ED5"/>
    <w:rsid w:val="00A43BE9"/>
    <w:rsid w:val="00A43C8F"/>
    <w:rsid w:val="00A44F61"/>
    <w:rsid w:val="00A4553A"/>
    <w:rsid w:val="00A46C50"/>
    <w:rsid w:val="00A5260C"/>
    <w:rsid w:val="00A53223"/>
    <w:rsid w:val="00A53AB0"/>
    <w:rsid w:val="00A56688"/>
    <w:rsid w:val="00A61074"/>
    <w:rsid w:val="00A61C1A"/>
    <w:rsid w:val="00A62BB9"/>
    <w:rsid w:val="00A6307E"/>
    <w:rsid w:val="00A6359D"/>
    <w:rsid w:val="00A63601"/>
    <w:rsid w:val="00A655EF"/>
    <w:rsid w:val="00A673EE"/>
    <w:rsid w:val="00A67A45"/>
    <w:rsid w:val="00A67EC9"/>
    <w:rsid w:val="00A7132F"/>
    <w:rsid w:val="00A71750"/>
    <w:rsid w:val="00A7327C"/>
    <w:rsid w:val="00A74BF2"/>
    <w:rsid w:val="00A9218B"/>
    <w:rsid w:val="00A92A16"/>
    <w:rsid w:val="00AA1C06"/>
    <w:rsid w:val="00AA3755"/>
    <w:rsid w:val="00AA4BDC"/>
    <w:rsid w:val="00AB1D56"/>
    <w:rsid w:val="00AB4641"/>
    <w:rsid w:val="00AB5284"/>
    <w:rsid w:val="00AC119D"/>
    <w:rsid w:val="00AC21A0"/>
    <w:rsid w:val="00AC2850"/>
    <w:rsid w:val="00AC3672"/>
    <w:rsid w:val="00AC5F9D"/>
    <w:rsid w:val="00AC6FDD"/>
    <w:rsid w:val="00AD4230"/>
    <w:rsid w:val="00AD5510"/>
    <w:rsid w:val="00AD660E"/>
    <w:rsid w:val="00AD79CB"/>
    <w:rsid w:val="00AE26CC"/>
    <w:rsid w:val="00AE2932"/>
    <w:rsid w:val="00AE4BD9"/>
    <w:rsid w:val="00AE61D5"/>
    <w:rsid w:val="00AE7BCA"/>
    <w:rsid w:val="00AF1E14"/>
    <w:rsid w:val="00AF5E89"/>
    <w:rsid w:val="00B0011A"/>
    <w:rsid w:val="00B0027D"/>
    <w:rsid w:val="00B02C6A"/>
    <w:rsid w:val="00B037A0"/>
    <w:rsid w:val="00B03D09"/>
    <w:rsid w:val="00B03F18"/>
    <w:rsid w:val="00B042F6"/>
    <w:rsid w:val="00B07844"/>
    <w:rsid w:val="00B079CD"/>
    <w:rsid w:val="00B10B04"/>
    <w:rsid w:val="00B11B90"/>
    <w:rsid w:val="00B120CD"/>
    <w:rsid w:val="00B15266"/>
    <w:rsid w:val="00B169A7"/>
    <w:rsid w:val="00B20716"/>
    <w:rsid w:val="00B217E8"/>
    <w:rsid w:val="00B225E5"/>
    <w:rsid w:val="00B22BC3"/>
    <w:rsid w:val="00B26684"/>
    <w:rsid w:val="00B26FE3"/>
    <w:rsid w:val="00B2784A"/>
    <w:rsid w:val="00B34A7F"/>
    <w:rsid w:val="00B34A8E"/>
    <w:rsid w:val="00B35459"/>
    <w:rsid w:val="00B3548E"/>
    <w:rsid w:val="00B36682"/>
    <w:rsid w:val="00B434C9"/>
    <w:rsid w:val="00B50553"/>
    <w:rsid w:val="00B507E8"/>
    <w:rsid w:val="00B51E77"/>
    <w:rsid w:val="00B5312D"/>
    <w:rsid w:val="00B544FF"/>
    <w:rsid w:val="00B56C82"/>
    <w:rsid w:val="00B56D4C"/>
    <w:rsid w:val="00B60FF4"/>
    <w:rsid w:val="00B6730F"/>
    <w:rsid w:val="00B67C56"/>
    <w:rsid w:val="00B67E60"/>
    <w:rsid w:val="00B72A3C"/>
    <w:rsid w:val="00B73EBF"/>
    <w:rsid w:val="00B74FC1"/>
    <w:rsid w:val="00B81102"/>
    <w:rsid w:val="00B81BBA"/>
    <w:rsid w:val="00B823E7"/>
    <w:rsid w:val="00B82EA1"/>
    <w:rsid w:val="00B838C7"/>
    <w:rsid w:val="00B83BA7"/>
    <w:rsid w:val="00B853D7"/>
    <w:rsid w:val="00B90605"/>
    <w:rsid w:val="00B91CD5"/>
    <w:rsid w:val="00B91FCE"/>
    <w:rsid w:val="00B922A9"/>
    <w:rsid w:val="00B935AA"/>
    <w:rsid w:val="00B97D93"/>
    <w:rsid w:val="00BA07F5"/>
    <w:rsid w:val="00BA11F9"/>
    <w:rsid w:val="00BA3DF6"/>
    <w:rsid w:val="00BA3E18"/>
    <w:rsid w:val="00BA5F4A"/>
    <w:rsid w:val="00BB34D8"/>
    <w:rsid w:val="00BB5076"/>
    <w:rsid w:val="00BC18ED"/>
    <w:rsid w:val="00BC2586"/>
    <w:rsid w:val="00BC5006"/>
    <w:rsid w:val="00BD4208"/>
    <w:rsid w:val="00BD4DDF"/>
    <w:rsid w:val="00BE149D"/>
    <w:rsid w:val="00BE22E3"/>
    <w:rsid w:val="00BE50CB"/>
    <w:rsid w:val="00BE7AD3"/>
    <w:rsid w:val="00BF0F88"/>
    <w:rsid w:val="00BF25A3"/>
    <w:rsid w:val="00BF2A93"/>
    <w:rsid w:val="00BF2D63"/>
    <w:rsid w:val="00BF4228"/>
    <w:rsid w:val="00BF4A35"/>
    <w:rsid w:val="00C01E97"/>
    <w:rsid w:val="00C02368"/>
    <w:rsid w:val="00C03F11"/>
    <w:rsid w:val="00C058DB"/>
    <w:rsid w:val="00C11F4B"/>
    <w:rsid w:val="00C2222B"/>
    <w:rsid w:val="00C27387"/>
    <w:rsid w:val="00C2757D"/>
    <w:rsid w:val="00C31EC9"/>
    <w:rsid w:val="00C35953"/>
    <w:rsid w:val="00C36312"/>
    <w:rsid w:val="00C37152"/>
    <w:rsid w:val="00C40432"/>
    <w:rsid w:val="00C409D2"/>
    <w:rsid w:val="00C432FF"/>
    <w:rsid w:val="00C450E3"/>
    <w:rsid w:val="00C472E2"/>
    <w:rsid w:val="00C50485"/>
    <w:rsid w:val="00C52F80"/>
    <w:rsid w:val="00C52FA2"/>
    <w:rsid w:val="00C54A84"/>
    <w:rsid w:val="00C56F8E"/>
    <w:rsid w:val="00C57D90"/>
    <w:rsid w:val="00C60767"/>
    <w:rsid w:val="00C648A9"/>
    <w:rsid w:val="00C64F34"/>
    <w:rsid w:val="00C7090C"/>
    <w:rsid w:val="00C70D73"/>
    <w:rsid w:val="00C71CA0"/>
    <w:rsid w:val="00C764AF"/>
    <w:rsid w:val="00C827D1"/>
    <w:rsid w:val="00C82F80"/>
    <w:rsid w:val="00C845F8"/>
    <w:rsid w:val="00C8502E"/>
    <w:rsid w:val="00C85AA9"/>
    <w:rsid w:val="00C85E8F"/>
    <w:rsid w:val="00C86CE0"/>
    <w:rsid w:val="00C912D2"/>
    <w:rsid w:val="00C95D6E"/>
    <w:rsid w:val="00CA2B10"/>
    <w:rsid w:val="00CA3943"/>
    <w:rsid w:val="00CA4689"/>
    <w:rsid w:val="00CA4C87"/>
    <w:rsid w:val="00CA5119"/>
    <w:rsid w:val="00CA5FEF"/>
    <w:rsid w:val="00CC29E0"/>
    <w:rsid w:val="00CC7D2B"/>
    <w:rsid w:val="00CD025F"/>
    <w:rsid w:val="00CD29F4"/>
    <w:rsid w:val="00CD7489"/>
    <w:rsid w:val="00CE04B2"/>
    <w:rsid w:val="00CE1927"/>
    <w:rsid w:val="00CE61EA"/>
    <w:rsid w:val="00CF149E"/>
    <w:rsid w:val="00CF22B5"/>
    <w:rsid w:val="00CF4A4B"/>
    <w:rsid w:val="00CF7981"/>
    <w:rsid w:val="00CF7AA6"/>
    <w:rsid w:val="00D01591"/>
    <w:rsid w:val="00D0434C"/>
    <w:rsid w:val="00D102B7"/>
    <w:rsid w:val="00D111C8"/>
    <w:rsid w:val="00D1764D"/>
    <w:rsid w:val="00D179B6"/>
    <w:rsid w:val="00D17CD7"/>
    <w:rsid w:val="00D17F7E"/>
    <w:rsid w:val="00D2018B"/>
    <w:rsid w:val="00D208D0"/>
    <w:rsid w:val="00D2163E"/>
    <w:rsid w:val="00D238E9"/>
    <w:rsid w:val="00D26097"/>
    <w:rsid w:val="00D26BAA"/>
    <w:rsid w:val="00D27E7D"/>
    <w:rsid w:val="00D307C7"/>
    <w:rsid w:val="00D315F1"/>
    <w:rsid w:val="00D31C2F"/>
    <w:rsid w:val="00D34BC7"/>
    <w:rsid w:val="00D35020"/>
    <w:rsid w:val="00D360D1"/>
    <w:rsid w:val="00D373BE"/>
    <w:rsid w:val="00D379CF"/>
    <w:rsid w:val="00D46552"/>
    <w:rsid w:val="00D51D93"/>
    <w:rsid w:val="00D539B4"/>
    <w:rsid w:val="00D552C3"/>
    <w:rsid w:val="00D5627F"/>
    <w:rsid w:val="00D61B16"/>
    <w:rsid w:val="00D64ED7"/>
    <w:rsid w:val="00D71FAD"/>
    <w:rsid w:val="00D72D26"/>
    <w:rsid w:val="00D75B30"/>
    <w:rsid w:val="00D75B75"/>
    <w:rsid w:val="00D8005E"/>
    <w:rsid w:val="00D80064"/>
    <w:rsid w:val="00D80CA3"/>
    <w:rsid w:val="00D812FF"/>
    <w:rsid w:val="00D90F6E"/>
    <w:rsid w:val="00D946DF"/>
    <w:rsid w:val="00D964FE"/>
    <w:rsid w:val="00D96571"/>
    <w:rsid w:val="00D9676B"/>
    <w:rsid w:val="00D976E7"/>
    <w:rsid w:val="00DA0AA0"/>
    <w:rsid w:val="00DA0F77"/>
    <w:rsid w:val="00DA2EF9"/>
    <w:rsid w:val="00DA3409"/>
    <w:rsid w:val="00DB02C0"/>
    <w:rsid w:val="00DB53BC"/>
    <w:rsid w:val="00DB5AC4"/>
    <w:rsid w:val="00DB647C"/>
    <w:rsid w:val="00DC0F4D"/>
    <w:rsid w:val="00DC55C1"/>
    <w:rsid w:val="00DC5B86"/>
    <w:rsid w:val="00DC79A7"/>
    <w:rsid w:val="00DD113B"/>
    <w:rsid w:val="00DD3993"/>
    <w:rsid w:val="00DD5407"/>
    <w:rsid w:val="00DE2114"/>
    <w:rsid w:val="00DE3D4C"/>
    <w:rsid w:val="00DE6D93"/>
    <w:rsid w:val="00DE7494"/>
    <w:rsid w:val="00DF04AC"/>
    <w:rsid w:val="00DF0E7F"/>
    <w:rsid w:val="00DF2DAE"/>
    <w:rsid w:val="00DF4D4F"/>
    <w:rsid w:val="00DF6C4C"/>
    <w:rsid w:val="00E00464"/>
    <w:rsid w:val="00E026D0"/>
    <w:rsid w:val="00E028FE"/>
    <w:rsid w:val="00E03BB6"/>
    <w:rsid w:val="00E03F0A"/>
    <w:rsid w:val="00E0784E"/>
    <w:rsid w:val="00E13161"/>
    <w:rsid w:val="00E13F4B"/>
    <w:rsid w:val="00E15D21"/>
    <w:rsid w:val="00E20051"/>
    <w:rsid w:val="00E20162"/>
    <w:rsid w:val="00E246A8"/>
    <w:rsid w:val="00E26F69"/>
    <w:rsid w:val="00E32CE1"/>
    <w:rsid w:val="00E35AC0"/>
    <w:rsid w:val="00E407EC"/>
    <w:rsid w:val="00E40BFA"/>
    <w:rsid w:val="00E416BC"/>
    <w:rsid w:val="00E439ED"/>
    <w:rsid w:val="00E47699"/>
    <w:rsid w:val="00E52565"/>
    <w:rsid w:val="00E55916"/>
    <w:rsid w:val="00E569DC"/>
    <w:rsid w:val="00E56C2A"/>
    <w:rsid w:val="00E60F5C"/>
    <w:rsid w:val="00E64099"/>
    <w:rsid w:val="00E66977"/>
    <w:rsid w:val="00E76601"/>
    <w:rsid w:val="00E76950"/>
    <w:rsid w:val="00E76CFA"/>
    <w:rsid w:val="00E77D57"/>
    <w:rsid w:val="00E77E33"/>
    <w:rsid w:val="00E81286"/>
    <w:rsid w:val="00E82F69"/>
    <w:rsid w:val="00E834B5"/>
    <w:rsid w:val="00E85F70"/>
    <w:rsid w:val="00E90C6B"/>
    <w:rsid w:val="00E91D50"/>
    <w:rsid w:val="00E92154"/>
    <w:rsid w:val="00E92ACB"/>
    <w:rsid w:val="00E976B5"/>
    <w:rsid w:val="00EA0419"/>
    <w:rsid w:val="00EA0532"/>
    <w:rsid w:val="00EA1ACB"/>
    <w:rsid w:val="00EA30DD"/>
    <w:rsid w:val="00EA4F54"/>
    <w:rsid w:val="00EA6253"/>
    <w:rsid w:val="00EA6644"/>
    <w:rsid w:val="00EB4750"/>
    <w:rsid w:val="00EB5EE2"/>
    <w:rsid w:val="00EC1E71"/>
    <w:rsid w:val="00EC65D8"/>
    <w:rsid w:val="00EC7741"/>
    <w:rsid w:val="00EC789B"/>
    <w:rsid w:val="00EC7FE2"/>
    <w:rsid w:val="00ED0157"/>
    <w:rsid w:val="00ED39EF"/>
    <w:rsid w:val="00ED41BF"/>
    <w:rsid w:val="00ED4439"/>
    <w:rsid w:val="00ED607A"/>
    <w:rsid w:val="00ED73FA"/>
    <w:rsid w:val="00EE0109"/>
    <w:rsid w:val="00EE53B7"/>
    <w:rsid w:val="00EF0266"/>
    <w:rsid w:val="00EF54DE"/>
    <w:rsid w:val="00EF54DF"/>
    <w:rsid w:val="00EF5C7E"/>
    <w:rsid w:val="00EF6406"/>
    <w:rsid w:val="00EF6576"/>
    <w:rsid w:val="00EF6C59"/>
    <w:rsid w:val="00F008E4"/>
    <w:rsid w:val="00F05FF3"/>
    <w:rsid w:val="00F101FE"/>
    <w:rsid w:val="00F11F0A"/>
    <w:rsid w:val="00F15A6D"/>
    <w:rsid w:val="00F17FE5"/>
    <w:rsid w:val="00F24B91"/>
    <w:rsid w:val="00F26F48"/>
    <w:rsid w:val="00F311CE"/>
    <w:rsid w:val="00F323DA"/>
    <w:rsid w:val="00F36A17"/>
    <w:rsid w:val="00F410CF"/>
    <w:rsid w:val="00F416E7"/>
    <w:rsid w:val="00F419D2"/>
    <w:rsid w:val="00F4252F"/>
    <w:rsid w:val="00F42C9C"/>
    <w:rsid w:val="00F51B94"/>
    <w:rsid w:val="00F5506F"/>
    <w:rsid w:val="00F555F2"/>
    <w:rsid w:val="00F57682"/>
    <w:rsid w:val="00F669AC"/>
    <w:rsid w:val="00F678F8"/>
    <w:rsid w:val="00F70764"/>
    <w:rsid w:val="00F71253"/>
    <w:rsid w:val="00F75EA9"/>
    <w:rsid w:val="00F766A3"/>
    <w:rsid w:val="00F778D3"/>
    <w:rsid w:val="00F8211F"/>
    <w:rsid w:val="00F84C4C"/>
    <w:rsid w:val="00F85F10"/>
    <w:rsid w:val="00F906F2"/>
    <w:rsid w:val="00F90B6B"/>
    <w:rsid w:val="00F93AC5"/>
    <w:rsid w:val="00F95396"/>
    <w:rsid w:val="00F97AC4"/>
    <w:rsid w:val="00FA383D"/>
    <w:rsid w:val="00FA5629"/>
    <w:rsid w:val="00FA6881"/>
    <w:rsid w:val="00FB73EA"/>
    <w:rsid w:val="00FC1904"/>
    <w:rsid w:val="00FC19B9"/>
    <w:rsid w:val="00FC3476"/>
    <w:rsid w:val="00FC48EA"/>
    <w:rsid w:val="00FC6694"/>
    <w:rsid w:val="00FC6B1E"/>
    <w:rsid w:val="00FD1C7F"/>
    <w:rsid w:val="00FD2677"/>
    <w:rsid w:val="00FD394C"/>
    <w:rsid w:val="00FE0247"/>
    <w:rsid w:val="00FE15F2"/>
    <w:rsid w:val="00FE166D"/>
    <w:rsid w:val="00FE5389"/>
    <w:rsid w:val="00FE5F05"/>
    <w:rsid w:val="00FF0947"/>
    <w:rsid w:val="00FF107E"/>
    <w:rsid w:val="00FF2B85"/>
    <w:rsid w:val="00FF602B"/>
    <w:rsid w:val="01161381"/>
    <w:rsid w:val="01432A04"/>
    <w:rsid w:val="01AA7D1B"/>
    <w:rsid w:val="0239781F"/>
    <w:rsid w:val="03153C80"/>
    <w:rsid w:val="032B7749"/>
    <w:rsid w:val="034443F1"/>
    <w:rsid w:val="03646251"/>
    <w:rsid w:val="038A1BB2"/>
    <w:rsid w:val="038D51FF"/>
    <w:rsid w:val="03BD5AE4"/>
    <w:rsid w:val="03DC65FE"/>
    <w:rsid w:val="04561A95"/>
    <w:rsid w:val="04B37D11"/>
    <w:rsid w:val="04C35C7D"/>
    <w:rsid w:val="04E92050"/>
    <w:rsid w:val="05092FAB"/>
    <w:rsid w:val="05107DAB"/>
    <w:rsid w:val="0523406D"/>
    <w:rsid w:val="05535400"/>
    <w:rsid w:val="05CE0532"/>
    <w:rsid w:val="05D77D02"/>
    <w:rsid w:val="06012798"/>
    <w:rsid w:val="078801B7"/>
    <w:rsid w:val="07C8420F"/>
    <w:rsid w:val="07E21B99"/>
    <w:rsid w:val="082E49D0"/>
    <w:rsid w:val="088631B6"/>
    <w:rsid w:val="08A748F7"/>
    <w:rsid w:val="09334672"/>
    <w:rsid w:val="099D686B"/>
    <w:rsid w:val="0A2F4DA3"/>
    <w:rsid w:val="0A34014A"/>
    <w:rsid w:val="0AC52104"/>
    <w:rsid w:val="0B3001AC"/>
    <w:rsid w:val="0B9419B6"/>
    <w:rsid w:val="0BD075C8"/>
    <w:rsid w:val="0BD157B2"/>
    <w:rsid w:val="0C6B2FD3"/>
    <w:rsid w:val="0CA57A5D"/>
    <w:rsid w:val="0CEC4F8B"/>
    <w:rsid w:val="0CEC62AD"/>
    <w:rsid w:val="0CFD6452"/>
    <w:rsid w:val="0D0A5472"/>
    <w:rsid w:val="0D0E5602"/>
    <w:rsid w:val="0D110C4F"/>
    <w:rsid w:val="0DA8242C"/>
    <w:rsid w:val="0DB066B9"/>
    <w:rsid w:val="0DC70BE1"/>
    <w:rsid w:val="0EA6728C"/>
    <w:rsid w:val="0F89027A"/>
    <w:rsid w:val="0FED3BDD"/>
    <w:rsid w:val="101C3464"/>
    <w:rsid w:val="103B026D"/>
    <w:rsid w:val="104F2123"/>
    <w:rsid w:val="10FE14EA"/>
    <w:rsid w:val="112A133D"/>
    <w:rsid w:val="11731B9E"/>
    <w:rsid w:val="11977ACF"/>
    <w:rsid w:val="123D2BFE"/>
    <w:rsid w:val="125E21A3"/>
    <w:rsid w:val="128A76DA"/>
    <w:rsid w:val="129B3FB3"/>
    <w:rsid w:val="13051255"/>
    <w:rsid w:val="1308487C"/>
    <w:rsid w:val="13824654"/>
    <w:rsid w:val="13E301A7"/>
    <w:rsid w:val="14005B6C"/>
    <w:rsid w:val="146C638E"/>
    <w:rsid w:val="14C41C81"/>
    <w:rsid w:val="14DE33D6"/>
    <w:rsid w:val="15171FA8"/>
    <w:rsid w:val="15714980"/>
    <w:rsid w:val="157E7936"/>
    <w:rsid w:val="158316CA"/>
    <w:rsid w:val="162239A3"/>
    <w:rsid w:val="16442095"/>
    <w:rsid w:val="16C15493"/>
    <w:rsid w:val="16DA0ED7"/>
    <w:rsid w:val="16FA21C3"/>
    <w:rsid w:val="17725CE9"/>
    <w:rsid w:val="17A56B63"/>
    <w:rsid w:val="17AD5A18"/>
    <w:rsid w:val="18D7252D"/>
    <w:rsid w:val="18DB090E"/>
    <w:rsid w:val="19A448DD"/>
    <w:rsid w:val="19B11DE8"/>
    <w:rsid w:val="1A11040C"/>
    <w:rsid w:val="1AB62E35"/>
    <w:rsid w:val="1B1852C8"/>
    <w:rsid w:val="1B3875A9"/>
    <w:rsid w:val="1B6F0B84"/>
    <w:rsid w:val="1BEA723A"/>
    <w:rsid w:val="1CE471BB"/>
    <w:rsid w:val="1D2624F4"/>
    <w:rsid w:val="1D2C4CCF"/>
    <w:rsid w:val="1D663922"/>
    <w:rsid w:val="1D84515B"/>
    <w:rsid w:val="1D9B2D71"/>
    <w:rsid w:val="1DC2561B"/>
    <w:rsid w:val="1DCD347B"/>
    <w:rsid w:val="1F047C98"/>
    <w:rsid w:val="1F071EB1"/>
    <w:rsid w:val="1F1558E5"/>
    <w:rsid w:val="1F177BBA"/>
    <w:rsid w:val="204C4020"/>
    <w:rsid w:val="205D447F"/>
    <w:rsid w:val="20C620B9"/>
    <w:rsid w:val="20F75D3C"/>
    <w:rsid w:val="20FB77F4"/>
    <w:rsid w:val="21537630"/>
    <w:rsid w:val="21913598"/>
    <w:rsid w:val="21BA086A"/>
    <w:rsid w:val="22080DAE"/>
    <w:rsid w:val="221122C5"/>
    <w:rsid w:val="22414192"/>
    <w:rsid w:val="22810977"/>
    <w:rsid w:val="23405AB7"/>
    <w:rsid w:val="2343151F"/>
    <w:rsid w:val="23AA7590"/>
    <w:rsid w:val="24162C88"/>
    <w:rsid w:val="24393F52"/>
    <w:rsid w:val="24530B11"/>
    <w:rsid w:val="24F20849"/>
    <w:rsid w:val="25405049"/>
    <w:rsid w:val="255100B7"/>
    <w:rsid w:val="25BD32CA"/>
    <w:rsid w:val="25F22E14"/>
    <w:rsid w:val="262564A4"/>
    <w:rsid w:val="26387542"/>
    <w:rsid w:val="266D785C"/>
    <w:rsid w:val="26B446CD"/>
    <w:rsid w:val="26B8050A"/>
    <w:rsid w:val="26BF7E31"/>
    <w:rsid w:val="27AA5444"/>
    <w:rsid w:val="27E674F0"/>
    <w:rsid w:val="28091A45"/>
    <w:rsid w:val="28B94B6A"/>
    <w:rsid w:val="28E1114F"/>
    <w:rsid w:val="291D4B60"/>
    <w:rsid w:val="293D53F0"/>
    <w:rsid w:val="299130AE"/>
    <w:rsid w:val="299407E6"/>
    <w:rsid w:val="29A36E2A"/>
    <w:rsid w:val="29C40B22"/>
    <w:rsid w:val="2A5419CA"/>
    <w:rsid w:val="2A987CC1"/>
    <w:rsid w:val="2AC429A3"/>
    <w:rsid w:val="2B360AA9"/>
    <w:rsid w:val="2B5B3D53"/>
    <w:rsid w:val="2B69663D"/>
    <w:rsid w:val="2BD33847"/>
    <w:rsid w:val="2C0D6E69"/>
    <w:rsid w:val="2C54533B"/>
    <w:rsid w:val="2CBA3159"/>
    <w:rsid w:val="2CC02F7B"/>
    <w:rsid w:val="2CCD1427"/>
    <w:rsid w:val="2EB2355A"/>
    <w:rsid w:val="2ECC5C68"/>
    <w:rsid w:val="2EFA5A6C"/>
    <w:rsid w:val="2F0361F1"/>
    <w:rsid w:val="2F2D516A"/>
    <w:rsid w:val="2F320885"/>
    <w:rsid w:val="2F5152D9"/>
    <w:rsid w:val="2F522CD5"/>
    <w:rsid w:val="2F9024B6"/>
    <w:rsid w:val="30045DA6"/>
    <w:rsid w:val="301234E9"/>
    <w:rsid w:val="301E4E25"/>
    <w:rsid w:val="307100E3"/>
    <w:rsid w:val="30717B4F"/>
    <w:rsid w:val="30CD7E3D"/>
    <w:rsid w:val="30FF0C3A"/>
    <w:rsid w:val="3101724B"/>
    <w:rsid w:val="311E5564"/>
    <w:rsid w:val="31346AFE"/>
    <w:rsid w:val="314C43F1"/>
    <w:rsid w:val="31650D6A"/>
    <w:rsid w:val="31CF685F"/>
    <w:rsid w:val="32400C81"/>
    <w:rsid w:val="324234D5"/>
    <w:rsid w:val="327D23C6"/>
    <w:rsid w:val="327E291D"/>
    <w:rsid w:val="32C1089D"/>
    <w:rsid w:val="33032267"/>
    <w:rsid w:val="335B4332"/>
    <w:rsid w:val="33EB32A2"/>
    <w:rsid w:val="340C5B48"/>
    <w:rsid w:val="34110D1E"/>
    <w:rsid w:val="34602334"/>
    <w:rsid w:val="34732D29"/>
    <w:rsid w:val="34C15AF7"/>
    <w:rsid w:val="35120080"/>
    <w:rsid w:val="35587087"/>
    <w:rsid w:val="35DF7E2A"/>
    <w:rsid w:val="35E6615D"/>
    <w:rsid w:val="36B9744C"/>
    <w:rsid w:val="38064FA4"/>
    <w:rsid w:val="382316B2"/>
    <w:rsid w:val="38700868"/>
    <w:rsid w:val="38B93DC5"/>
    <w:rsid w:val="39365415"/>
    <w:rsid w:val="396E2E01"/>
    <w:rsid w:val="39B80D15"/>
    <w:rsid w:val="39BD78E5"/>
    <w:rsid w:val="3A1474B2"/>
    <w:rsid w:val="3ACF3846"/>
    <w:rsid w:val="3B133F8F"/>
    <w:rsid w:val="3B2B35FE"/>
    <w:rsid w:val="3B793093"/>
    <w:rsid w:val="3B9534E8"/>
    <w:rsid w:val="3B9D352A"/>
    <w:rsid w:val="3BAB0CF4"/>
    <w:rsid w:val="3BC73124"/>
    <w:rsid w:val="3BE930FE"/>
    <w:rsid w:val="3CA041B1"/>
    <w:rsid w:val="3CA27D24"/>
    <w:rsid w:val="3CBB635D"/>
    <w:rsid w:val="3CCA2A44"/>
    <w:rsid w:val="3D8F350F"/>
    <w:rsid w:val="3DCC6040"/>
    <w:rsid w:val="3F4563B2"/>
    <w:rsid w:val="3F5E7474"/>
    <w:rsid w:val="3FBE3652"/>
    <w:rsid w:val="40300E10"/>
    <w:rsid w:val="40324B88"/>
    <w:rsid w:val="40A44A2F"/>
    <w:rsid w:val="418C1F37"/>
    <w:rsid w:val="41997F6D"/>
    <w:rsid w:val="41AB4F1D"/>
    <w:rsid w:val="41AD181F"/>
    <w:rsid w:val="41AE086F"/>
    <w:rsid w:val="41B65345"/>
    <w:rsid w:val="41B70DEF"/>
    <w:rsid w:val="42396E25"/>
    <w:rsid w:val="42A06AB8"/>
    <w:rsid w:val="42C35A4E"/>
    <w:rsid w:val="42EE5221"/>
    <w:rsid w:val="430C31CD"/>
    <w:rsid w:val="433F2786"/>
    <w:rsid w:val="43797959"/>
    <w:rsid w:val="437E4BEA"/>
    <w:rsid w:val="43933369"/>
    <w:rsid w:val="43A062AD"/>
    <w:rsid w:val="44031F74"/>
    <w:rsid w:val="4421163C"/>
    <w:rsid w:val="4422644C"/>
    <w:rsid w:val="44BB30E3"/>
    <w:rsid w:val="45892E4B"/>
    <w:rsid w:val="45980964"/>
    <w:rsid w:val="45E22BAD"/>
    <w:rsid w:val="460551AF"/>
    <w:rsid w:val="461F5BAF"/>
    <w:rsid w:val="4639236B"/>
    <w:rsid w:val="469F5A69"/>
    <w:rsid w:val="46B2252A"/>
    <w:rsid w:val="46D71D6C"/>
    <w:rsid w:val="47317EE9"/>
    <w:rsid w:val="474E706B"/>
    <w:rsid w:val="478A684C"/>
    <w:rsid w:val="47AF37ED"/>
    <w:rsid w:val="47D357DE"/>
    <w:rsid w:val="47F327EC"/>
    <w:rsid w:val="48407062"/>
    <w:rsid w:val="492C2CD8"/>
    <w:rsid w:val="492E682D"/>
    <w:rsid w:val="49384DA6"/>
    <w:rsid w:val="497246FD"/>
    <w:rsid w:val="49784563"/>
    <w:rsid w:val="4A514A58"/>
    <w:rsid w:val="4AB91201"/>
    <w:rsid w:val="4AD03D0D"/>
    <w:rsid w:val="4B0623C6"/>
    <w:rsid w:val="4B0D2C77"/>
    <w:rsid w:val="4B78762A"/>
    <w:rsid w:val="4BDE3E16"/>
    <w:rsid w:val="4BFE208B"/>
    <w:rsid w:val="4C820798"/>
    <w:rsid w:val="4CD646C6"/>
    <w:rsid w:val="4D20220D"/>
    <w:rsid w:val="4D593E61"/>
    <w:rsid w:val="4DD25BA6"/>
    <w:rsid w:val="4E2F6BAB"/>
    <w:rsid w:val="4E563CAF"/>
    <w:rsid w:val="4EEF1741"/>
    <w:rsid w:val="4F412D12"/>
    <w:rsid w:val="4F5764B9"/>
    <w:rsid w:val="4F7B13E5"/>
    <w:rsid w:val="4F8E4F9B"/>
    <w:rsid w:val="4FB5568A"/>
    <w:rsid w:val="505550D7"/>
    <w:rsid w:val="50977CD5"/>
    <w:rsid w:val="50E21CB3"/>
    <w:rsid w:val="50E25212"/>
    <w:rsid w:val="50EC76E0"/>
    <w:rsid w:val="50ED0658"/>
    <w:rsid w:val="50FB25A0"/>
    <w:rsid w:val="51441BE2"/>
    <w:rsid w:val="517337AF"/>
    <w:rsid w:val="51C907FD"/>
    <w:rsid w:val="51C92E73"/>
    <w:rsid w:val="51E429DC"/>
    <w:rsid w:val="51EA24A9"/>
    <w:rsid w:val="520A5B47"/>
    <w:rsid w:val="521A36CE"/>
    <w:rsid w:val="52572AAC"/>
    <w:rsid w:val="5288789D"/>
    <w:rsid w:val="52F357EC"/>
    <w:rsid w:val="53240D89"/>
    <w:rsid w:val="53B50BFF"/>
    <w:rsid w:val="53C24CC5"/>
    <w:rsid w:val="540B32CF"/>
    <w:rsid w:val="540E7263"/>
    <w:rsid w:val="542E09AB"/>
    <w:rsid w:val="547A2180"/>
    <w:rsid w:val="54FC4340"/>
    <w:rsid w:val="55281C3E"/>
    <w:rsid w:val="55327527"/>
    <w:rsid w:val="55DF0EB7"/>
    <w:rsid w:val="56232B6D"/>
    <w:rsid w:val="56496F0D"/>
    <w:rsid w:val="5655719F"/>
    <w:rsid w:val="566F140E"/>
    <w:rsid w:val="56A35173"/>
    <w:rsid w:val="56D66B85"/>
    <w:rsid w:val="56F013A7"/>
    <w:rsid w:val="56F10A72"/>
    <w:rsid w:val="570A0085"/>
    <w:rsid w:val="579837F9"/>
    <w:rsid w:val="57A03113"/>
    <w:rsid w:val="58112E7E"/>
    <w:rsid w:val="58767185"/>
    <w:rsid w:val="58992408"/>
    <w:rsid w:val="59396B30"/>
    <w:rsid w:val="594C21CD"/>
    <w:rsid w:val="597E382E"/>
    <w:rsid w:val="59AC55FC"/>
    <w:rsid w:val="59B42D3F"/>
    <w:rsid w:val="59B74EE0"/>
    <w:rsid w:val="5A07509E"/>
    <w:rsid w:val="5A376592"/>
    <w:rsid w:val="5A3D16CD"/>
    <w:rsid w:val="5B032705"/>
    <w:rsid w:val="5B775B16"/>
    <w:rsid w:val="5B8550E3"/>
    <w:rsid w:val="5B9F3F13"/>
    <w:rsid w:val="5BCE0E20"/>
    <w:rsid w:val="5CF74D38"/>
    <w:rsid w:val="5CF959A1"/>
    <w:rsid w:val="5D517E98"/>
    <w:rsid w:val="5D652155"/>
    <w:rsid w:val="5D834668"/>
    <w:rsid w:val="5DD4645B"/>
    <w:rsid w:val="5EEC63F2"/>
    <w:rsid w:val="5F3F4090"/>
    <w:rsid w:val="5F8748E3"/>
    <w:rsid w:val="603A11BC"/>
    <w:rsid w:val="6051475F"/>
    <w:rsid w:val="605E042C"/>
    <w:rsid w:val="608B40DB"/>
    <w:rsid w:val="60D84E80"/>
    <w:rsid w:val="60FC0FD2"/>
    <w:rsid w:val="6114072F"/>
    <w:rsid w:val="61234FE1"/>
    <w:rsid w:val="61551946"/>
    <w:rsid w:val="61587D6F"/>
    <w:rsid w:val="61651048"/>
    <w:rsid w:val="6178638C"/>
    <w:rsid w:val="61A8393F"/>
    <w:rsid w:val="61F24F72"/>
    <w:rsid w:val="62650E70"/>
    <w:rsid w:val="62733B7E"/>
    <w:rsid w:val="62924A74"/>
    <w:rsid w:val="6296690C"/>
    <w:rsid w:val="62BA0B39"/>
    <w:rsid w:val="63A3288D"/>
    <w:rsid w:val="63E36016"/>
    <w:rsid w:val="642C19B0"/>
    <w:rsid w:val="646858FB"/>
    <w:rsid w:val="650D4479"/>
    <w:rsid w:val="65163C77"/>
    <w:rsid w:val="65197815"/>
    <w:rsid w:val="65856C59"/>
    <w:rsid w:val="659A2C5E"/>
    <w:rsid w:val="65D259BC"/>
    <w:rsid w:val="65ED7F94"/>
    <w:rsid w:val="664327BF"/>
    <w:rsid w:val="66920596"/>
    <w:rsid w:val="67365086"/>
    <w:rsid w:val="67487934"/>
    <w:rsid w:val="678E2418"/>
    <w:rsid w:val="67A57229"/>
    <w:rsid w:val="67C2242C"/>
    <w:rsid w:val="67F37AC4"/>
    <w:rsid w:val="67F61F5D"/>
    <w:rsid w:val="680779F9"/>
    <w:rsid w:val="68307350"/>
    <w:rsid w:val="6881195A"/>
    <w:rsid w:val="68BE3783"/>
    <w:rsid w:val="6938198D"/>
    <w:rsid w:val="693B7CEE"/>
    <w:rsid w:val="697274AB"/>
    <w:rsid w:val="69BB2F59"/>
    <w:rsid w:val="69E90FEE"/>
    <w:rsid w:val="69FC118D"/>
    <w:rsid w:val="6A0319E1"/>
    <w:rsid w:val="6A694D9B"/>
    <w:rsid w:val="6B1B2F65"/>
    <w:rsid w:val="6B3E66B1"/>
    <w:rsid w:val="6B471DBA"/>
    <w:rsid w:val="6C4837BE"/>
    <w:rsid w:val="6C590F90"/>
    <w:rsid w:val="6C662CEC"/>
    <w:rsid w:val="6D357F00"/>
    <w:rsid w:val="6D83392B"/>
    <w:rsid w:val="6E6E2980"/>
    <w:rsid w:val="6E997C30"/>
    <w:rsid w:val="6EA6575C"/>
    <w:rsid w:val="6EBC4DD2"/>
    <w:rsid w:val="6F6C5292"/>
    <w:rsid w:val="6FAE0FF7"/>
    <w:rsid w:val="6FFC4E16"/>
    <w:rsid w:val="70356977"/>
    <w:rsid w:val="70461EC0"/>
    <w:rsid w:val="706738E8"/>
    <w:rsid w:val="70944952"/>
    <w:rsid w:val="71496D59"/>
    <w:rsid w:val="71695E43"/>
    <w:rsid w:val="716B2A6D"/>
    <w:rsid w:val="71964462"/>
    <w:rsid w:val="72693B8A"/>
    <w:rsid w:val="726C4446"/>
    <w:rsid w:val="72776EE5"/>
    <w:rsid w:val="72A11D75"/>
    <w:rsid w:val="737E5413"/>
    <w:rsid w:val="73993E46"/>
    <w:rsid w:val="73FE5C27"/>
    <w:rsid w:val="741144D9"/>
    <w:rsid w:val="74251D33"/>
    <w:rsid w:val="743402DD"/>
    <w:rsid w:val="74343D24"/>
    <w:rsid w:val="74391CCF"/>
    <w:rsid w:val="74730CF0"/>
    <w:rsid w:val="750543DF"/>
    <w:rsid w:val="760C1C16"/>
    <w:rsid w:val="765E45CB"/>
    <w:rsid w:val="76736DE2"/>
    <w:rsid w:val="76AA1881"/>
    <w:rsid w:val="77201348"/>
    <w:rsid w:val="77392429"/>
    <w:rsid w:val="783A2B06"/>
    <w:rsid w:val="785C0B0C"/>
    <w:rsid w:val="797C1D3C"/>
    <w:rsid w:val="79E61F64"/>
    <w:rsid w:val="79E663D9"/>
    <w:rsid w:val="7A1A1F4B"/>
    <w:rsid w:val="7ABE4881"/>
    <w:rsid w:val="7B112CEA"/>
    <w:rsid w:val="7B8051F7"/>
    <w:rsid w:val="7BB65996"/>
    <w:rsid w:val="7BE0283D"/>
    <w:rsid w:val="7C0B631C"/>
    <w:rsid w:val="7C2428D0"/>
    <w:rsid w:val="7CC50A02"/>
    <w:rsid w:val="7D1E04AA"/>
    <w:rsid w:val="7D9F6AD2"/>
    <w:rsid w:val="7DA65982"/>
    <w:rsid w:val="7DB008BF"/>
    <w:rsid w:val="7DC46119"/>
    <w:rsid w:val="7E973975"/>
    <w:rsid w:val="7F392B36"/>
    <w:rsid w:val="7F525799"/>
    <w:rsid w:val="7F632F7F"/>
    <w:rsid w:val="7F8D1CA5"/>
    <w:rsid w:val="7FCE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0"/>
    <w:autoRedefine/>
    <w:qFormat/>
    <w:uiPriority w:val="0"/>
    <w:pPr>
      <w:keepNext/>
      <w:keepLines/>
      <w:spacing w:beforeLines="100" w:afterLines="100" w:line="360" w:lineRule="auto"/>
      <w:jc w:val="center"/>
      <w:outlineLvl w:val="0"/>
    </w:pPr>
    <w:rPr>
      <w:rFonts w:eastAsia="仿宋"/>
      <w:b/>
      <w:bCs/>
      <w:kern w:val="44"/>
      <w:sz w:val="44"/>
      <w:szCs w:val="44"/>
    </w:rPr>
  </w:style>
  <w:style w:type="paragraph" w:styleId="3">
    <w:name w:val="heading 2"/>
    <w:basedOn w:val="1"/>
    <w:next w:val="1"/>
    <w:link w:val="31"/>
    <w:autoRedefine/>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32"/>
    <w:qFormat/>
    <w:uiPriority w:val="0"/>
    <w:pPr>
      <w:keepNext/>
      <w:keepLines/>
      <w:spacing w:before="260" w:after="260" w:line="416" w:lineRule="auto"/>
      <w:outlineLvl w:val="2"/>
    </w:pPr>
    <w:rPr>
      <w:rFonts w:eastAsia="仿宋"/>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3"/>
    <w:unhideWhenUsed/>
    <w:qFormat/>
    <w:uiPriority w:val="99"/>
    <w:pPr>
      <w:jc w:val="left"/>
    </w:pPr>
  </w:style>
  <w:style w:type="paragraph" w:styleId="6">
    <w:name w:val="Body Text"/>
    <w:basedOn w:val="1"/>
    <w:next w:val="7"/>
    <w:link w:val="34"/>
    <w:unhideWhenUsed/>
    <w:qFormat/>
    <w:uiPriority w:val="0"/>
    <w:pPr>
      <w:spacing w:after="120"/>
    </w:pPr>
    <w:rPr>
      <w:rFonts w:ascii="Calibri" w:hAnsi="Calibri"/>
      <w:szCs w:val="24"/>
    </w:rPr>
  </w:style>
  <w:style w:type="paragraph" w:styleId="7">
    <w:name w:val="List Bullet 5"/>
    <w:basedOn w:val="1"/>
    <w:autoRedefine/>
    <w:unhideWhenUsed/>
    <w:qFormat/>
    <w:uiPriority w:val="99"/>
    <w:pPr>
      <w:numPr>
        <w:ilvl w:val="0"/>
        <w:numId w:val="1"/>
      </w:numPr>
    </w:pPr>
  </w:style>
  <w:style w:type="paragraph" w:styleId="8">
    <w:name w:val="Body Text Indent"/>
    <w:basedOn w:val="1"/>
    <w:next w:val="9"/>
    <w:autoRedefine/>
    <w:qFormat/>
    <w:uiPriority w:val="99"/>
    <w:pPr>
      <w:ind w:firstLine="480" w:firstLineChars="200"/>
    </w:pPr>
    <w:rPr>
      <w:kern w:val="0"/>
    </w:rPr>
  </w:style>
  <w:style w:type="paragraph" w:styleId="9">
    <w:name w:val="Body Text First Indent 2"/>
    <w:basedOn w:val="8"/>
    <w:next w:val="1"/>
    <w:autoRedefine/>
    <w:qFormat/>
    <w:uiPriority w:val="99"/>
    <w:pPr>
      <w:spacing w:after="120"/>
      <w:ind w:left="420" w:leftChars="200" w:firstLine="420"/>
    </w:pPr>
  </w:style>
  <w:style w:type="paragraph" w:styleId="10">
    <w:name w:val="toc 3"/>
    <w:basedOn w:val="1"/>
    <w:next w:val="1"/>
    <w:autoRedefine/>
    <w:unhideWhenUsed/>
    <w:qFormat/>
    <w:uiPriority w:val="0"/>
    <w:pPr>
      <w:ind w:left="840" w:leftChars="400"/>
    </w:pPr>
  </w:style>
  <w:style w:type="paragraph" w:styleId="11">
    <w:name w:val="Date"/>
    <w:basedOn w:val="1"/>
    <w:next w:val="1"/>
    <w:link w:val="35"/>
    <w:autoRedefine/>
    <w:unhideWhenUsed/>
    <w:qFormat/>
    <w:uiPriority w:val="99"/>
    <w:pPr>
      <w:ind w:left="100" w:leftChars="2500"/>
    </w:pPr>
  </w:style>
  <w:style w:type="paragraph" w:styleId="12">
    <w:name w:val="Balloon Text"/>
    <w:basedOn w:val="1"/>
    <w:link w:val="36"/>
    <w:autoRedefine/>
    <w:qFormat/>
    <w:uiPriority w:val="0"/>
    <w:rPr>
      <w:sz w:val="18"/>
      <w:szCs w:val="18"/>
    </w:rPr>
  </w:style>
  <w:style w:type="paragraph" w:styleId="13">
    <w:name w:val="footer"/>
    <w:basedOn w:val="1"/>
    <w:link w:val="37"/>
    <w:autoRedefine/>
    <w:unhideWhenUsed/>
    <w:qFormat/>
    <w:uiPriority w:val="99"/>
    <w:pPr>
      <w:tabs>
        <w:tab w:val="center" w:pos="4153"/>
        <w:tab w:val="right" w:pos="8306"/>
      </w:tabs>
      <w:snapToGrid w:val="0"/>
      <w:jc w:val="left"/>
    </w:pPr>
    <w:rPr>
      <w:sz w:val="18"/>
      <w:szCs w:val="18"/>
    </w:rPr>
  </w:style>
  <w:style w:type="paragraph" w:styleId="14">
    <w:name w:val="header"/>
    <w:basedOn w:val="1"/>
    <w:next w:val="15"/>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5">
    <w:name w:val="样式5"/>
    <w:basedOn w:val="6"/>
    <w:next w:val="1"/>
    <w:autoRedefine/>
    <w:qFormat/>
    <w:uiPriority w:val="99"/>
    <w:pPr>
      <w:ind w:right="-140" w:rightChars="-50" w:firstLine="1653" w:firstLineChars="588"/>
    </w:pPr>
    <w:rPr>
      <w:b/>
      <w:bCs/>
    </w:rPr>
  </w:style>
  <w:style w:type="paragraph" w:styleId="16">
    <w:name w:val="toc 1"/>
    <w:basedOn w:val="1"/>
    <w:next w:val="1"/>
    <w:autoRedefine/>
    <w:unhideWhenUsed/>
    <w:qFormat/>
    <w:uiPriority w:val="0"/>
    <w:pPr>
      <w:tabs>
        <w:tab w:val="right" w:leader="dot" w:pos="8296"/>
      </w:tabs>
      <w:snapToGrid w:val="0"/>
      <w:spacing w:line="480" w:lineRule="exact"/>
    </w:pPr>
    <w:rPr>
      <w:rFonts w:eastAsia="仿宋_GB2312"/>
      <w:b/>
      <w:bCs/>
      <w:sz w:val="28"/>
      <w:szCs w:val="28"/>
    </w:rPr>
  </w:style>
  <w:style w:type="paragraph" w:styleId="17">
    <w:name w:val="toc 2"/>
    <w:basedOn w:val="1"/>
    <w:next w:val="1"/>
    <w:autoRedefine/>
    <w:unhideWhenUsed/>
    <w:qFormat/>
    <w:uiPriority w:val="0"/>
    <w:pPr>
      <w:ind w:left="420" w:leftChars="200"/>
    </w:pPr>
  </w:style>
  <w:style w:type="paragraph" w:styleId="18">
    <w:name w:val="Message Header"/>
    <w:basedOn w:val="1"/>
    <w:link w:val="39"/>
    <w:autoRedefine/>
    <w:qFormat/>
    <w:uiPriority w:val="0"/>
    <w:pPr>
      <w:pBdr>
        <w:top w:val="none" w:color="auto" w:sz="0" w:space="1"/>
        <w:left w:val="none" w:color="auto" w:sz="0" w:space="1"/>
        <w:bottom w:val="none" w:color="auto" w:sz="0" w:space="1"/>
        <w:right w:val="none" w:color="auto" w:sz="0" w:space="1"/>
      </w:pBdr>
      <w:autoSpaceDE w:val="0"/>
      <w:autoSpaceDN w:val="0"/>
      <w:jc w:val="left"/>
    </w:pPr>
    <w:rPr>
      <w:rFonts w:ascii="Arial" w:hAnsi="Arial" w:eastAsia="仿宋" w:cs="宋体"/>
      <w:kern w:val="0"/>
      <w:sz w:val="32"/>
      <w:lang w:val="zh-CN" w:bidi="zh-CN"/>
    </w:rPr>
  </w:style>
  <w:style w:type="paragraph" w:styleId="19">
    <w:name w:val="Normal (Web)"/>
    <w:basedOn w:val="1"/>
    <w:next w:val="20"/>
    <w:autoRedefine/>
    <w:qFormat/>
    <w:uiPriority w:val="0"/>
  </w:style>
  <w:style w:type="paragraph" w:customStyle="1" w:styleId="20">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21">
    <w:name w:val="annotation subject"/>
    <w:basedOn w:val="5"/>
    <w:next w:val="5"/>
    <w:link w:val="40"/>
    <w:autoRedefine/>
    <w:unhideWhenUsed/>
    <w:qFormat/>
    <w:uiPriority w:val="99"/>
    <w:rPr>
      <w:b/>
      <w:bCs/>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autoRedefine/>
    <w:qFormat/>
    <w:uiPriority w:val="0"/>
    <w:rPr>
      <w:b/>
      <w:bCs/>
    </w:rPr>
  </w:style>
  <w:style w:type="character" w:styleId="26">
    <w:name w:val="page number"/>
    <w:autoRedefine/>
    <w:qFormat/>
    <w:uiPriority w:val="0"/>
  </w:style>
  <w:style w:type="character" w:styleId="27">
    <w:name w:val="FollowedHyperlink"/>
    <w:autoRedefine/>
    <w:unhideWhenUsed/>
    <w:qFormat/>
    <w:uiPriority w:val="0"/>
    <w:rPr>
      <w:color w:val="800080"/>
      <w:u w:val="single"/>
    </w:rPr>
  </w:style>
  <w:style w:type="character" w:styleId="28">
    <w:name w:val="Hyperlink"/>
    <w:autoRedefine/>
    <w:unhideWhenUsed/>
    <w:qFormat/>
    <w:uiPriority w:val="0"/>
    <w:rPr>
      <w:color w:val="0000FF"/>
      <w:u w:val="single"/>
    </w:rPr>
  </w:style>
  <w:style w:type="character" w:styleId="29">
    <w:name w:val="annotation reference"/>
    <w:autoRedefine/>
    <w:unhideWhenUsed/>
    <w:qFormat/>
    <w:uiPriority w:val="0"/>
    <w:rPr>
      <w:sz w:val="21"/>
      <w:szCs w:val="21"/>
    </w:rPr>
  </w:style>
  <w:style w:type="character" w:customStyle="1" w:styleId="30">
    <w:name w:val="标题 1 Char"/>
    <w:link w:val="2"/>
    <w:autoRedefine/>
    <w:qFormat/>
    <w:uiPriority w:val="0"/>
    <w:rPr>
      <w:rFonts w:ascii="Times New Roman" w:hAnsi="Times New Roman" w:eastAsia="仿宋"/>
      <w:b/>
      <w:bCs/>
      <w:kern w:val="44"/>
      <w:sz w:val="44"/>
      <w:szCs w:val="44"/>
    </w:rPr>
  </w:style>
  <w:style w:type="character" w:customStyle="1" w:styleId="31">
    <w:name w:val="标题 2 Char"/>
    <w:link w:val="3"/>
    <w:autoRedefine/>
    <w:qFormat/>
    <w:uiPriority w:val="9"/>
    <w:rPr>
      <w:rFonts w:ascii="等线 Light" w:hAnsi="等线 Light" w:eastAsia="等线 Light" w:cs="Times New Roman"/>
      <w:b/>
      <w:bCs/>
      <w:kern w:val="2"/>
      <w:sz w:val="32"/>
      <w:szCs w:val="32"/>
    </w:rPr>
  </w:style>
  <w:style w:type="character" w:customStyle="1" w:styleId="32">
    <w:name w:val="标题 3 Char1"/>
    <w:link w:val="4"/>
    <w:autoRedefine/>
    <w:qFormat/>
    <w:uiPriority w:val="0"/>
    <w:rPr>
      <w:rFonts w:ascii="Times New Roman" w:hAnsi="Times New Roman" w:eastAsia="仿宋"/>
      <w:b/>
      <w:bCs/>
      <w:kern w:val="2"/>
      <w:sz w:val="32"/>
      <w:szCs w:val="32"/>
    </w:rPr>
  </w:style>
  <w:style w:type="character" w:customStyle="1" w:styleId="33">
    <w:name w:val="批注文字 Char"/>
    <w:link w:val="5"/>
    <w:autoRedefine/>
    <w:semiHidden/>
    <w:qFormat/>
    <w:uiPriority w:val="99"/>
    <w:rPr>
      <w:kern w:val="2"/>
      <w:sz w:val="21"/>
      <w:szCs w:val="22"/>
    </w:rPr>
  </w:style>
  <w:style w:type="character" w:customStyle="1" w:styleId="34">
    <w:name w:val="正文文本 Char1"/>
    <w:link w:val="6"/>
    <w:autoRedefine/>
    <w:qFormat/>
    <w:uiPriority w:val="0"/>
    <w:rPr>
      <w:rFonts w:ascii="Calibri" w:hAnsi="Calibri" w:eastAsia="宋体"/>
      <w:kern w:val="2"/>
      <w:sz w:val="21"/>
      <w:szCs w:val="24"/>
    </w:rPr>
  </w:style>
  <w:style w:type="character" w:customStyle="1" w:styleId="35">
    <w:name w:val="日期 Char"/>
    <w:link w:val="11"/>
    <w:autoRedefine/>
    <w:semiHidden/>
    <w:qFormat/>
    <w:uiPriority w:val="99"/>
    <w:rPr>
      <w:kern w:val="2"/>
      <w:sz w:val="21"/>
      <w:szCs w:val="22"/>
    </w:rPr>
  </w:style>
  <w:style w:type="character" w:customStyle="1" w:styleId="36">
    <w:name w:val="批注框文本 Char"/>
    <w:link w:val="12"/>
    <w:autoRedefine/>
    <w:qFormat/>
    <w:uiPriority w:val="0"/>
    <w:rPr>
      <w:kern w:val="2"/>
      <w:sz w:val="18"/>
      <w:szCs w:val="18"/>
    </w:rPr>
  </w:style>
  <w:style w:type="character" w:customStyle="1" w:styleId="37">
    <w:name w:val="页脚 Char"/>
    <w:link w:val="13"/>
    <w:autoRedefine/>
    <w:qFormat/>
    <w:uiPriority w:val="99"/>
    <w:rPr>
      <w:kern w:val="2"/>
      <w:sz w:val="18"/>
      <w:szCs w:val="18"/>
    </w:rPr>
  </w:style>
  <w:style w:type="character" w:customStyle="1" w:styleId="38">
    <w:name w:val="页眉 Char"/>
    <w:link w:val="14"/>
    <w:autoRedefine/>
    <w:qFormat/>
    <w:uiPriority w:val="99"/>
    <w:rPr>
      <w:kern w:val="2"/>
      <w:sz w:val="18"/>
      <w:szCs w:val="18"/>
    </w:rPr>
  </w:style>
  <w:style w:type="character" w:customStyle="1" w:styleId="39">
    <w:name w:val="信息标题 Char"/>
    <w:link w:val="18"/>
    <w:autoRedefine/>
    <w:qFormat/>
    <w:uiPriority w:val="0"/>
    <w:rPr>
      <w:rFonts w:ascii="Arial" w:hAnsi="Arial" w:eastAsia="仿宋" w:cs="宋体"/>
      <w:sz w:val="32"/>
      <w:szCs w:val="22"/>
      <w:lang w:val="zh-CN" w:bidi="zh-CN"/>
    </w:rPr>
  </w:style>
  <w:style w:type="character" w:customStyle="1" w:styleId="40">
    <w:name w:val="批注主题 Char"/>
    <w:link w:val="21"/>
    <w:autoRedefine/>
    <w:semiHidden/>
    <w:qFormat/>
    <w:uiPriority w:val="99"/>
    <w:rPr>
      <w:b/>
      <w:bCs/>
      <w:kern w:val="2"/>
      <w:sz w:val="21"/>
      <w:szCs w:val="22"/>
    </w:rPr>
  </w:style>
  <w:style w:type="paragraph" w:customStyle="1" w:styleId="41">
    <w:name w:val="样式 正文文本缩进 + 行距: 1.5 倍行距"/>
    <w:basedOn w:val="42"/>
    <w:next w:val="14"/>
    <w:autoRedefine/>
    <w:qFormat/>
    <w:uiPriority w:val="0"/>
    <w:pPr>
      <w:spacing w:after="120" w:line="360" w:lineRule="auto"/>
      <w:ind w:left="90" w:leftChars="32"/>
    </w:pPr>
    <w:rPr>
      <w:rFonts w:cs="宋体"/>
    </w:rPr>
  </w:style>
  <w:style w:type="paragraph" w:customStyle="1" w:styleId="42">
    <w:name w:val="正文文本缩进1"/>
    <w:basedOn w:val="1"/>
    <w:next w:val="41"/>
    <w:autoRedefine/>
    <w:qFormat/>
    <w:uiPriority w:val="0"/>
    <w:pPr>
      <w:spacing w:line="560" w:lineRule="exact"/>
      <w:ind w:firstLine="560" w:firstLineChars="200"/>
    </w:pPr>
    <w:rPr>
      <w:rFonts w:ascii="宋体" w:hAnsi="宋体"/>
      <w:sz w:val="28"/>
    </w:rPr>
  </w:style>
  <w:style w:type="character" w:customStyle="1" w:styleId="43">
    <w:name w:val="标题 3 Char"/>
    <w:autoRedefine/>
    <w:qFormat/>
    <w:uiPriority w:val="0"/>
    <w:rPr>
      <w:b/>
      <w:bCs/>
      <w:kern w:val="2"/>
      <w:sz w:val="32"/>
      <w:szCs w:val="32"/>
    </w:rPr>
  </w:style>
  <w:style w:type="paragraph" w:customStyle="1" w:styleId="44">
    <w:name w:val="标题4"/>
    <w:basedOn w:val="1"/>
    <w:link w:val="45"/>
    <w:autoRedefine/>
    <w:qFormat/>
    <w:uiPriority w:val="0"/>
    <w:pPr>
      <w:spacing w:line="360" w:lineRule="auto"/>
    </w:pPr>
    <w:rPr>
      <w:rFonts w:eastAsia="仿宋"/>
      <w:b/>
      <w:sz w:val="28"/>
    </w:rPr>
  </w:style>
  <w:style w:type="character" w:customStyle="1" w:styleId="45">
    <w:name w:val="标题4 字符"/>
    <w:link w:val="44"/>
    <w:autoRedefine/>
    <w:qFormat/>
    <w:uiPriority w:val="0"/>
    <w:rPr>
      <w:rFonts w:ascii="Times New Roman" w:hAnsi="Times New Roman" w:eastAsia="仿宋"/>
      <w:b/>
      <w:kern w:val="2"/>
      <w:sz w:val="28"/>
      <w:szCs w:val="22"/>
    </w:rPr>
  </w:style>
  <w:style w:type="character" w:customStyle="1" w:styleId="46">
    <w:name w:val="正文文本 Char"/>
    <w:autoRedefine/>
    <w:qFormat/>
    <w:uiPriority w:val="0"/>
    <w:rPr>
      <w:kern w:val="2"/>
      <w:sz w:val="21"/>
      <w:szCs w:val="22"/>
    </w:rPr>
  </w:style>
  <w:style w:type="paragraph" w:customStyle="1" w:styleId="47">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8">
    <w:name w:val="font6"/>
    <w:basedOn w:val="1"/>
    <w:autoRedefine/>
    <w:qFormat/>
    <w:uiPriority w:val="0"/>
    <w:pPr>
      <w:widowControl/>
      <w:spacing w:before="100" w:beforeAutospacing="1" w:after="100" w:afterAutospacing="1"/>
      <w:jc w:val="left"/>
    </w:pPr>
    <w:rPr>
      <w:b/>
      <w:bCs/>
      <w:color w:val="000000"/>
      <w:kern w:val="0"/>
      <w:sz w:val="18"/>
      <w:szCs w:val="18"/>
    </w:rPr>
  </w:style>
  <w:style w:type="paragraph" w:customStyle="1" w:styleId="49">
    <w:name w:val="font7"/>
    <w:basedOn w:val="1"/>
    <w:autoRedefine/>
    <w:qFormat/>
    <w:uiPriority w:val="0"/>
    <w:pPr>
      <w:widowControl/>
      <w:spacing w:before="100" w:beforeAutospacing="1" w:after="100" w:afterAutospacing="1"/>
      <w:jc w:val="left"/>
    </w:pPr>
    <w:rPr>
      <w:rFonts w:ascii="Courier New" w:hAnsi="Courier New" w:cs="Courier New"/>
      <w:b/>
      <w:bCs/>
      <w:color w:val="000000"/>
      <w:kern w:val="0"/>
      <w:sz w:val="18"/>
      <w:szCs w:val="18"/>
    </w:rPr>
  </w:style>
  <w:style w:type="paragraph" w:customStyle="1" w:styleId="50">
    <w:name w:val="font8"/>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1">
    <w:name w:val="font9"/>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2">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53">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54">
    <w:name w:val="xl6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 w:hAnsi="仿宋" w:eastAsia="仿宋" w:cs="宋体"/>
      <w:b/>
      <w:bCs/>
      <w:kern w:val="0"/>
      <w:sz w:val="24"/>
      <w:szCs w:val="24"/>
    </w:rPr>
  </w:style>
  <w:style w:type="paragraph" w:customStyle="1" w:styleId="55">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 w:hAnsi="仿宋" w:eastAsia="仿宋" w:cs="宋体"/>
      <w:b/>
      <w:bCs/>
      <w:kern w:val="0"/>
      <w:sz w:val="24"/>
      <w:szCs w:val="24"/>
    </w:rPr>
  </w:style>
  <w:style w:type="paragraph" w:customStyle="1" w:styleId="56">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color w:val="000000"/>
      <w:kern w:val="0"/>
      <w:szCs w:val="21"/>
    </w:rPr>
  </w:style>
  <w:style w:type="paragraph" w:customStyle="1" w:styleId="57">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宋体" w:hAnsi="宋体" w:cs="宋体"/>
      <w:color w:val="000000"/>
      <w:kern w:val="0"/>
      <w:szCs w:val="21"/>
    </w:rPr>
  </w:style>
  <w:style w:type="paragraph" w:customStyle="1" w:styleId="58">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 w:hAnsi="仿宋" w:eastAsia="仿宋" w:cs="宋体"/>
      <w:b/>
      <w:bCs/>
      <w:kern w:val="0"/>
      <w:sz w:val="24"/>
      <w:szCs w:val="24"/>
    </w:rPr>
  </w:style>
  <w:style w:type="paragraph" w:customStyle="1" w:styleId="59">
    <w:name w:val="xl70"/>
    <w:basedOn w:val="1"/>
    <w:autoRedefine/>
    <w:qFormat/>
    <w:uiPriority w:val="0"/>
    <w:pPr>
      <w:widowControl/>
      <w:shd w:val="clear" w:color="000000" w:fill="00B0F0"/>
      <w:spacing w:before="100" w:beforeAutospacing="1" w:after="100" w:afterAutospacing="1"/>
      <w:jc w:val="left"/>
    </w:pPr>
    <w:rPr>
      <w:rFonts w:ascii="宋体" w:hAnsi="宋体" w:cs="宋体"/>
      <w:kern w:val="0"/>
      <w:sz w:val="24"/>
      <w:szCs w:val="24"/>
    </w:rPr>
  </w:style>
  <w:style w:type="paragraph" w:customStyle="1" w:styleId="6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b/>
      <w:bCs/>
      <w:color w:val="000000"/>
      <w:kern w:val="0"/>
      <w:sz w:val="18"/>
      <w:szCs w:val="18"/>
    </w:rPr>
  </w:style>
  <w:style w:type="paragraph" w:customStyle="1" w:styleId="6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b/>
      <w:bCs/>
      <w:color w:val="000000"/>
      <w:kern w:val="0"/>
      <w:sz w:val="18"/>
      <w:szCs w:val="18"/>
    </w:rPr>
  </w:style>
  <w:style w:type="paragraph" w:customStyle="1" w:styleId="62">
    <w:name w:val="xl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黑体" w:hAnsi="黑体" w:eastAsia="黑体" w:cs="宋体"/>
      <w:color w:val="000000"/>
      <w:kern w:val="0"/>
      <w:sz w:val="24"/>
      <w:szCs w:val="24"/>
    </w:rPr>
  </w:style>
  <w:style w:type="paragraph" w:customStyle="1" w:styleId="6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4">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left"/>
    </w:pPr>
    <w:rPr>
      <w:rFonts w:ascii="宋体" w:hAnsi="宋体" w:cs="宋体"/>
      <w:kern w:val="0"/>
      <w:sz w:val="24"/>
      <w:szCs w:val="24"/>
    </w:rPr>
  </w:style>
  <w:style w:type="paragraph" w:customStyle="1" w:styleId="65">
    <w:name w:val="表名"/>
    <w:basedOn w:val="1"/>
    <w:link w:val="66"/>
    <w:autoRedefine/>
    <w:qFormat/>
    <w:uiPriority w:val="0"/>
    <w:pPr>
      <w:spacing w:line="360" w:lineRule="auto"/>
      <w:jc w:val="center"/>
    </w:pPr>
    <w:rPr>
      <w:rFonts w:eastAsia="仿宋"/>
      <w:b/>
      <w:sz w:val="24"/>
    </w:rPr>
  </w:style>
  <w:style w:type="character" w:customStyle="1" w:styleId="66">
    <w:name w:val="表名 字符"/>
    <w:link w:val="65"/>
    <w:autoRedefine/>
    <w:qFormat/>
    <w:uiPriority w:val="0"/>
    <w:rPr>
      <w:rFonts w:ascii="Times New Roman" w:hAnsi="Times New Roman" w:eastAsia="仿宋"/>
      <w:b/>
      <w:kern w:val="2"/>
      <w:sz w:val="24"/>
      <w:szCs w:val="22"/>
    </w:rPr>
  </w:style>
  <w:style w:type="paragraph" w:customStyle="1" w:styleId="67">
    <w:name w:val="表格内容"/>
    <w:basedOn w:val="1"/>
    <w:link w:val="68"/>
    <w:autoRedefine/>
    <w:qFormat/>
    <w:uiPriority w:val="0"/>
    <w:pPr>
      <w:widowControl/>
      <w:jc w:val="center"/>
    </w:pPr>
    <w:rPr>
      <w:rFonts w:eastAsia="仿宋"/>
      <w:color w:val="000000"/>
      <w:kern w:val="0"/>
      <w:sz w:val="24"/>
    </w:rPr>
  </w:style>
  <w:style w:type="character" w:customStyle="1" w:styleId="68">
    <w:name w:val="表格内容 字符"/>
    <w:link w:val="67"/>
    <w:autoRedefine/>
    <w:qFormat/>
    <w:uiPriority w:val="0"/>
    <w:rPr>
      <w:rFonts w:ascii="Times New Roman" w:hAnsi="Times New Roman" w:eastAsia="仿宋" w:cs="宋体"/>
      <w:color w:val="000000"/>
      <w:sz w:val="24"/>
      <w:szCs w:val="22"/>
    </w:rPr>
  </w:style>
  <w:style w:type="character" w:customStyle="1" w:styleId="69">
    <w:name w:val="fontstyle21"/>
    <w:autoRedefine/>
    <w:qFormat/>
    <w:uiPriority w:val="0"/>
    <w:rPr>
      <w:rFonts w:hint="eastAsia" w:ascii="仿宋_GB2312" w:eastAsia="仿宋_GB2312"/>
      <w:color w:val="000000"/>
      <w:sz w:val="32"/>
      <w:szCs w:val="32"/>
    </w:rPr>
  </w:style>
  <w:style w:type="character" w:customStyle="1" w:styleId="70">
    <w:name w:val="NormalCharacter"/>
    <w:autoRedefine/>
    <w:qFormat/>
    <w:uiPriority w:val="0"/>
    <w:rPr>
      <w:rFonts w:ascii="Calibri" w:hAnsi="Calibri" w:eastAsia="宋体" w:cs="Times New Roman"/>
    </w:rPr>
  </w:style>
  <w:style w:type="paragraph" w:customStyle="1" w:styleId="71">
    <w:name w:val="_Style 70"/>
    <w:basedOn w:val="2"/>
    <w:next w:val="1"/>
    <w:autoRedefine/>
    <w:qFormat/>
    <w:uiPriority w:val="0"/>
    <w:pPr>
      <w:widowControl/>
      <w:spacing w:beforeLines="0" w:afterLines="0" w:line="259" w:lineRule="auto"/>
      <w:jc w:val="left"/>
      <w:outlineLvl w:val="9"/>
    </w:pPr>
    <w:rPr>
      <w:rFonts w:ascii="等线 Light" w:hAnsi="等线 Light" w:eastAsia="等线 Light"/>
      <w:b w:val="0"/>
      <w:bCs w:val="0"/>
      <w:color w:val="2F5496"/>
      <w:kern w:val="0"/>
      <w:sz w:val="32"/>
      <w:szCs w:val="32"/>
    </w:rPr>
  </w:style>
  <w:style w:type="character" w:customStyle="1" w:styleId="72">
    <w:name w:val="表名 Char"/>
    <w:autoRedefine/>
    <w:qFormat/>
    <w:uiPriority w:val="0"/>
    <w:rPr>
      <w:rFonts w:ascii="黑体" w:hAnsi="Times New Roman" w:eastAsia="黑体" w:cs="Times New Roman"/>
      <w:sz w:val="24"/>
      <w:szCs w:val="20"/>
    </w:rPr>
  </w:style>
  <w:style w:type="paragraph" w:customStyle="1" w:styleId="73">
    <w:name w:val="a1"/>
    <w:basedOn w:val="1"/>
    <w:autoRedefine/>
    <w:qFormat/>
    <w:uiPriority w:val="0"/>
    <w:pPr>
      <w:widowControl/>
      <w:numPr>
        <w:ilvl w:val="0"/>
        <w:numId w:val="2"/>
      </w:numPr>
      <w:tabs>
        <w:tab w:val="clear" w:pos="1620"/>
      </w:tabs>
      <w:spacing w:before="100" w:beforeAutospacing="1" w:after="100" w:afterAutospacing="1" w:line="240" w:lineRule="atLeast"/>
      <w:ind w:left="0" w:firstLine="0"/>
      <w:jc w:val="left"/>
    </w:pPr>
    <w:rPr>
      <w:rFonts w:ascii="宋体" w:cs="宋体"/>
      <w:color w:val="000000"/>
      <w:kern w:val="0"/>
      <w:sz w:val="18"/>
      <w:szCs w:val="18"/>
    </w:rPr>
  </w:style>
  <w:style w:type="paragraph" w:styleId="74">
    <w:name w:val="List Paragraph"/>
    <w:basedOn w:val="1"/>
    <w:autoRedefine/>
    <w:qFormat/>
    <w:uiPriority w:val="34"/>
    <w:pPr>
      <w:ind w:firstLine="420" w:firstLineChars="200"/>
    </w:pPr>
  </w:style>
  <w:style w:type="paragraph" w:customStyle="1" w:styleId="75">
    <w:name w:val="0正文"/>
    <w:basedOn w:val="1"/>
    <w:autoRedefine/>
    <w:qFormat/>
    <w:uiPriority w:val="0"/>
    <w:pPr>
      <w:spacing w:line="360" w:lineRule="auto"/>
      <w:ind w:firstLine="200" w:firstLineChars="200"/>
    </w:pPr>
    <w:rPr>
      <w:sz w:val="24"/>
      <w:szCs w:val="24"/>
    </w:rPr>
  </w:style>
  <w:style w:type="paragraph" w:customStyle="1" w:styleId="76">
    <w:name w:val="标题3"/>
    <w:basedOn w:val="1"/>
    <w:autoRedefine/>
    <w:qFormat/>
    <w:uiPriority w:val="0"/>
    <w:pPr>
      <w:spacing w:beforeLines="50" w:afterLines="50"/>
    </w:pPr>
    <w:rPr>
      <w:b/>
      <w:sz w:val="30"/>
      <w:szCs w:val="4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Pages>
  <Words>18233</Words>
  <Characters>20254</Characters>
  <Lines>155</Lines>
  <Paragraphs>43</Paragraphs>
  <TotalTime>6</TotalTime>
  <ScaleCrop>false</ScaleCrop>
  <LinksUpToDate>false</LinksUpToDate>
  <CharactersWithSpaces>20362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2023-06-28T03:33:00Z</dcterms:created>
  <dc:creator>天 勤</dc:creator>
  <cp:lastModifiedBy>糖炒栗子 ້໌ᮨ</cp:lastModifiedBy>
  <cp:lastPrinted>2024-05-24T03:39:00Z</cp:lastPrinted>
  <dcterms:modified xsi:type="dcterms:W3CDTF">2024-06-05T02:15:51Z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9FCCC9504ECA423C90D212B74DC74EAA_13</vt:lpwstr>
  </property>
</Properties>
</file>