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济宁高新区黄屯街道2020年政府信息</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方正仿宋简体" w:cs="Times New Roman"/>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根据《国务院办公厅政府信息与政务公开办公室关于政府信息公开工作年度报告有关事项的通知》和上级有关要求，现公布黄屯街道</w:t>
      </w:r>
      <w:r>
        <w:rPr>
          <w:rFonts w:hint="default" w:ascii="Times New Roman" w:hAnsi="Times New Roman" w:eastAsia="方正仿宋简体" w:cs="Times New Roman"/>
          <w:sz w:val="32"/>
          <w:szCs w:val="32"/>
          <w:lang w:val="en-US" w:eastAsia="zh-CN"/>
        </w:rPr>
        <w:t>2020</w:t>
      </w:r>
      <w:r>
        <w:rPr>
          <w:rFonts w:hint="default" w:ascii="Times New Roman" w:hAnsi="Times New Roman" w:eastAsia="方正仿宋简体" w:cs="Times New Roman"/>
          <w:sz w:val="32"/>
          <w:szCs w:val="32"/>
        </w:rPr>
        <w:t>年政府信息公开工作年度报告。本报告由总体情况、主动公开政府信息情况、收到和处理政府信息公开申请情况、政府信息公开行政复议、行政诉讼情况、存在的主要问题及改进情况、其他需要报告的事项六部分组成，本年度报告中所列数据的统计期限自20</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年1月1日起至12月31日止。本报告全文在济宁高新区管委会门户网站“政务公开专栏”内的“信息公开年报”栏目中进行公布，欢迎查阅。如对本年度报告有任何疑问，请与高新区黄屯街道办事处联系（地址：黄王路3号；邮编：272004；电话：0537-</w:t>
      </w:r>
      <w:r>
        <w:rPr>
          <w:rFonts w:hint="default" w:ascii="Times New Roman" w:hAnsi="Times New Roman" w:eastAsia="方正仿宋简体" w:cs="Times New Roman"/>
          <w:sz w:val="32"/>
          <w:szCs w:val="32"/>
          <w:lang w:val="en-US" w:eastAsia="zh-CN"/>
        </w:rPr>
        <w:t>3518900</w:t>
      </w:r>
      <w:r>
        <w:rPr>
          <w:rFonts w:hint="default" w:ascii="Times New Roman" w:hAnsi="Times New Roman" w:eastAsia="方正仿宋简体" w:cs="Times New Roman"/>
          <w:sz w:val="32"/>
          <w:szCs w:val="32"/>
        </w:rPr>
        <w:t>；电子邮箱：</w:t>
      </w:r>
      <w:r>
        <w:rPr>
          <w:rFonts w:hint="default" w:ascii="Times New Roman" w:hAnsi="Times New Roman" w:eastAsia="方正仿宋简体" w:cs="Times New Roman"/>
          <w:sz w:val="32"/>
          <w:szCs w:val="32"/>
          <w:lang w:val="en-US" w:eastAsia="zh-CN"/>
        </w:rPr>
        <w:t>ht</w:t>
      </w:r>
      <w:r>
        <w:rPr>
          <w:rFonts w:hint="default" w:ascii="Times New Roman" w:hAnsi="Times New Roman" w:eastAsia="方正仿宋简体" w:cs="Times New Roman"/>
          <w:sz w:val="32"/>
          <w:szCs w:val="32"/>
        </w:rPr>
        <w:t>2011@163.com）。</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方正仿宋简体" w:cs="Times New Roman"/>
          <w:b/>
          <w:bCs/>
          <w:kern w:val="0"/>
          <w:sz w:val="32"/>
          <w:szCs w:val="32"/>
          <w:lang w:val="en-US" w:eastAsia="zh-CN" w:bidi="ar"/>
        </w:rPr>
      </w:pPr>
      <w:r>
        <w:rPr>
          <w:rFonts w:hint="default" w:ascii="Times New Roman" w:hAnsi="Times New Roman" w:eastAsia="方正仿宋简体" w:cs="Times New Roman"/>
          <w:b/>
          <w:bCs/>
          <w:kern w:val="0"/>
          <w:sz w:val="32"/>
          <w:szCs w:val="32"/>
          <w:lang w:val="en-US" w:eastAsia="zh-CN" w:bidi="ar"/>
        </w:rPr>
        <w:t xml:space="preserve">一、 总体情况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2020</w:t>
      </w:r>
      <w:r>
        <w:rPr>
          <w:rFonts w:hint="default" w:ascii="Times New Roman" w:hAnsi="Times New Roman" w:eastAsia="方正仿宋简体" w:cs="Times New Roman"/>
          <w:sz w:val="32"/>
          <w:szCs w:val="32"/>
        </w:rPr>
        <w:t>年，黄屯街道在高新区党工委、管委会的正确领导下，街道政府信息公开工作，按照省市政府信息公开工作的统一部署，不断强化政府信息公开工作力度，着力打造阳光政府、服务政府。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一是主动公开信息及公开平台建设情况。2020 年，济宁高新区黄屯街道主动发布各类信息 44 条，现场受理相关政务公开方面信息15 余条。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二是依申请公开政府信息情况。规范依申请公开办理工作，完善信息处理流程，及时办理依申请公开件，保障了公民、法人和其他组织依法获取政府信息的权利，充分发挥政府信息的作用，畅通了诉求渠道，提升了信息公开服务水平。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三是主动做好政民互动工作。2020年，济宁高新区共受理 12345政务服务热线转办事项 881 件（次），承接省级政务服务热线转办 64 件（次），网络问政转办事项104 件（次），网民留言 19 条，办结率 100%，截至 12 月 31 日，应办结 1068 件，实际办结 1068 件。全区平均办结率为100%，平均办理结果满意率为 98.2%。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pPr>
      <w:r>
        <w:rPr>
          <w:rFonts w:hint="eastAsia" w:ascii="Times New Roman" w:hAnsi="Times New Roman" w:eastAsia="方正仿宋简体" w:cs="Times New Roman"/>
          <w:sz w:val="32"/>
          <w:szCs w:val="32"/>
          <w:lang w:val="en-US" w:eastAsia="zh-CN"/>
        </w:rPr>
        <w:t>四是政府信息公开保密审查及监督检查情况。高度重视政府信息公开保密审查工作，确保信息公开的同时做好相关保密审查工作。具体工作中，严格遵守谁公开、谁审查，谁审查、谁负责及先审查、后公开的原则，认真处理好保密与公开的关系，严格落实政府信息收集、整理、编辑、审核、发布、更新等方面规定，确保做到涉密信息不公开、公开信息不涉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Times New Roman" w:hAnsi="Times New Roman" w:eastAsia="方正仿宋简体" w:cs="Times New Roman"/>
          <w:b/>
          <w:bCs/>
          <w:kern w:val="0"/>
          <w:sz w:val="32"/>
          <w:szCs w:val="32"/>
          <w:lang w:val="en-US" w:eastAsia="zh-CN" w:bidi="ar"/>
        </w:rPr>
      </w:pPr>
      <w:r>
        <w:rPr>
          <w:rFonts w:hint="eastAsia" w:ascii="Times New Roman" w:hAnsi="Times New Roman" w:eastAsia="方正仿宋简体" w:cs="Times New Roman"/>
          <w:b/>
          <w:bCs/>
          <w:kern w:val="0"/>
          <w:sz w:val="32"/>
          <w:szCs w:val="32"/>
          <w:lang w:val="en-US" w:eastAsia="zh-CN" w:bidi="ar"/>
        </w:rPr>
        <w:t>二、主动公开政府信息情况</w:t>
      </w:r>
    </w:p>
    <w:tbl>
      <w:tblPr>
        <w:tblStyle w:val="3"/>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lang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本年新</w:t>
            </w:r>
            <w:r>
              <w:rPr>
                <w:rFonts w:hint="eastAsia" w:ascii="宋体" w:hAnsi="宋体" w:cs="宋体"/>
                <w:kern w:val="0"/>
                <w:sz w:val="20"/>
                <w:szCs w:val="20"/>
                <w:lang w:bidi="ar"/>
              </w:rPr>
              <w:br w:type="textWrapping"/>
            </w:r>
            <w:r>
              <w:rPr>
                <w:kern w:val="0"/>
                <w:sz w:val="20"/>
                <w:szCs w:val="20"/>
                <w:lang w:bidi="ar"/>
              </w:rPr>
              <w:t>制作数量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本年新</w:t>
            </w:r>
            <w:r>
              <w:rPr>
                <w:rFonts w:hint="eastAsia" w:ascii="宋体" w:hAnsi="宋体" w:cs="宋体"/>
                <w:kern w:val="0"/>
                <w:sz w:val="20"/>
                <w:szCs w:val="20"/>
                <w:lang w:bidi="ar"/>
              </w:rPr>
              <w:br w:type="textWrapping"/>
            </w:r>
            <w:r>
              <w:rPr>
                <w:kern w:val="0"/>
                <w:sz w:val="20"/>
                <w:szCs w:val="20"/>
                <w:lang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lang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11</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162</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173</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lang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4</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58</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62</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2</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2</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lang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widowControl/>
              <w:spacing w:after="180"/>
              <w:jc w:val="center"/>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lang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pPr>
            <w:r>
              <w:rPr>
                <w:rFonts w:hint="eastAsia" w:ascii="宋体" w:hAnsi="宋体" w:cs="宋体"/>
                <w:kern w:val="0"/>
                <w:sz w:val="20"/>
                <w:szCs w:val="20"/>
                <w:lang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lang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2</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jc w:val="center"/>
              <w:rPr>
                <w:rFonts w:hint="default" w:ascii="宋体" w:eastAsia="宋体"/>
                <w:sz w:val="24"/>
                <w:lang w:val="en-US" w:eastAsia="zh-CN"/>
              </w:rPr>
            </w:pPr>
            <w:r>
              <w:rPr>
                <w:rFonts w:hint="eastAsia" w:ascii="宋体"/>
                <w:sz w:val="24"/>
                <w:lang w:val="en-US" w:eastAsia="zh-CN"/>
              </w:rPr>
              <w:t>553万元</w:t>
            </w:r>
          </w:p>
        </w:tc>
      </w:tr>
    </w:tbl>
    <w:p>
      <w:pPr>
        <w:pStyle w:val="2"/>
        <w:widowControl/>
        <w:shd w:val="clear" w:color="auto" w:fill="FFFFFF"/>
        <w:spacing w:before="0" w:beforeAutospacing="0" w:after="0" w:afterAutospacing="0"/>
        <w:ind w:firstLine="420"/>
        <w:jc w:val="both"/>
        <w:rPr>
          <w:rFonts w:hint="eastAsia" w:ascii="宋体" w:hAnsi="宋体" w:cs="宋体"/>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Times New Roman" w:hAnsi="Times New Roman" w:eastAsia="方正仿宋简体" w:cs="Times New Roman"/>
          <w:b/>
          <w:bCs/>
          <w:kern w:val="0"/>
          <w:sz w:val="32"/>
          <w:szCs w:val="32"/>
          <w:lang w:val="en-US" w:eastAsia="zh-CN" w:bidi="ar"/>
        </w:rPr>
      </w:pPr>
      <w:r>
        <w:rPr>
          <w:rFonts w:hint="eastAsia" w:ascii="Times New Roman" w:hAnsi="Times New Roman" w:eastAsia="方正仿宋简体" w:cs="Times New Roman"/>
          <w:b/>
          <w:bCs/>
          <w:kern w:val="0"/>
          <w:sz w:val="32"/>
          <w:szCs w:val="32"/>
          <w:lang w:val="en-US" w:eastAsia="zh-CN" w:bidi="ar"/>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25"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自然人</w:t>
            </w:r>
          </w:p>
        </w:tc>
        <w:tc>
          <w:tcPr>
            <w:tcW w:w="406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法人或其他组织</w:t>
            </w:r>
          </w:p>
        </w:tc>
        <w:tc>
          <w:tcPr>
            <w:tcW w:w="70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2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商业企业</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科研机构</w:t>
            </w:r>
          </w:p>
        </w:tc>
        <w:tc>
          <w:tcPr>
            <w:tcW w:w="82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社会公益组织</w:t>
            </w:r>
          </w:p>
        </w:tc>
        <w:tc>
          <w:tcPr>
            <w:tcW w:w="99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法律服务机构</w:t>
            </w:r>
          </w:p>
        </w:tc>
        <w:tc>
          <w:tcPr>
            <w:tcW w:w="72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其他</w:t>
            </w:r>
          </w:p>
        </w:tc>
        <w:tc>
          <w:tcPr>
            <w:tcW w:w="70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宋体" w:hAnsi="宋体" w:cs="宋体"/>
                <w:kern w:val="0"/>
                <w:sz w:val="20"/>
                <w:szCs w:val="20"/>
                <w:lang w:bidi="ar"/>
              </w:rPr>
              <w:t>一、本年新收政府信息公开申请数量</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宋体" w:hAnsi="宋体" w:cs="宋体"/>
                <w:kern w:val="0"/>
                <w:sz w:val="20"/>
                <w:szCs w:val="20"/>
                <w:lang w:bidi="ar"/>
              </w:rPr>
              <w:t>二、上年结转政府信息公开申请数量</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三、本年度办理结果</w:t>
            </w: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ascii="楷体" w:hAnsi="楷体" w:eastAsia="楷体" w:cs="楷体"/>
                <w:kern w:val="0"/>
                <w:sz w:val="20"/>
                <w:szCs w:val="20"/>
                <w:lang w:bidi="ar"/>
              </w:rPr>
              <w:t>（一）予以公开</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（二）部分公开（区分处理的，只计这一情形，不计其他情形）</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（三）不予公开</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1.属于国家秘密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2.其他法律行政法规禁止公开</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3.危及“三安全一稳定”</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4.保护第三方合法权益</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5.属于三类内部事务信息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6.属于四类过程性信息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7.属于行政执法案卷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8.属于行政查询事项</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（四）无法提供</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1.本机关不掌握相关政府信息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2.没有现成信息需要另行制作</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3.补正后申请内容仍不明确</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（五）不予处理</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1.信访举报投诉类申请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2.重复申请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3.要求提供公开出版物</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4.无正当理由大量反复申请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5.要求行政机关确认或重新出具已获取信息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（六）其他处理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（七）总计</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宋体" w:hAnsi="宋体" w:cs="宋体"/>
                <w:kern w:val="0"/>
                <w:sz w:val="20"/>
                <w:szCs w:val="20"/>
                <w:lang w:bidi="ar"/>
              </w:rPr>
              <w:t>四、结转下年度继续办理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cs="Calibri"/>
                <w:kern w:val="0"/>
                <w:sz w:val="20"/>
                <w:szCs w:val="20"/>
                <w:lang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eastAsia="宋体"/>
                <w:sz w:val="24"/>
                <w:lang w:val="en-US" w:eastAsia="zh-CN"/>
              </w:rPr>
            </w:pPr>
            <w:r>
              <w:rPr>
                <w:rFonts w:hint="eastAsia" w:ascii="宋体"/>
                <w:sz w:val="24"/>
                <w:lang w:val="en-US" w:eastAsia="zh-CN"/>
              </w:rPr>
              <w:t>0</w:t>
            </w:r>
          </w:p>
        </w:tc>
      </w:tr>
    </w:tbl>
    <w:p>
      <w:pPr>
        <w:pStyle w:val="2"/>
        <w:widowControl/>
        <w:shd w:val="clear" w:color="auto" w:fill="FFFFFF"/>
        <w:spacing w:before="0" w:beforeAutospacing="0" w:after="0" w:afterAutospacing="0"/>
        <w:ind w:firstLine="420"/>
        <w:jc w:val="both"/>
        <w:rPr>
          <w:rFonts w:hint="eastAsia" w:ascii="宋体" w:hAnsi="宋体" w:cs="宋体"/>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Times New Roman" w:hAnsi="Times New Roman" w:eastAsia="方正仿宋简体" w:cs="Times New Roman"/>
          <w:b/>
          <w:bCs/>
          <w:kern w:val="0"/>
          <w:sz w:val="32"/>
          <w:szCs w:val="32"/>
          <w:lang w:val="en-US" w:eastAsia="zh-CN" w:bidi="ar"/>
        </w:rPr>
      </w:pPr>
      <w:r>
        <w:rPr>
          <w:rFonts w:hint="eastAsia" w:ascii="Times New Roman" w:hAnsi="Times New Roman" w:eastAsia="方正仿宋简体" w:cs="Times New Roman"/>
          <w:b/>
          <w:bCs/>
          <w:kern w:val="0"/>
          <w:sz w:val="32"/>
          <w:szCs w:val="32"/>
          <w:lang w:val="en-US" w:eastAsia="zh-CN" w:bidi="ar"/>
        </w:rPr>
        <w:t>四、政府信息公开行政复议、行政诉讼情况</w:t>
      </w:r>
    </w:p>
    <w:p>
      <w:pPr>
        <w:pStyle w:val="2"/>
        <w:widowControl/>
        <w:shd w:val="clear" w:color="auto" w:fill="FFFFFF"/>
        <w:spacing w:before="0" w:beforeAutospacing="0" w:after="0" w:afterAutospacing="0"/>
        <w:ind w:firstLine="420"/>
        <w:jc w:val="both"/>
        <w:rPr>
          <w:rFonts w:hint="eastAsia" w:ascii="宋体" w:hAnsi="宋体" w:cs="宋体"/>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cs="Calibri"/>
                <w:kern w:val="0"/>
                <w:sz w:val="20"/>
                <w:szCs w:val="20"/>
                <w:lang w:val="en-US" w:eastAsia="zh-CN" w:bidi="ar"/>
              </w:rPr>
              <w:t>0</w:t>
            </w:r>
            <w:r>
              <w:rPr>
                <w:rFonts w:cs="Calibri"/>
                <w:kern w:val="0"/>
                <w:sz w:val="20"/>
                <w:szCs w:val="20"/>
                <w:lang w:bidi="ar"/>
              </w:rPr>
              <w:t> </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val="en-US" w:eastAsia="zh-CN" w:bidi="ar"/>
              </w:rPr>
              <w:t>0</w:t>
            </w:r>
            <w:r>
              <w:rPr>
                <w:rFonts w:hint="eastAsia" w:ascii="宋体" w:hAnsi="宋体" w:cs="宋体"/>
                <w:kern w:val="0"/>
                <w:sz w:val="20"/>
                <w:szCs w:val="20"/>
                <w:lang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val="en-US" w:eastAsia="zh-CN" w:bidi="ar"/>
              </w:rPr>
              <w:t>0</w:t>
            </w:r>
            <w:r>
              <w:rPr>
                <w:rFonts w:hint="eastAsia" w:ascii="宋体" w:hAnsi="宋体" w:cs="宋体"/>
                <w:kern w:val="0"/>
                <w:sz w:val="20"/>
                <w:szCs w:val="20"/>
                <w:lang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val="en-US" w:eastAsia="zh-CN" w:bidi="ar"/>
              </w:rPr>
              <w:t>0</w:t>
            </w:r>
            <w:r>
              <w:rPr>
                <w:rFonts w:hint="eastAsia" w:ascii="宋体" w:hAnsi="宋体" w:cs="宋体"/>
                <w:kern w:val="0"/>
                <w:sz w:val="20"/>
                <w:szCs w:val="20"/>
                <w:lang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lang w:val="en-US" w:eastAsia="zh-CN"/>
              </w:rPr>
            </w:pPr>
            <w:r>
              <w:rPr>
                <w:rFonts w:hint="eastAsia" w:ascii="宋体" w:hAnsi="宋体" w:cs="宋体"/>
                <w:kern w:val="0"/>
                <w:sz w:val="20"/>
                <w:szCs w:val="20"/>
                <w:lang w:bidi="ar"/>
              </w:rPr>
              <w:t> </w:t>
            </w:r>
            <w:r>
              <w:rPr>
                <w:rFonts w:hint="eastAsia" w:ascii="宋体" w:hAnsi="宋体" w:cs="宋体"/>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cs="宋体"/>
                <w:kern w:val="0"/>
                <w:sz w:val="20"/>
                <w:szCs w:val="20"/>
                <w:lang w:val="en-US" w:eastAsia="zh-CN" w:bidi="ar"/>
              </w:rPr>
              <w:t>0</w:t>
            </w:r>
            <w:r>
              <w:rPr>
                <w:rFonts w:hint="eastAsia" w:ascii="宋体" w:hAnsi="宋体" w:cs="宋体"/>
                <w:kern w:val="0"/>
                <w:sz w:val="20"/>
                <w:szCs w:val="20"/>
                <w:lang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eastAsia="宋体"/>
                <w:sz w:val="24"/>
                <w:lang w:val="en-US" w:eastAsia="zh-CN"/>
              </w:rPr>
            </w:pPr>
            <w:r>
              <w:rPr>
                <w:rFonts w:hint="eastAsia" w:ascii="宋体"/>
                <w:sz w:val="24"/>
                <w:lang w:val="en-US" w:eastAsia="zh-CN"/>
              </w:rPr>
              <w:t>0</w:t>
            </w:r>
          </w:p>
        </w:tc>
      </w:tr>
    </w:tbl>
    <w:p>
      <w:pPr>
        <w:widowControl/>
        <w:shd w:val="clear" w:color="auto" w:fill="FFFFFF"/>
        <w:jc w:val="center"/>
        <w:rPr>
          <w:rFonts w:hint="eastAsia" w:ascii="宋体" w:hAnsi="宋体" w:cs="宋体"/>
          <w:sz w:val="24"/>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Times New Roman" w:hAnsi="Times New Roman" w:eastAsia="方正仿宋简体" w:cs="Times New Roman"/>
          <w:b/>
          <w:bCs/>
          <w:kern w:val="0"/>
          <w:sz w:val="32"/>
          <w:szCs w:val="32"/>
          <w:lang w:val="en-US" w:eastAsia="zh-CN" w:bidi="ar"/>
        </w:rPr>
      </w:pPr>
      <w:r>
        <w:rPr>
          <w:rFonts w:hint="eastAsia" w:ascii="Times New Roman" w:hAnsi="Times New Roman" w:eastAsia="方正仿宋简体" w:cs="Times New Roman"/>
          <w:b/>
          <w:bCs/>
          <w:kern w:val="0"/>
          <w:sz w:val="32"/>
          <w:szCs w:val="32"/>
          <w:lang w:val="en-US" w:eastAsia="zh-CN" w:bidi="ar"/>
        </w:rPr>
        <w:t>五、存在的主要问题及改进情况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存在问题</w:t>
      </w:r>
    </w:p>
    <w:p>
      <w:pPr>
        <w:pStyle w:val="2"/>
        <w:keepNext w:val="0"/>
        <w:keepLines w:val="0"/>
        <w:widowControl/>
        <w:suppressLineNumbers w:val="0"/>
        <w:spacing w:before="0" w:beforeAutospacing="0" w:after="0" w:afterAutospacing="0" w:line="420" w:lineRule="atLeast"/>
        <w:ind w:right="0"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kern w:val="0"/>
          <w:sz w:val="32"/>
          <w:szCs w:val="32"/>
          <w:lang w:val="en-US" w:eastAsia="zh-CN" w:bidi="ar"/>
        </w:rPr>
        <w:t>主动公开的广度、深度以及依申请公开的办理能力、服务水平仍需进一步提高。</w:t>
      </w:r>
    </w:p>
    <w:p>
      <w:pPr>
        <w:pStyle w:val="2"/>
        <w:keepNext w:val="0"/>
        <w:keepLines w:val="0"/>
        <w:widowControl/>
        <w:suppressLineNumbers w:val="0"/>
        <w:spacing w:before="0" w:beforeAutospacing="0" w:after="0" w:afterAutospacing="0" w:line="420" w:lineRule="atLeast"/>
        <w:ind w:right="0" w:firstLine="640" w:firstLineChars="200"/>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i w:val="0"/>
          <w:caps w:val="0"/>
          <w:color w:val="444444"/>
          <w:spacing w:val="0"/>
          <w:sz w:val="32"/>
          <w:szCs w:val="32"/>
          <w:shd w:val="clear" w:fill="FFFFFF"/>
        </w:rPr>
        <w:t>培训及业务交流</w:t>
      </w:r>
      <w:r>
        <w:rPr>
          <w:rFonts w:hint="default" w:ascii="Times New Roman" w:hAnsi="Times New Roman" w:eastAsia="方正仿宋简体" w:cs="Times New Roman"/>
          <w:i w:val="0"/>
          <w:caps w:val="0"/>
          <w:color w:val="444444"/>
          <w:spacing w:val="0"/>
          <w:sz w:val="32"/>
          <w:szCs w:val="32"/>
          <w:shd w:val="clear" w:fill="FFFFFF"/>
          <w:lang w:val="en-US" w:eastAsia="zh-CN"/>
        </w:rPr>
        <w:t>力度不够。</w:t>
      </w:r>
    </w:p>
    <w:p>
      <w:pPr>
        <w:pStyle w:val="2"/>
        <w:keepNext w:val="0"/>
        <w:keepLines w:val="0"/>
        <w:widowControl/>
        <w:suppressLineNumbers w:val="0"/>
        <w:spacing w:before="0" w:beforeAutospacing="0" w:after="0" w:afterAutospacing="0" w:line="420" w:lineRule="atLeast"/>
        <w:ind w:left="0" w:right="0" w:firstLine="420"/>
        <w:jc w:val="both"/>
        <w:rPr>
          <w:rFonts w:hint="default" w:ascii="Times New Roman" w:hAnsi="Times New Roman" w:eastAsia="方正仿宋简体" w:cs="Times New Roman"/>
          <w:i w:val="0"/>
          <w:caps w:val="0"/>
          <w:color w:val="444444"/>
          <w:spacing w:val="0"/>
          <w:sz w:val="32"/>
          <w:szCs w:val="32"/>
          <w:shd w:val="clear" w:fill="FFFFFF"/>
          <w:lang w:val="en-US" w:eastAsia="zh-CN"/>
        </w:rPr>
      </w:pPr>
      <w:r>
        <w:rPr>
          <w:rFonts w:hint="eastAsia" w:ascii="Times New Roman" w:hAnsi="Times New Roman" w:eastAsia="方正仿宋简体" w:cs="Times New Roman"/>
          <w:i w:val="0"/>
          <w:caps w:val="0"/>
          <w:color w:val="444444"/>
          <w:spacing w:val="0"/>
          <w:sz w:val="32"/>
          <w:szCs w:val="32"/>
          <w:shd w:val="clear" w:fill="FFFFFF"/>
          <w:lang w:val="en-US" w:eastAsia="zh-CN"/>
        </w:rPr>
        <w:t>（二）推进措施</w:t>
      </w:r>
    </w:p>
    <w:p>
      <w:pPr>
        <w:pStyle w:val="2"/>
        <w:keepNext w:val="0"/>
        <w:keepLines w:val="0"/>
        <w:widowControl/>
        <w:suppressLineNumbers w:val="0"/>
        <w:spacing w:before="0" w:beforeAutospacing="0" w:after="0" w:afterAutospacing="0" w:line="420" w:lineRule="atLeast"/>
        <w:ind w:right="0" w:firstLine="640" w:firstLineChars="200"/>
        <w:jc w:val="both"/>
        <w:rPr>
          <w:rFonts w:hint="default" w:ascii="Times New Roman" w:hAnsi="Times New Roman" w:eastAsia="方正仿宋简体" w:cs="Times New Roman"/>
          <w:i w:val="0"/>
          <w:caps w:val="0"/>
          <w:color w:val="444444"/>
          <w:spacing w:val="0"/>
          <w:sz w:val="32"/>
          <w:szCs w:val="32"/>
          <w:shd w:val="clear" w:fill="FFFFFF"/>
          <w:lang w:eastAsia="zh-CN"/>
        </w:rPr>
      </w:pPr>
      <w:r>
        <w:rPr>
          <w:rFonts w:hint="default" w:ascii="Times New Roman" w:hAnsi="Times New Roman" w:eastAsia="方正仿宋简体" w:cs="Times New Roman"/>
          <w:i w:val="0"/>
          <w:caps w:val="0"/>
          <w:color w:val="444444"/>
          <w:spacing w:val="0"/>
          <w:sz w:val="32"/>
          <w:szCs w:val="32"/>
          <w:shd w:val="clear" w:fill="FFFFFF"/>
          <w:lang w:eastAsia="zh-CN"/>
        </w:rPr>
        <w:t>一是加强培训及业务交流。针对日常监测和考核中发现的薄弱环节，加大业务培训力度，定期对我街道政务公开工作人员轮训一遍，同时定期开展工作督查，强化工作落实。</w:t>
      </w:r>
    </w:p>
    <w:p>
      <w:pPr>
        <w:pStyle w:val="2"/>
        <w:keepNext w:val="0"/>
        <w:keepLines w:val="0"/>
        <w:widowControl/>
        <w:suppressLineNumbers w:val="0"/>
        <w:spacing w:before="0" w:beforeAutospacing="0" w:after="0" w:afterAutospacing="0" w:line="420" w:lineRule="atLeast"/>
        <w:ind w:right="0" w:firstLine="640" w:firstLineChars="200"/>
        <w:jc w:val="both"/>
        <w:rPr>
          <w:rFonts w:hint="default" w:ascii="Times New Roman" w:hAnsi="Times New Roman" w:eastAsia="方正仿宋简体" w:cs="Times New Roman"/>
          <w:i w:val="0"/>
          <w:caps w:val="0"/>
          <w:color w:val="444444"/>
          <w:spacing w:val="0"/>
          <w:sz w:val="32"/>
          <w:szCs w:val="32"/>
          <w:shd w:val="clear" w:fill="FFFFFF"/>
          <w:lang w:eastAsia="zh-CN"/>
        </w:rPr>
      </w:pPr>
      <w:r>
        <w:rPr>
          <w:rFonts w:hint="default" w:ascii="Times New Roman" w:hAnsi="Times New Roman" w:eastAsia="方正仿宋简体" w:cs="Times New Roman"/>
          <w:i w:val="0"/>
          <w:caps w:val="0"/>
          <w:color w:val="444444"/>
          <w:spacing w:val="0"/>
          <w:sz w:val="32"/>
          <w:szCs w:val="32"/>
          <w:shd w:val="clear" w:fill="FFFFFF"/>
          <w:lang w:eastAsia="zh-CN"/>
        </w:rPr>
        <w:t>二是强化督查考核。把日常考核、季度测评、年度考评等有机结合起来，进一步强化我街道政务信息公开工作。</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Times New Roman" w:hAnsi="Times New Roman" w:eastAsia="方正仿宋简体" w:cs="Times New Roman"/>
          <w:b/>
          <w:bCs/>
          <w:kern w:val="0"/>
          <w:sz w:val="32"/>
          <w:szCs w:val="32"/>
          <w:lang w:val="en-US" w:eastAsia="zh-CN" w:bidi="ar"/>
        </w:rPr>
      </w:pPr>
      <w:r>
        <w:rPr>
          <w:rFonts w:hint="eastAsia" w:ascii="Times New Roman" w:hAnsi="Times New Roman" w:eastAsia="方正仿宋简体" w:cs="Times New Roman"/>
          <w:b/>
          <w:bCs/>
          <w:kern w:val="0"/>
          <w:sz w:val="32"/>
          <w:szCs w:val="32"/>
          <w:lang w:val="en-US" w:eastAsia="zh-CN" w:bidi="ar"/>
        </w:rPr>
        <w:t>六、其他需要报告的事项</w:t>
      </w:r>
    </w:p>
    <w:p>
      <w:pPr>
        <w:pStyle w:val="2"/>
        <w:keepNext w:val="0"/>
        <w:keepLines w:val="0"/>
        <w:widowControl/>
        <w:suppressLineNumbers w:val="0"/>
        <w:spacing w:before="0" w:beforeAutospacing="0" w:after="0" w:afterAutospacing="0" w:line="420" w:lineRule="atLeast"/>
        <w:ind w:right="0" w:firstLine="640" w:firstLineChars="200"/>
        <w:jc w:val="both"/>
        <w:rPr>
          <w:rFonts w:hint="default" w:ascii="Times New Roman" w:hAnsi="Times New Roman" w:eastAsia="方正仿宋简体" w:cs="Times New Roman"/>
          <w:i w:val="0"/>
          <w:caps w:val="0"/>
          <w:color w:val="444444"/>
          <w:spacing w:val="0"/>
          <w:sz w:val="32"/>
          <w:szCs w:val="32"/>
          <w:shd w:val="clear" w:fill="FFFFFF"/>
          <w:lang w:eastAsia="zh-CN"/>
        </w:rPr>
      </w:pPr>
      <w:r>
        <w:rPr>
          <w:rFonts w:hint="default" w:ascii="Times New Roman" w:hAnsi="Times New Roman" w:eastAsia="方正仿宋简体" w:cs="Times New Roman"/>
          <w:i w:val="0"/>
          <w:caps w:val="0"/>
          <w:color w:val="444444"/>
          <w:spacing w:val="0"/>
          <w:sz w:val="32"/>
          <w:szCs w:val="32"/>
          <w:shd w:val="clear" w:fill="FFFFFF"/>
          <w:lang w:eastAsia="zh-CN"/>
        </w:rPr>
        <w:t>无其他需要报告的事项</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00896"/>
    <w:rsid w:val="10684BE5"/>
    <w:rsid w:val="11110C98"/>
    <w:rsid w:val="13587F35"/>
    <w:rsid w:val="1AA47312"/>
    <w:rsid w:val="1B1A5020"/>
    <w:rsid w:val="1E291DED"/>
    <w:rsid w:val="290B2992"/>
    <w:rsid w:val="34122262"/>
    <w:rsid w:val="3CF85C24"/>
    <w:rsid w:val="43EA36CA"/>
    <w:rsid w:val="43EE43A0"/>
    <w:rsid w:val="59082AA3"/>
    <w:rsid w:val="5F011AC9"/>
    <w:rsid w:val="5F062A45"/>
    <w:rsid w:val="6B0E72EE"/>
    <w:rsid w:val="6E205E67"/>
    <w:rsid w:val="6F9A5699"/>
    <w:rsid w:val="71A1667A"/>
    <w:rsid w:val="7F600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2021-01-18T00:57:00Z</dcterms:created>
  <dc:creator>111</dc:creator>
  <cp:lastModifiedBy>……</cp:lastModifiedBy>
  <dcterms:modified xsi:type="dcterms:W3CDTF">2021-01-26T02:02:07Z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494631231_btnclosed</vt:lpwstr>
  </property>
</Properties>
</file>