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w:t>
      </w:r>
      <w:r>
        <w:rPr>
          <w:rFonts w:hint="eastAsia" w:ascii="方正小标宋简体" w:eastAsia="方正小标宋简体"/>
          <w:b/>
          <w:color w:val="000000"/>
          <w:sz w:val="44"/>
          <w:szCs w:val="44"/>
        </w:rPr>
        <w:t>高新区财政金融局2022年</w:t>
      </w:r>
    </w:p>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政府信息公开工作年度报告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themeColor="text1"/>
          <w:sz w:val="32"/>
          <w:szCs w:val="32"/>
          <w14:textFill>
            <w14:solidFill>
              <w14:schemeClr w14:val="tx1"/>
            </w14:solidFill>
          </w14:textFill>
        </w:rPr>
        <w:t>高新区财政金融局</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本报告所列数据的统计期限自2022年1月1日起至2022年12月31日止。本报告电子版可在“济宁国家高新技术产业开发区”管委会门户网站（www.jnhn.gov.cn）查阅或下载。如对本报告有疑问，请与</w:t>
      </w:r>
      <w:r>
        <w:rPr>
          <w:rFonts w:hint="eastAsia" w:ascii="方正仿宋简体" w:eastAsia="方正仿宋简体"/>
          <w:b/>
          <w:color w:val="000000" w:themeColor="text1"/>
          <w:sz w:val="32"/>
          <w:szCs w:val="32"/>
          <w14:textFill>
            <w14:solidFill>
              <w14:schemeClr w14:val="tx1"/>
            </w14:solidFill>
          </w14:textFill>
        </w:rPr>
        <w:t>高新区财政金融局</w:t>
      </w:r>
      <w:r>
        <w:rPr>
          <w:rFonts w:hint="eastAsia" w:ascii="方正仿宋简体" w:eastAsia="方正仿宋简体"/>
          <w:b/>
          <w:color w:val="000000"/>
          <w:sz w:val="32"/>
          <w:szCs w:val="32"/>
        </w:rPr>
        <w:t>联系（地址：</w:t>
      </w:r>
      <w:r>
        <w:rPr>
          <w:rFonts w:hint="eastAsia" w:ascii="方正仿宋简体" w:eastAsia="方正仿宋简体"/>
          <w:b/>
          <w:color w:val="000000" w:themeColor="text1"/>
          <w:sz w:val="32"/>
          <w:szCs w:val="32"/>
          <w14:textFill>
            <w14:solidFill>
              <w14:schemeClr w14:val="tx1"/>
            </w14:solidFill>
          </w14:textFill>
        </w:rPr>
        <w:t>济宁高新区海川路9号产学研基地T3栋12楼，联系电话：0537-3255155</w:t>
      </w:r>
      <w:r>
        <w:rPr>
          <w:rFonts w:hint="eastAsia" w:ascii="方正仿宋简体" w:eastAsia="方正仿宋简体"/>
          <w:b/>
          <w:color w:val="000000"/>
          <w:sz w:val="32"/>
          <w:szCs w:val="32"/>
        </w:rPr>
        <w:t>）。</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60" w:lineRule="exact"/>
        <w:ind w:firstLine="643" w:firstLineChars="200"/>
        <w:rPr>
          <w:rFonts w:ascii="方正仿宋简体" w:eastAsia="方正仿宋简体"/>
          <w:b/>
          <w:color w:val="000000" w:themeColor="text1"/>
          <w:sz w:val="32"/>
          <w:szCs w:val="32"/>
          <w14:textFill>
            <w14:solidFill>
              <w14:schemeClr w14:val="tx1"/>
            </w14:solidFill>
          </w14:textFill>
        </w:rPr>
      </w:pPr>
      <w:r>
        <w:rPr>
          <w:rFonts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14:textFill>
            <w14:solidFill>
              <w14:schemeClr w14:val="tx1"/>
            </w14:solidFill>
          </w14:textFill>
        </w:rPr>
        <w:t>2</w:t>
      </w:r>
      <w:r>
        <w:rPr>
          <w:rFonts w:ascii="方正仿宋简体" w:eastAsia="方正仿宋简体"/>
          <w:b/>
          <w:color w:val="000000" w:themeColor="text1"/>
          <w:sz w:val="32"/>
          <w:szCs w:val="32"/>
          <w14:textFill>
            <w14:solidFill>
              <w14:schemeClr w14:val="tx1"/>
            </w14:solidFill>
          </w14:textFill>
        </w:rPr>
        <w:t>年</w:t>
      </w:r>
      <w:r>
        <w:rPr>
          <w:rFonts w:hint="eastAsia" w:ascii="方正仿宋简体" w:eastAsia="方正仿宋简体"/>
          <w:b/>
          <w:color w:val="000000" w:themeColor="text1"/>
          <w:sz w:val="32"/>
          <w:szCs w:val="32"/>
          <w14:textFill>
            <w14:solidFill>
              <w14:schemeClr w14:val="tx1"/>
            </w14:solidFill>
          </w14:textFill>
        </w:rPr>
        <w:t>，高新区财政金融局</w:t>
      </w:r>
      <w:r>
        <w:rPr>
          <w:rFonts w:hint="eastAsia" w:ascii="方正仿宋简体" w:hAnsi="方正仿宋简体" w:eastAsia="方正仿宋简体" w:cs="方正仿宋简体"/>
          <w:b/>
          <w:bCs/>
          <w:color w:val="000000"/>
          <w:sz w:val="32"/>
          <w:szCs w:val="32"/>
        </w:rPr>
        <w:t>以《中华人民共和国政府信息公开条例》为根本遵循，</w:t>
      </w:r>
      <w:r>
        <w:rPr>
          <w:rFonts w:ascii="方正仿宋简体" w:eastAsia="方正仿宋简体"/>
          <w:b/>
          <w:color w:val="000000" w:themeColor="text1"/>
          <w:sz w:val="32"/>
          <w:szCs w:val="32"/>
          <w14:textFill>
            <w14:solidFill>
              <w14:schemeClr w14:val="tx1"/>
            </w14:solidFill>
          </w14:textFill>
        </w:rPr>
        <w:t>聚焦高新区重要决策部署，积极、有序地推进政务公开工作。不断加强机制和制度建设，全面推进决策、执行、管理、服务、结果公开，切实提升了政务公开工作水平。</w:t>
      </w:r>
      <w:r>
        <w:rPr>
          <w:rFonts w:hint="eastAsia" w:ascii="方正仿宋简体" w:hAnsi="方正仿宋简体" w:eastAsia="方正仿宋简体" w:cs="方正仿宋简体"/>
          <w:b/>
          <w:bCs/>
          <w:color w:val="000000"/>
          <w:sz w:val="32"/>
          <w:szCs w:val="32"/>
        </w:rPr>
        <w:t>现将2022年工作开展情况汇报如下。</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14:textFill>
            <w14:solidFill>
              <w14:schemeClr w14:val="tx1"/>
            </w14:solidFill>
          </w14:textFill>
        </w:rPr>
        <w:t>2</w:t>
      </w:r>
      <w:r>
        <w:rPr>
          <w:rFonts w:ascii="方正仿宋简体" w:eastAsia="方正仿宋简体"/>
          <w:b/>
          <w:color w:val="000000" w:themeColor="text1"/>
          <w:sz w:val="32"/>
          <w:szCs w:val="32"/>
          <w14:textFill>
            <w14:solidFill>
              <w14:schemeClr w14:val="tx1"/>
            </w14:solidFill>
          </w14:textFill>
        </w:rPr>
        <w:t>年度主动公开政府信息</w:t>
      </w:r>
      <w:r>
        <w:rPr>
          <w:rFonts w:hint="eastAsia" w:ascii="方正仿宋简体" w:eastAsia="方正仿宋简体"/>
          <w:b/>
          <w:color w:val="000000" w:themeColor="text1"/>
          <w:sz w:val="32"/>
          <w:szCs w:val="32"/>
          <w14:textFill>
            <w14:solidFill>
              <w14:schemeClr w14:val="tx1"/>
            </w14:solidFill>
          </w14:textFill>
        </w:rPr>
        <w:t>505</w:t>
      </w:r>
      <w:r>
        <w:rPr>
          <w:rFonts w:ascii="方正仿宋简体" w:eastAsia="方正仿宋简体"/>
          <w:b/>
          <w:color w:val="000000" w:themeColor="text1"/>
          <w:sz w:val="32"/>
          <w:szCs w:val="32"/>
          <w14:textFill>
            <w14:solidFill>
              <w14:schemeClr w14:val="tx1"/>
            </w14:solidFill>
          </w14:textFill>
        </w:rPr>
        <w:t>条</w:t>
      </w:r>
      <w:r>
        <w:rPr>
          <w:rFonts w:hint="eastAsia" w:ascii="方正仿宋简体" w:eastAsia="方正仿宋简体"/>
          <w:b/>
          <w:color w:val="000000" w:themeColor="text1"/>
          <w:sz w:val="32"/>
          <w:szCs w:val="32"/>
          <w14:textFill>
            <w14:solidFill>
              <w14:schemeClr w14:val="tx1"/>
            </w14:solidFill>
          </w14:textFill>
        </w:rPr>
        <w:t>，</w:t>
      </w:r>
      <w:r>
        <w:rPr>
          <w:rFonts w:ascii="方正仿宋简体" w:eastAsia="方正仿宋简体"/>
          <w:b/>
          <w:color w:val="000000" w:themeColor="text1"/>
          <w:sz w:val="32"/>
          <w:szCs w:val="32"/>
          <w14:textFill>
            <w14:solidFill>
              <w14:schemeClr w14:val="tx1"/>
            </w14:solidFill>
          </w14:textFill>
        </w:rPr>
        <w:t>回复办理12345政务热线等群众咨询</w:t>
      </w:r>
      <w:r>
        <w:rPr>
          <w:rFonts w:hint="eastAsia" w:ascii="方正仿宋简体" w:eastAsia="方正仿宋简体"/>
          <w:b/>
          <w:color w:val="000000" w:themeColor="text1"/>
          <w:sz w:val="32"/>
          <w:szCs w:val="32"/>
          <w14:textFill>
            <w14:solidFill>
              <w14:schemeClr w14:val="tx1"/>
            </w14:solidFill>
          </w14:textFill>
        </w:rPr>
        <w:t>301</w:t>
      </w:r>
      <w:r>
        <w:rPr>
          <w:rFonts w:ascii="方正仿宋简体" w:eastAsia="方正仿宋简体"/>
          <w:b/>
          <w:color w:val="000000" w:themeColor="text1"/>
          <w:sz w:val="32"/>
          <w:szCs w:val="32"/>
          <w14:textFill>
            <w14:solidFill>
              <w14:schemeClr w14:val="tx1"/>
            </w14:solidFill>
          </w14:textFill>
        </w:rPr>
        <w:t>件</w:t>
      </w:r>
      <w:r>
        <w:rPr>
          <w:rFonts w:hint="eastAsia" w:ascii="方正仿宋简体" w:eastAsia="方正仿宋简体"/>
          <w:b/>
          <w:color w:val="000000" w:themeColor="text1"/>
          <w:sz w:val="32"/>
          <w:szCs w:val="32"/>
          <w14:textFill>
            <w14:solidFill>
              <w14:schemeClr w14:val="tx1"/>
            </w14:solidFill>
          </w14:textFill>
        </w:rPr>
        <w:t>，</w:t>
      </w:r>
      <w:r>
        <w:rPr>
          <w:rFonts w:ascii="方正仿宋简体" w:eastAsia="方正仿宋简体"/>
          <w:b/>
          <w:color w:val="000000" w:themeColor="text1"/>
          <w:sz w:val="32"/>
          <w:szCs w:val="32"/>
          <w14:textFill>
            <w14:solidFill>
              <w14:schemeClr w14:val="tx1"/>
            </w14:solidFill>
          </w14:textFill>
        </w:rPr>
        <w:t>做到了事事有回音、件件有答复</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ind w:right="-100" w:rightChars="-50" w:firstLine="643" w:firstLineChars="200"/>
        <w:rPr>
          <w:rFonts w:ascii="方正仿宋简体" w:eastAsia="方正仿宋简体"/>
          <w:b/>
          <w:color w:val="000000"/>
          <w:sz w:val="32"/>
          <w:szCs w:val="32"/>
        </w:rPr>
      </w:pPr>
      <w:r>
        <w:rPr>
          <w:rFonts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14:textFill>
            <w14:solidFill>
              <w14:schemeClr w14:val="tx1"/>
            </w14:solidFill>
          </w14:textFill>
        </w:rPr>
        <w:t>2</w:t>
      </w:r>
      <w:r>
        <w:rPr>
          <w:rFonts w:ascii="方正仿宋简体" w:eastAsia="方正仿宋简体"/>
          <w:b/>
          <w:color w:val="000000" w:themeColor="text1"/>
          <w:sz w:val="32"/>
          <w:szCs w:val="32"/>
          <w14:textFill>
            <w14:solidFill>
              <w14:schemeClr w14:val="tx1"/>
            </w14:solidFill>
          </w14:textFill>
        </w:rPr>
        <w:t>年度，</w:t>
      </w:r>
      <w:r>
        <w:rPr>
          <w:rFonts w:hint="eastAsia" w:ascii="方正仿宋简体" w:eastAsia="方正仿宋简体"/>
          <w:b/>
          <w:color w:val="000000" w:themeColor="text1"/>
          <w:sz w:val="32"/>
          <w:szCs w:val="32"/>
          <w14:textFill>
            <w14:solidFill>
              <w14:schemeClr w14:val="tx1"/>
            </w14:solidFill>
          </w14:textFill>
        </w:rPr>
        <w:t>高新区财政金融局受理</w:t>
      </w:r>
      <w:r>
        <w:rPr>
          <w:rFonts w:hint="eastAsia" w:ascii="方正仿宋简体" w:eastAsia="方正仿宋简体"/>
          <w:b/>
          <w:color w:val="000000"/>
          <w:sz w:val="32"/>
          <w:szCs w:val="32"/>
        </w:rPr>
        <w:t>政府信息公开申请共2件，</w:t>
      </w:r>
      <w:r>
        <w:rPr>
          <w:rFonts w:hint="eastAsia" w:ascii="方正仿宋简体" w:hAnsi="方正仿宋简体" w:eastAsia="方正仿宋简体" w:cs="方正仿宋简体"/>
          <w:b/>
          <w:bCs/>
          <w:color w:val="000000"/>
          <w:sz w:val="32"/>
          <w:szCs w:val="32"/>
        </w:rPr>
        <w:t>主要涉及土地征收及拆迁补偿等方面，</w:t>
      </w:r>
      <w:r>
        <w:rPr>
          <w:rFonts w:hint="eastAsia" w:ascii="方正仿宋简体" w:eastAsia="方正仿宋简体"/>
          <w:b/>
          <w:color w:val="000000"/>
          <w:sz w:val="32"/>
          <w:szCs w:val="32"/>
        </w:rPr>
        <w:t>已全部处理答复完毕。</w:t>
      </w:r>
    </w:p>
    <w:p>
      <w:pPr>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drawing>
          <wp:inline distT="0" distB="0" distL="0" distR="0">
            <wp:extent cx="5274310" cy="3076575"/>
            <wp:effectExtent l="19050" t="0" r="2159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ind w:right="-100" w:rightChars="-50" w:firstLine="643" w:firstLineChars="200"/>
        <w:rPr>
          <w:rFonts w:ascii="方正楷体简体" w:eastAsia="方正楷体简体"/>
          <w:b/>
          <w:color w:val="000000"/>
          <w:sz w:val="32"/>
          <w:szCs w:val="32"/>
        </w:rPr>
      </w:pP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themeColor="text1"/>
          <w:sz w:val="32"/>
          <w:szCs w:val="32"/>
          <w14:textFill>
            <w14:solidFill>
              <w14:schemeClr w14:val="tx1"/>
            </w14:solidFill>
          </w14:textFill>
        </w:rPr>
        <w:t>高新区财政金融局政府信息工作围绕高新区管委会中心工作和本局预决算公开、财政收支运行情况、直达资金、政府采购、优化营商环境、国资国企信息、行政事业性收费等工作的重点，遵守宪法等法律法规，坚持及时、准确、全面的原则，同时建立健全保密审查，规范信息发布程序，</w:t>
      </w:r>
      <w:r>
        <w:rPr>
          <w:rFonts w:hint="eastAsia" w:ascii="方正仿宋简体" w:hAnsi="方正仿宋简体" w:eastAsia="方正仿宋简体" w:cs="方正仿宋简体"/>
          <w:b/>
          <w:bCs/>
          <w:sz w:val="32"/>
          <w:szCs w:val="32"/>
        </w:rPr>
        <w:t>进一步规范依申请公开的受理、审查、处理、答复程序，对各环节做到有记录可查</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themeColor="text1"/>
          <w:sz w:val="32"/>
          <w:szCs w:val="32"/>
          <w14:textFill>
            <w14:solidFill>
              <w14:schemeClr w14:val="tx1"/>
            </w14:solidFill>
          </w14:textFill>
        </w:rPr>
        <w:t>我局坚持把网站列为公开信息的重要途径，局门户网站开设了机构设置、政策解读、政府采购、直达资金等栏目,并在网站明显位置设置财政预决算、三公经费、减税降费等内容；方便群众查询信息和监督反馈。</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ascii="方正仿宋简体" w:eastAsia="方正仿宋简体"/>
          <w:b/>
          <w:color w:val="000000" w:themeColor="text1"/>
          <w:sz w:val="32"/>
          <w:szCs w:val="32"/>
          <w14:textFill>
            <w14:solidFill>
              <w14:schemeClr w14:val="tx1"/>
            </w14:solidFill>
          </w14:textFill>
        </w:rPr>
        <w:t>我局领导高度重视政府信息公开工作，严格落实各处室的职能职责</w:t>
      </w:r>
      <w:r>
        <w:rPr>
          <w:rFonts w:hint="eastAsia" w:ascii="方正仿宋简体" w:eastAsia="方正仿宋简体"/>
          <w:b/>
          <w:color w:val="000000" w:themeColor="text1"/>
          <w:sz w:val="32"/>
          <w:szCs w:val="32"/>
          <w14:textFill>
            <w14:solidFill>
              <w14:schemeClr w14:val="tx1"/>
            </w14:solidFill>
          </w14:textFill>
        </w:rPr>
        <w:t>，</w:t>
      </w:r>
      <w:r>
        <w:rPr>
          <w:rFonts w:ascii="方正仿宋简体" w:eastAsia="方正仿宋简体"/>
          <w:b/>
          <w:color w:val="000000" w:themeColor="text1"/>
          <w:sz w:val="32"/>
          <w:szCs w:val="32"/>
          <w14:textFill>
            <w14:solidFill>
              <w14:schemeClr w14:val="tx1"/>
            </w14:solidFill>
          </w14:textFill>
        </w:rPr>
        <w:t>明确办公室牵头政府信息公开工作，具体负责格式政府信息公开内容上报、更新、维护、组织协调等日常工作</w:t>
      </w:r>
      <w:r>
        <w:rPr>
          <w:rFonts w:hint="eastAsia" w:ascii="方正仿宋简体" w:eastAsia="方正仿宋简体"/>
          <w:b/>
          <w:color w:val="000000" w:themeColor="text1"/>
          <w:sz w:val="32"/>
          <w:szCs w:val="32"/>
          <w14:textFill>
            <w14:solidFill>
              <w14:schemeClr w14:val="tx1"/>
            </w14:solidFill>
          </w14:textFill>
        </w:rPr>
        <w:t>，各科室、单位负责人按照局统一部署，认真抓好本科室信息公开制度的组织实施，使政务信息公开工作进一步规范化、制度化，确保工作持续良好开展。</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规章</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0</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0</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Calibri" w:eastAsia="方正仿宋简体" w:cs="Calibri"/>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行政规范性文件</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0</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Calibri" w:eastAsia="方正仿宋简体" w:cs="Calibri"/>
                <w:b/>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Calibri" w:eastAsia="方正仿宋简体" w:cs="Calibri"/>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rPr>
              <w:t>行政事业性收费</w:t>
            </w:r>
          </w:p>
        </w:tc>
        <w:tc>
          <w:tcPr>
            <w:tcW w:w="6338" w:type="dxa"/>
            <w:gridSpan w:val="3"/>
            <w:shd w:val="clear" w:color="auto" w:fill="auto"/>
            <w:tcMar>
              <w:left w:w="57" w:type="dxa"/>
              <w:right w:w="57" w:type="dxa"/>
            </w:tcMar>
            <w:vAlign w:val="center"/>
          </w:tcPr>
          <w:p>
            <w:pPr>
              <w:spacing w:line="340" w:lineRule="exact"/>
              <w:rPr>
                <w:rFonts w:ascii="方正仿宋简体" w:eastAsia="方正仿宋简体"/>
                <w:b/>
                <w:sz w:val="24"/>
              </w:rPr>
            </w:pPr>
            <w:r>
              <w:rPr>
                <w:rFonts w:hint="eastAsia" w:ascii="方正仿宋简体" w:eastAsia="方正仿宋简体"/>
                <w:b/>
                <w:sz w:val="24"/>
              </w:rPr>
              <w:t>0</w:t>
            </w:r>
          </w:p>
        </w:tc>
      </w:tr>
    </w:tbl>
    <w:p>
      <w:pPr>
        <w:spacing w:beforeLines="10"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2</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（二）部分公开</w:t>
            </w:r>
            <w:r>
              <w:rPr>
                <w:rFonts w:hint="eastAsia" w:ascii="方正仿宋简体" w:hAnsi="楷体" w:eastAsia="方正仿宋简体" w:cs="楷体"/>
                <w:b/>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rPr>
              <w:t>2</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rPr>
              <w:t>2</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rPr>
            </w:pPr>
            <w:r>
              <w:rPr>
                <w:rFonts w:hint="eastAsia" w:ascii="方正黑体简体" w:hAnsi="宋体" w:eastAsia="方正黑体简体" w:cs="宋体"/>
                <w:sz w:val="21"/>
                <w:szCs w:val="21"/>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其他</w:t>
            </w:r>
            <w:r>
              <w:rPr>
                <w:rFonts w:hint="eastAsia" w:ascii="方正黑体简体" w:hAnsi="宋体" w:eastAsia="方正黑体简体" w:cs="宋体"/>
                <w:sz w:val="21"/>
                <w:szCs w:val="21"/>
              </w:rPr>
              <w:br w:type="textWrapping"/>
            </w:r>
            <w:r>
              <w:rPr>
                <w:rFonts w:hint="eastAsia" w:ascii="方正黑体简体" w:hAnsi="宋体" w:eastAsia="方正黑体简体" w:cs="宋体"/>
                <w:sz w:val="21"/>
                <w:szCs w:val="21"/>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尚未</w:t>
            </w:r>
            <w:r>
              <w:rPr>
                <w:rFonts w:hint="eastAsia" w:ascii="方正黑体简体" w:hAnsi="宋体" w:eastAsia="方正黑体简体" w:cs="宋体"/>
                <w:sz w:val="21"/>
                <w:szCs w:val="21"/>
              </w:rPr>
              <w:br w:type="textWrapping"/>
            </w:r>
            <w:r>
              <w:rPr>
                <w:rFonts w:hint="eastAsia" w:ascii="方正黑体简体" w:hAnsi="宋体" w:eastAsia="方正黑体简体" w:cs="宋体"/>
                <w:sz w:val="21"/>
                <w:szCs w:val="21"/>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结果</w:t>
            </w:r>
            <w:r>
              <w:rPr>
                <w:rFonts w:hint="eastAsia" w:ascii="方正黑体简体" w:hAnsi="宋体" w:eastAsia="方正黑体简体" w:cs="宋体"/>
                <w:sz w:val="21"/>
                <w:szCs w:val="21"/>
              </w:rPr>
              <w:br w:type="textWrapping"/>
            </w:r>
            <w:r>
              <w:rPr>
                <w:rFonts w:hint="eastAsia" w:ascii="方正黑体简体" w:hAnsi="宋体" w:eastAsia="方正黑体简体" w:cs="宋体"/>
                <w:sz w:val="21"/>
                <w:szCs w:val="21"/>
              </w:rPr>
              <w:t>维持</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结果</w:t>
            </w:r>
            <w:r>
              <w:rPr>
                <w:rFonts w:hint="eastAsia" w:ascii="方正黑体简体" w:hAnsi="宋体" w:eastAsia="方正黑体简体" w:cs="宋体"/>
                <w:sz w:val="21"/>
                <w:szCs w:val="21"/>
              </w:rPr>
              <w:br w:type="textWrapping"/>
            </w:r>
            <w:r>
              <w:rPr>
                <w:rFonts w:hint="eastAsia" w:ascii="方正黑体简体" w:hAnsi="宋体" w:eastAsia="方正黑体简体" w:cs="宋体"/>
                <w:sz w:val="21"/>
                <w:szCs w:val="21"/>
              </w:rPr>
              <w:t>纠正</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其他</w:t>
            </w:r>
            <w:r>
              <w:rPr>
                <w:rFonts w:hint="eastAsia" w:ascii="方正黑体简体" w:hAnsi="宋体" w:eastAsia="方正黑体简体" w:cs="宋体"/>
                <w:sz w:val="21"/>
                <w:szCs w:val="21"/>
              </w:rPr>
              <w:br w:type="textWrapping"/>
            </w:r>
            <w:r>
              <w:rPr>
                <w:rFonts w:hint="eastAsia" w:ascii="方正黑体简体" w:hAnsi="宋体" w:eastAsia="方正黑体简体" w:cs="宋体"/>
                <w:sz w:val="21"/>
                <w:szCs w:val="21"/>
              </w:rPr>
              <w:t>结果</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尚未</w:t>
            </w:r>
            <w:r>
              <w:rPr>
                <w:rFonts w:hint="eastAsia" w:ascii="方正黑体简体" w:hAnsi="宋体" w:eastAsia="方正黑体简体" w:cs="宋体"/>
                <w:sz w:val="21"/>
                <w:szCs w:val="21"/>
              </w:rPr>
              <w:br w:type="textWrapping"/>
            </w:r>
            <w:r>
              <w:rPr>
                <w:rFonts w:hint="eastAsia" w:ascii="方正黑体简体" w:hAnsi="宋体" w:eastAsia="方正黑体简体" w:cs="宋体"/>
                <w:sz w:val="21"/>
                <w:szCs w:val="21"/>
              </w:rPr>
              <w:t>审结</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总计</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结果</w:t>
            </w:r>
            <w:r>
              <w:rPr>
                <w:rFonts w:hint="eastAsia" w:ascii="方正黑体简体" w:hAnsi="宋体" w:eastAsia="方正黑体简体" w:cs="宋体"/>
                <w:sz w:val="21"/>
                <w:szCs w:val="21"/>
              </w:rPr>
              <w:br w:type="textWrapping"/>
            </w:r>
            <w:r>
              <w:rPr>
                <w:rFonts w:hint="eastAsia" w:ascii="方正黑体简体" w:hAnsi="宋体" w:eastAsia="方正黑体简体" w:cs="宋体"/>
                <w:sz w:val="21"/>
                <w:szCs w:val="21"/>
              </w:rPr>
              <w:t>维持</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结果</w:t>
            </w:r>
            <w:r>
              <w:rPr>
                <w:rFonts w:hint="eastAsia" w:ascii="方正黑体简体" w:hAnsi="宋体" w:eastAsia="方正黑体简体" w:cs="宋体"/>
                <w:sz w:val="21"/>
                <w:szCs w:val="21"/>
              </w:rPr>
              <w:br w:type="textWrapping"/>
            </w:r>
            <w:r>
              <w:rPr>
                <w:rFonts w:hint="eastAsia" w:ascii="方正黑体简体" w:hAnsi="宋体" w:eastAsia="方正黑体简体" w:cs="宋体"/>
                <w:sz w:val="21"/>
                <w:szCs w:val="21"/>
              </w:rPr>
              <w:t>纠正</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其他</w:t>
            </w:r>
            <w:r>
              <w:rPr>
                <w:rFonts w:hint="eastAsia" w:ascii="方正黑体简体" w:hAnsi="宋体" w:eastAsia="方正黑体简体" w:cs="宋体"/>
                <w:sz w:val="21"/>
                <w:szCs w:val="21"/>
              </w:rPr>
              <w:br w:type="textWrapping"/>
            </w:r>
            <w:r>
              <w:rPr>
                <w:rFonts w:hint="eastAsia" w:ascii="方正黑体简体" w:hAnsi="宋体" w:eastAsia="方正黑体简体" w:cs="宋体"/>
                <w:sz w:val="21"/>
                <w:szCs w:val="21"/>
              </w:rPr>
              <w:t>结果</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尚未</w:t>
            </w:r>
            <w:r>
              <w:rPr>
                <w:rFonts w:hint="eastAsia" w:ascii="方正黑体简体" w:hAnsi="宋体" w:eastAsia="方正黑体简体" w:cs="宋体"/>
                <w:sz w:val="21"/>
                <w:szCs w:val="21"/>
              </w:rPr>
              <w:br w:type="textWrapping"/>
            </w:r>
            <w:r>
              <w:rPr>
                <w:rFonts w:hint="eastAsia" w:ascii="方正黑体简体" w:hAnsi="宋体" w:eastAsia="方正黑体简体" w:cs="宋体"/>
                <w:sz w:val="21"/>
                <w:szCs w:val="21"/>
              </w:rPr>
              <w:t>审结</w:t>
            </w:r>
          </w:p>
        </w:tc>
        <w:tc>
          <w:tcPr>
            <w:tcW w:w="407"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62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60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59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4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rPr>
              <w:t>0</w:t>
            </w:r>
          </w:p>
        </w:tc>
        <w:tc>
          <w:tcPr>
            <w:tcW w:w="407" w:type="dxa"/>
            <w:tcMar>
              <w:left w:w="108" w:type="dxa"/>
              <w:right w:w="108" w:type="dxa"/>
            </w:tcMar>
            <w:vAlign w:val="center"/>
          </w:tcPr>
          <w:p>
            <w:pPr>
              <w:spacing w:line="340" w:lineRule="exact"/>
              <w:ind w:left="-40" w:leftChars="-20" w:right="-40" w:rightChars="-20"/>
              <w:jc w:val="center"/>
              <w:rPr>
                <w:rFonts w:ascii="方正黑体简体" w:eastAsia="方正黑体简体"/>
                <w:sz w:val="21"/>
                <w:szCs w:val="21"/>
              </w:rPr>
            </w:pPr>
            <w:r>
              <w:rPr>
                <w:rFonts w:hint="eastAsia" w:ascii="方正黑体简体" w:eastAsia="方正黑体简体"/>
                <w:sz w:val="21"/>
                <w:szCs w:val="21"/>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default" w:ascii="方正仿宋简体" w:eastAsia="方正仿宋简体"/>
          <w:b/>
          <w:sz w:val="32"/>
          <w:szCs w:val="32"/>
          <w:lang w:val="en-US" w:eastAsia="zh-CN"/>
        </w:rPr>
      </w:pPr>
      <w:bookmarkStart w:id="0" w:name="_GoBack"/>
      <w:r>
        <w:rPr>
          <w:rFonts w:hint="eastAsia" w:ascii="方正仿宋简体" w:hAnsi="方正仿宋简体" w:eastAsia="方正仿宋简体" w:cs="方正仿宋简体"/>
          <w:b/>
          <w:bCs/>
          <w:color w:val="000000"/>
          <w:sz w:val="32"/>
          <w:szCs w:val="32"/>
        </w:rPr>
        <w:t>2022年，</w:t>
      </w:r>
      <w:r>
        <w:rPr>
          <w:rFonts w:hint="eastAsia" w:ascii="方正仿宋简体" w:hAnsi="方正仿宋简体" w:eastAsia="方正仿宋简体" w:cs="方正仿宋简体"/>
          <w:b/>
          <w:bCs/>
          <w:color w:val="000000"/>
          <w:sz w:val="32"/>
          <w:szCs w:val="32"/>
          <w:lang w:val="en-US" w:eastAsia="zh-CN"/>
        </w:rPr>
        <w:t>我局政务公开工作还存在一些问题，公开程序不够规范，公开时效有待加强。下一步我局将按照《政府信息公开条例》要求，与政务公开主管部门多加沟通，力求政务公开工作再上新台阶。</w:t>
      </w:r>
    </w:p>
    <w:bookmarkEnd w:id="0"/>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（一）依据《政府信息公开信息处理费管理办法》收取信息处理费的情况需在此专门报告</w:t>
      </w:r>
    </w:p>
    <w:p>
      <w:pPr>
        <w:spacing w:line="500" w:lineRule="exact"/>
        <w:ind w:right="-100" w:rightChars="-50" w:firstLine="643" w:firstLineChars="200"/>
        <w:rPr>
          <w:rFonts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依据《国务院办公厅关于印发〈政府信息公开信息处理费管理办法〉的通知》(国办函〔2020〕109号)）文件精神，2022年本机关未收取信息处理费。</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（二）本行政机关落实上级年度政务公开工作要点情况</w:t>
      </w:r>
    </w:p>
    <w:p>
      <w:pPr>
        <w:spacing w:line="480" w:lineRule="exact"/>
        <w:ind w:firstLine="643" w:firstLineChars="200"/>
        <w:outlineLvl w:val="1"/>
      </w:pPr>
      <w:r>
        <w:rPr>
          <w:rFonts w:hint="eastAsia" w:ascii="方正仿宋简体" w:hAnsi="方正仿宋简体" w:eastAsia="方正仿宋简体" w:cs="方正仿宋简体"/>
          <w:b/>
          <w:bCs/>
          <w:color w:val="000000"/>
          <w:sz w:val="32"/>
          <w:szCs w:val="32"/>
        </w:rPr>
        <w:t>2022年，本机关按照要求从严从实抓好政务公开落实，各项工作均圆满完成。</w:t>
      </w:r>
    </w:p>
    <w:p>
      <w:pPr>
        <w:spacing w:line="590" w:lineRule="exact"/>
        <w:ind w:right="-100" w:rightChars="-50" w:firstLine="643" w:firstLineChars="200"/>
        <w:rPr>
          <w:rFonts w:ascii="方正仿宋简体" w:eastAsia="方正仿宋简体"/>
          <w:b/>
          <w:spacing w:val="-11"/>
          <w:sz w:val="32"/>
          <w:szCs w:val="32"/>
        </w:rPr>
      </w:pPr>
      <w:r>
        <w:rPr>
          <w:rFonts w:hint="eastAsia" w:ascii="方正仿宋简体" w:eastAsia="方正仿宋简体"/>
          <w:b/>
          <w:sz w:val="32"/>
          <w:szCs w:val="32"/>
        </w:rPr>
        <w:t>（三）</w:t>
      </w:r>
      <w:r>
        <w:rPr>
          <w:rFonts w:hint="eastAsia" w:ascii="方正仿宋简体" w:eastAsia="方正仿宋简体"/>
          <w:b/>
          <w:spacing w:val="-11"/>
          <w:sz w:val="32"/>
          <w:szCs w:val="32"/>
        </w:rPr>
        <w:t>本行政机关人大代表建议和政协提案办理结果公开情况</w:t>
      </w:r>
    </w:p>
    <w:p>
      <w:pPr>
        <w:spacing w:line="500" w:lineRule="exact"/>
        <w:ind w:right="-100" w:rightChars="-50" w:firstLine="803" w:firstLineChars="250"/>
        <w:rPr>
          <w:rFonts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2022年本机关未收到人大代表建议和政协提案。</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（四）本行政机关年度政务公开工作创新情况</w:t>
      </w:r>
    </w:p>
    <w:p>
      <w:pPr>
        <w:spacing w:line="500" w:lineRule="exact"/>
        <w:ind w:right="-100" w:rightChars="-50" w:firstLine="803" w:firstLineChars="250"/>
        <w:rPr>
          <w:rFonts w:ascii="方正仿宋简体" w:eastAsia="方正仿宋简体"/>
          <w:b/>
          <w:sz w:val="32"/>
          <w:szCs w:val="32"/>
        </w:rPr>
      </w:pPr>
      <w:r>
        <w:rPr>
          <w:rFonts w:hint="eastAsia" w:ascii="方正仿宋简体" w:hAnsi="方正仿宋简体" w:eastAsia="方正仿宋简体" w:cs="方正仿宋简体"/>
          <w:b/>
          <w:color w:val="000000"/>
          <w:sz w:val="32"/>
          <w:szCs w:val="32"/>
        </w:rPr>
        <w:t>根据相关要求</w:t>
      </w:r>
      <w:r>
        <w:rPr>
          <w:rFonts w:hint="eastAsia" w:ascii="方正仿宋简体" w:hAnsi="方正仿宋简体" w:eastAsia="方正仿宋简体" w:cs="方正仿宋简体"/>
          <w:b/>
          <w:bCs/>
          <w:color w:val="000000"/>
          <w:sz w:val="32"/>
          <w:szCs w:val="32"/>
        </w:rPr>
        <w:t>积极推进政策文件落实落地。</w:t>
      </w:r>
      <w:r>
        <w:rPr>
          <w:rFonts w:hint="eastAsia" w:ascii="方正仿宋简体" w:hAnsi="方正仿宋简体" w:eastAsia="方正仿宋简体" w:cs="方正仿宋简体"/>
          <w:b/>
          <w:color w:val="000000"/>
          <w:sz w:val="32"/>
          <w:szCs w:val="32"/>
        </w:rPr>
        <w:t>坚持“公开为常态，不公开为例外”原则，协助推动政府信息公开专栏规范化建设，</w:t>
      </w:r>
      <w:r>
        <w:rPr>
          <w:rFonts w:hint="eastAsia" w:ascii="方正仿宋简体" w:hAnsi="方正仿宋简体" w:eastAsia="方正仿宋简体" w:cs="方正仿宋简体"/>
          <w:b/>
          <w:bCs/>
          <w:color w:val="000000"/>
          <w:sz w:val="32"/>
          <w:szCs w:val="32"/>
        </w:rPr>
        <w:t>政务公开内容日益丰富，主动公开相关政策信息，按照时间节点公布各项工作的阶段性成果，努力做到让群众知情，让公众满意。</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（五）本行政机关政府信息公开工作年度报告数据统计需要说明的事项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无</w:t>
      </w:r>
      <w:r>
        <w:rPr>
          <w:rFonts w:hint="eastAsia" w:ascii="方正仿宋简体" w:eastAsia="方正仿宋简体"/>
          <w:b/>
          <w:sz w:val="32"/>
          <w:szCs w:val="32"/>
          <w:lang w:eastAsia="zh-CN"/>
        </w:rPr>
        <w:t>。</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（六）本行政机关认为需要报告的其他事项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无</w:t>
      </w:r>
      <w:r>
        <w:rPr>
          <w:rFonts w:hint="eastAsia" w:ascii="方正仿宋简体" w:eastAsia="方正仿宋简体"/>
          <w:b/>
          <w:sz w:val="32"/>
          <w:szCs w:val="32"/>
          <w:lang w:eastAsia="zh-CN"/>
        </w:rPr>
        <w:t>。</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（七）其他有关文件专门要求通过政府信息公开工作年度报告予以报告的事项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无</w:t>
      </w:r>
      <w:r>
        <w:rPr>
          <w:rFonts w:hint="eastAsia" w:ascii="方正仿宋简体" w:eastAsia="方正仿宋简体"/>
          <w:b/>
          <w:sz w:val="32"/>
          <w:szCs w:val="32"/>
          <w:lang w:eastAsia="zh-CN"/>
        </w:rPr>
        <w:t>。</w:t>
      </w:r>
    </w:p>
    <w:p>
      <w:pPr>
        <w:spacing w:line="590" w:lineRule="exact"/>
        <w:ind w:right="-100" w:rightChars="-5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58FD418B"/>
    <w:rsid w:val="000279E4"/>
    <w:rsid w:val="00031FFB"/>
    <w:rsid w:val="002608FB"/>
    <w:rsid w:val="00561336"/>
    <w:rsid w:val="005731F3"/>
    <w:rsid w:val="00627A14"/>
    <w:rsid w:val="007111B1"/>
    <w:rsid w:val="00871109"/>
    <w:rsid w:val="009A1660"/>
    <w:rsid w:val="009F77C8"/>
    <w:rsid w:val="00A20165"/>
    <w:rsid w:val="00B02C07"/>
    <w:rsid w:val="00C10836"/>
    <w:rsid w:val="00C868AA"/>
    <w:rsid w:val="00D0059E"/>
    <w:rsid w:val="00F23333"/>
    <w:rsid w:val="04E51423"/>
    <w:rsid w:val="3D2E66B1"/>
    <w:rsid w:val="48FE76DE"/>
    <w:rsid w:val="49D63A96"/>
    <w:rsid w:val="4AD97EAF"/>
    <w:rsid w:val="58FD418B"/>
    <w:rsid w:val="61F467B8"/>
    <w:rsid w:val="6272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sz w:val="24"/>
    </w:rPr>
  </w:style>
  <w:style w:type="character" w:customStyle="1" w:styleId="8">
    <w:name w:val="页眉 Char"/>
    <w:basedOn w:val="7"/>
    <w:link w:val="4"/>
    <w:qFormat/>
    <w:uiPriority w:val="0"/>
    <w:rPr>
      <w:sz w:val="18"/>
      <w:szCs w:val="18"/>
    </w:rPr>
  </w:style>
  <w:style w:type="character" w:customStyle="1" w:styleId="9">
    <w:name w:val="页脚 Char"/>
    <w:basedOn w:val="7"/>
    <w:link w:val="3"/>
    <w:qFormat/>
    <w:uiPriority w:val="0"/>
    <w:rPr>
      <w:sz w:val="18"/>
      <w:szCs w:val="18"/>
    </w:rPr>
  </w:style>
  <w:style w:type="character" w:customStyle="1" w:styleId="10">
    <w:name w:val="批注框文本 Char"/>
    <w:basedOn w:val="7"/>
    <w:link w:val="2"/>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受理数量</c:v>
                </c:pt>
              </c:strCache>
            </c:strRef>
          </c:tx>
          <c:invertIfNegative val="0"/>
          <c:dLbls>
            <c:delete val="1"/>
          </c:dLbls>
          <c:cat>
            <c:numRef>
              <c:f>Sheet1!$A$2:$A$3</c:f>
              <c:numCache>
                <c:formatCode>General</c:formatCode>
                <c:ptCount val="2"/>
                <c:pt idx="0">
                  <c:v>2021</c:v>
                </c:pt>
                <c:pt idx="1">
                  <c:v>2022</c:v>
                </c:pt>
              </c:numCache>
            </c:numRef>
          </c:cat>
          <c:val>
            <c:numRef>
              <c:f>Sheet1!$B$2:$B$3</c:f>
              <c:numCache>
                <c:formatCode>General</c:formatCode>
                <c:ptCount val="2"/>
                <c:pt idx="0">
                  <c:v>0</c:v>
                </c:pt>
                <c:pt idx="1">
                  <c:v>2</c:v>
                </c:pt>
              </c:numCache>
            </c:numRef>
          </c:val>
        </c:ser>
        <c:dLbls>
          <c:showLegendKey val="0"/>
          <c:showVal val="0"/>
          <c:showCatName val="0"/>
          <c:showSerName val="0"/>
          <c:showPercent val="0"/>
          <c:showBubbleSize val="0"/>
        </c:dLbls>
        <c:gapWidth val="55"/>
        <c:overlap val="100"/>
        <c:axId val="129061248"/>
        <c:axId val="129066496"/>
      </c:barChart>
      <c:catAx>
        <c:axId val="12906124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066496"/>
        <c:crosses val="autoZero"/>
        <c:auto val="1"/>
        <c:lblAlgn val="ctr"/>
        <c:lblOffset val="100"/>
        <c:noMultiLvlLbl val="0"/>
      </c:catAx>
      <c:valAx>
        <c:axId val="12906649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061248"/>
        <c:crosses val="autoZero"/>
        <c:crossBetween val="between"/>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2525</Words>
  <Characters>2623</Characters>
  <Lines>23</Lines>
  <Paragraphs>6</Paragraphs>
  <TotalTime>108</TotalTime>
  <ScaleCrop>false</ScaleCrop>
  <LinksUpToDate>false</LinksUpToDate>
  <CharactersWithSpaces>2623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2023-02-02T07:38:00Z</dcterms:created>
  <dc:creator>……</dc:creator>
  <cp:lastModifiedBy>……</cp:lastModifiedBy>
  <dcterms:modified xsi:type="dcterms:W3CDTF">2023-02-09T09:20:22Z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0A53EF2CE2444EAA90FE157F3CA009D8</vt:lpwstr>
  </property>
</Properties>
</file>