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44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pict>
          <v:shape id="_x0000_s1026" o:spid="_x0000_s1026" o:spt="136" type="#_x0000_t136" style="position:absolute;left:0pt;margin-left:343.5pt;margin-top:20.2pt;height:53.85pt;width:73.7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简体;font-size:36pt;v-rotate-letters:f;v-same-letter-heights:f;v-text-align:center;"/>
          </v:shape>
        </w:pict>
      </w:r>
      <w:r>
        <w:rPr>
          <w:rFonts w:hint="eastAsia" w:ascii="方正仿宋简体" w:eastAsia="方正仿宋简体"/>
          <w:sz w:val="32"/>
          <w:szCs w:val="32"/>
        </w:rPr>
        <w:pict>
          <v:shape id="_x0000_s1027" o:spid="_x0000_s1027" o:spt="136" type="#_x0000_t136" style="position:absolute;left:0pt;margin-left:27pt;margin-top:7.6pt;height:85.05pt;width:311.8pt;z-index:251662336;mso-width-relative:page;mso-height-relative:page;" fillcolor="#FF0000" filled="t" stroked="t" coordsize="21600,21600" adj="10800">
            <v:path/>
            <v:fill on="t" color2="#FFFFFF" focussize="0,0"/>
            <v:stroke weight="1.5pt" color="#FF0000"/>
            <v:imagedata o:title=""/>
            <o:lock v:ext="edit" aspectratio="f"/>
            <v:textpath on="t" fitshape="t" fitpath="t" trim="t" xscale="f" string="济宁高新技术产业&#10;开发区管理委员会办公室" style="font-family:方正小标宋简体;font-size:36pt;v-rotate-letters:f;v-same-letter-heights:t;v-text-align:justify;v-text-spacing:72090f;"/>
          </v:shape>
        </w:pict>
      </w: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济高新管办发〔2022〕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435610</wp:posOffset>
                </wp:positionV>
                <wp:extent cx="5561330" cy="698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33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4.3pt;height:0.55pt;width:437.9pt;z-index:251664384;mso-width-relative:page;mso-height-relative:page;" filled="f" stroked="t" coordsize="21600,21600" o:gfxdata="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vw6bNUAAAAHAQAADwAAAAAAAAABACAAAAAiAAAAZHJzL2Rvd25yZXYueG1sUEsB&#10;AhQAFAAAAAgAh07iQJvxE+H4AQAA6AMAAA4AAAAAAAAAAQAgAAAAJAEAAGRycy9lMm9Eb2MueG1s&#10;UEsFBgAAAAAGAAYAWQEAAI4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baseline"/>
        <w:rPr>
          <w:rFonts w:ascii="方正仿宋简体" w:eastAsia="方正仿宋简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0" w:leftChars="0" w:firstLine="0" w:firstLineChars="0"/>
        <w:jc w:val="center"/>
        <w:textAlignment w:val="baseline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ascii="Times New Roman" w:hAnsi="Times New Roman" w:eastAsia="方正小标宋简体" w:cs="Times New Roman"/>
          <w:b/>
          <w:bCs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/>
          <w:bCs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济宁高新区管委会办公室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ascii="Times New Roman" w:hAnsi="Times New Roman" w:eastAsia="方正小标宋简体" w:cs="Times New Roman"/>
          <w:b/>
          <w:bCs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/>
          <w:bCs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关于公布区级证明事项免提交清单的通知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各街道办事处，区直各部门单位，各驻区单位，各区管国有企业：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根据国务院办公厅《关于加快推进电子证照扩大应用领域和全国互通互认的意见》（国办发〔2022〕3号）、省政府办公厅《关于印发深化数据赋能建设“无证明之省”实施方案的通知》（鲁政办字〔2022〕50号）、市政府办公室《关于印发深化数据赋能建设“无证明城市”实施方案的通知》（济政办字〔2022〕33号）和《关于公布市级证明事项免提交清单的通知》（济政办字〔2022〕8号）要求，我区充分发挥数据赋能作用，聚焦企业和群众经常办理的服务事项，深入推进“无证明城市”建设。经审核确认，区级实行免提交的证明事项134项，现予以公布，请各部门单位抓好落实。清单将根据法律、法规、国务院决定及工作实际进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各部门单位要及时梳理本部门实行免提交的证明事项清单，结合实际将更多的事项纳入区级清单，提请管委会公布实施。各有关部门要制定免提交证明事项工作指引、修订办理指南、完善告知承诺格式文本，并在政务办事场所、政务服务网和部门网站上公示，方便申请人索取或下载。市场监督管理局要指导各部门将告知承诺制证明事项纳入“双随机、一公开”，加强事中事后监管。经济发展局要完善信用分类监管，指导各部门将承诺人承诺信息及履行承诺情况全面纳入信用记录，对违约失信情况依法依规进行约束惩戒。行政审批服务部门要积极开展事项梳理、规范数据标准、优化服务流程，持续推进业务运行标准化、规范化、数字化。党政办公室（大数据局）要加强电子证照数据归集，夯实数据底座，推进证照应用。党政办公室（政法）要加强对证明事项清理工作的综合协调和督促落实，对发现的问题及时组织评估、提出工作建议，助推“无证明城市”建设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附件：</w:t>
      </w: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  <w:lang w:val="en-US" w:eastAsia="zh-CN"/>
        </w:rPr>
        <w:t>济宁</w:t>
      </w: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高新区区级证明事项免提交清单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176" w:firstLineChars="13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济宁高新区管委会办公室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19" w:firstLineChars="15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2022年12月</w:t>
      </w: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  <w:lang w:val="en-US" w:eastAsia="zh-CN"/>
        </w:rPr>
        <w:t>31</w:t>
      </w: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t>（此件公开发布）</w:t>
      </w:r>
      <w:r>
        <w:rPr>
          <w:rFonts w:hint="eastAsia" w:ascii="方正仿宋简体" w:hAnsi="文星仿宋" w:eastAsia="方正仿宋简体" w:cs="方正仿宋简体"/>
          <w:b/>
          <w:bCs/>
          <w:snapToGrid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ascii="方正仿宋简体" w:hAnsi="文星仿宋" w:eastAsia="方正仿宋简体" w:cs="方正仿宋简体"/>
          <w:b/>
          <w:bCs/>
          <w:snapToGrid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425" w:num="1"/>
          <w:docGrid w:type="lines" w:linePitch="312" w:charSpace="0"/>
        </w:sectPr>
      </w:pPr>
    </w:p>
    <w:p>
      <w:pPr>
        <w:spacing w:before="184" w:line="188" w:lineRule="auto"/>
        <w:rPr>
          <w:rFonts w:hint="eastAsia" w:ascii="方正黑体简体" w:hAnsi="方正黑体简体" w:eastAsia="方正黑体简体" w:cs="方正黑体简体"/>
          <w:b/>
          <w:bCs/>
          <w:snapToGrid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bCs/>
          <w:snapToGrid/>
          <w:sz w:val="32"/>
          <w:szCs w:val="32"/>
        </w:rPr>
        <w:t>附件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right="-105" w:rightChars="-50" w:firstLine="883" w:firstLineChars="200"/>
        <w:jc w:val="center"/>
        <w:textAlignment w:val="auto"/>
        <w:rPr>
          <w:rFonts w:ascii="方正小标宋简体" w:hAnsi="方正仿宋简体" w:eastAsia="方正小标宋简体" w:cs="方正仿宋简体"/>
          <w:b/>
          <w:bCs/>
          <w:snapToGrid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  <w:lang w:val="en-US" w:eastAsia="zh-CN"/>
        </w:rPr>
        <w:t>济宁</w:t>
      </w: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</w:rPr>
        <w:t>高新区</w:t>
      </w:r>
      <w:r>
        <w:rPr>
          <w:rFonts w:hint="eastAsia" w:ascii="Times New Roman" w:hAnsi="Times New Roman" w:eastAsia="方正小标宋简体" w:cs="Times New Roman"/>
          <w:b/>
          <w:bCs/>
          <w:snapToGrid/>
          <w:sz w:val="44"/>
          <w:szCs w:val="44"/>
        </w:rPr>
        <w:t>区级</w:t>
      </w:r>
      <w:r>
        <w:rPr>
          <w:rFonts w:hint="eastAsia" w:ascii="方正小标宋简体" w:hAnsi="方正仿宋简体" w:eastAsia="方正小标宋简体" w:cs="方正仿宋简体"/>
          <w:b/>
          <w:bCs/>
          <w:snapToGrid/>
          <w:sz w:val="44"/>
          <w:szCs w:val="44"/>
        </w:rPr>
        <w:t>证明事项免提交清单</w:t>
      </w:r>
    </w:p>
    <w:tbl>
      <w:tblPr>
        <w:tblStyle w:val="7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13"/>
        <w:gridCol w:w="711"/>
        <w:gridCol w:w="2081"/>
        <w:gridCol w:w="4361"/>
        <w:gridCol w:w="1916"/>
        <w:gridCol w:w="131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单位序号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单位名称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事项序号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证明事项名称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涉及的政务服务事项名称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及编码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原开具单位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实现免提交方式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napToGrid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党工委组织部（人力资源部）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（8项）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现场核验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药品经营许可证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许可证明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行政审批部门或卫健部门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医药机构申请定点协议管理372036012000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人社部门或药品监管部门或卫健部门或行政审批部门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中国公民变更民族成份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370741003000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婚姻关系证明（结婚证、离婚证）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中国公民变更民族成份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370741003000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民政部门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民族、宗教团体成立前审查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370141002001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行政审批服务局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（60项）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执业药师注册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（国脉系统中未查找到编码）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互联网上网服务经营活动审批（设立）370122022023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370122022024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出版物零售单位设立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370173001002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歌舞娱乐场所从事歌舞娱乐场所经营活动审批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游艺娱乐场所从事游艺娱乐场所经营活动审批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娱乐场所改建、扩建或变更场地、主要设施、投资人员、经营许可证载明事项审批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医疗机构设置审批及执业登记和校验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医师执业注册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执业药师注册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（国脉系统中未查找到编码）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互联网上网服务经营活动审批（设立）370122022023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互联网上网服务经营活动审批（变更）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370122022024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出版物零售单位设立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370173001002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歌舞娱乐场所从事歌舞娱乐场所经营活动审批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游艺娱乐场所从事游艺娱乐场所经营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活动审批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娱乐场所改建、扩建或变更场地、主要设施、投资人员、经营许可证载明事项审批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370122015006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医疗机构设置审批及执业登记和校验 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29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公共场所卫生许可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个体工商户注销登记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370131002003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农民专业合作社（联合社）注销登记370131003004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农民专业合作社（联合社）分支机构注销登记370131003007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370131001114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非公司企业法人分支机构注销登记370131001117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 370131001125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个人独资企业分支机构注销登记370131001131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证照遗失补领、换发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372031005003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农民专业合作社（联合社）注销登记370131003004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农民专业合作社（联合社）分支机构注销登记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370131003007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公司变更登记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370131001114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非公司企业法人分支机构注销登记370131001117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 370131001125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个人独资企业分支机构注销登记370131001131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机动车驾驶人身份证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机动车驾驶证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车管所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机动车行驶证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车管所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道路运输从业人员资格证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校车使用许可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370105008000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交通局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59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医疗机构设置审批及执业登记和校验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卫生部门、人社部门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资格（职称）证书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放射源诊疗技术和医用辐射机构许可、校验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3700000123034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卫生部门、人社部门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学历证明（毕业证）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学历证明（毕业证）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乡村医生执业注册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护士执业资格考试成绩合格证明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卫生部门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死亡证明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护士执业注册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3700000123027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线上核查、部门间行政协助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死亡证明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医师执业注册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3700000123048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婚姻状况证明</w:t>
            </w: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pacing w:val="-6"/>
                <w:sz w:val="24"/>
                <w:szCs w:val="24"/>
              </w:rPr>
              <w:t>（结婚证、离婚证、离婚判决书、调解书）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民政部门、司法部门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法人证明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医疗机构设置审批及执业登记和校验3700000123025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居住证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再生育审批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3700000123026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发展软环境保障局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（4项）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伤残证件换发、补发和变更372024004000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退出现役的一级至四级残疾军人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集中供养批准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371024005000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伤残性质认定和伤残等级评定370724001000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核发残疾军人康复辅助器具 370524013000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党政办公室（宣传）（4项）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卫星电视广播地面接收设施安装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服务许可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370132002000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印刷业经营者变更主要登记事项、终止印刷经营活动备案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371073001000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办公场地证明（不动产权证书）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有线电视安装设计审批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370132021000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房屋所在地产权登记主管部门或房屋出租人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利用不可移动文物举办展览、展销、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演出等活动的许可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370122031000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所在地市场监管部门或行政审批部门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市场监督管理局（13项）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77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企业相关公告证明材料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公司变更登记（外资企业）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370131001102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国家市场监管总局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已通过国家企业信用信息公示系统发布公告的，可免于提交相关公告材料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78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79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80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因公司合并（分立）申请设立、变更或注销登记（外资企业）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370131001109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81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证照遗失补领、换发（外资企业）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372031005003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82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370131001104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83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分公司注销登记（外资企业）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370131001108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84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370131001122</w:t>
            </w: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（外资企业）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85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合伙企业分支机构注销登记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370131001125</w:t>
            </w: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（外资企业）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86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清税文书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外国（地区）企业在中国境内从事生产经营活动注销登记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370131001134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税务部门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限登记机关和税务部门已共享清税信息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87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外国企业常驻代表机构注销登记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370131604001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 xml:space="preserve"> 食品网络交易第三方平台提供者、通过自建网站交易的食品生产经营者备案371031822000  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企业登记机关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企业登记机关通过数据共享系统自动获取，如数据不全需申请者提交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食品网络交易第三方平台提供者、通过自建网站交易的食品生产经营者备案371031822000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（27项）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90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 370125001000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91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生产、经营第二类、第三类非药品类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371025003001、371025003002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92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营业执照或核准证明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93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危险化学品安全使用许可（首次申请）370125011000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94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烟花爆竹经营许可（批发） 370125013001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95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新建、改建、扩建生产、储存危险化学品的建设项目安全条件审查  370125004000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96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危险化学品经营许可（首次申请、变更）370125012000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采矿许可证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非煤矿矿山企业安全生产许可（首次申请、变更）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自然资源和规划部门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98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缴纳工伤保险费证明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 370125001000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99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 370125002000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矿山工程施工资质证明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住建部门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101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学历证书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特种作业人员操作资格认定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370125010000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102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专职安全管理人员技术资格证明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教育部门或人社部门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危险物品安全类注册安全工程师资格证明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人社部门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化工园区证明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化工园区管理部门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变更注册地址证明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危险化学品生产企业安全生产许可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（变更）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370125002000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属地政府部门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107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变更注册地址证明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危险化学品安全使用许可（变更）370125011000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属地政府部门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行政协助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108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危险化学品经营许可（变更）370125012000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109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身份证明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特种作业人员操作资格认定370125010000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公安部门或其他证件发证部门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110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372025003000</w:t>
            </w:r>
          </w:p>
        </w:tc>
        <w:tc>
          <w:tcPr>
            <w:tcW w:w="19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111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建设项目批准、核准或者备案证明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新建、改建、扩建生产、储存危险化学品的建设项目安全条件审查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370125004000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112</w:t>
            </w:r>
          </w:p>
        </w:tc>
        <w:tc>
          <w:tcPr>
            <w:tcW w:w="20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规划许可证或核准、备案证明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危险化学品安全使用许可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370125011000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行政审批部门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114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设计资质证明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住建部门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115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资质（资格）证书（从事黑火药、引火线批发的企业自有专用运输车辆以及驾驶员、押运员）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烟花爆竹经营许可（批发）（首次申请）370125013001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交通运输部门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数据共享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安全评价证明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非煤矿矿山、金属冶炼建设项目和生产、储存危险化学品、烟花爆竹的建设项目安全设施设计审查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370125005001、370125005002、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370125005003、370125005004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评价单位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城乡统筹发展局（5项）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117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项目备案证明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取水许可（水资源论证阶段）3700000119001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备案机关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118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取水计量设施的计量认证情况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城乡水务部门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变更说明文件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城乡水务部门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建设项目涉及河道与防洪部分的初步方案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有资质的编制单位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取水设施验收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意见或验收单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取水许可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37011900100Y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有资质的编制单位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公安分局（5项）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122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资质证明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焰火燃放许可证核发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370109038000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省级公安机关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易制毒化学品购买、运输许可（备案）3700000109126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124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金融机构营业场所、金库安全防范设施建设方案审批及工程验收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3700000109129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125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举办大型群众性活动安全许可3700000109127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户籍地派出所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告知承诺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126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经营企业的营业执照，其他组织的登记证书或者成立批准文件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易制毒化学品购买、运输许可（备案）3700000109126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其他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napToGrid/>
                <w:sz w:val="24"/>
                <w:szCs w:val="24"/>
              </w:rPr>
              <w:t>9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自然资源和规划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（4项）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127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采伐林木许可审批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370115031000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128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中华人民共和国居民身份证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建设项目用地以有偿方式使用国有建设用地审查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371015019000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公安部门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129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建设项目用地以有偿方式使用国有建设用地审查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371015019000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130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营业执照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探矿权变更登记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370115529000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市场监管部门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电子证照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10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生态环境分局（4项）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131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原辐射安全许可证正、副本原件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生产、销售、使用放射性同位素和射线装置的许可—变更（Ⅳ类、Ⅴ类放射源，Ⅱ类、Ⅲ类射线装置，丙级非密封放射性物质工作场所）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370116001096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生态环境部门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132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个人剂量报告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生产、销售、使用放射性同位素和射线装置的许可—延续（Ⅳ类、Ⅴ类放射源，Ⅱ类、Ⅲ类射线装置，丙级非密封放射性物质工作场所）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370116001098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有资质的检测机构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133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放射性原材料和放射性废物的处理证明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生产、销售、使用放射性同位素和射线装置的许可—注销（Ⅳ类、Ⅴ类放射源，Ⅱ类、Ⅲ类射线装置，丙级非密封放射性物质工作场所）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370116001097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有处理资质的单位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after="0" w:line="320" w:lineRule="exact"/>
              <w:ind w:left="0" w:leftChars="0" w:right="0" w:rightChars="0" w:firstLine="643"/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134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有毒有害物质地下储罐备案信息表（含标有地下储罐位置的厂区平面图）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对重点单位储存有毒有害物质的地下储罐备案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371016008000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申请单位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  <w:t>现场检查勘验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bCs/>
                <w:snapToGrid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方正仿宋简体" w:eastAsia="方正仿宋简体"/>
          <w:b/>
          <w:bCs/>
          <w:snapToGrid/>
          <w:sz w:val="24"/>
          <w:szCs w:val="24"/>
        </w:rPr>
      </w:pPr>
    </w:p>
    <w:p>
      <w:pPr>
        <w:pStyle w:val="2"/>
        <w:ind w:left="0" w:leftChars="0" w:firstLine="0" w:firstLineChars="0"/>
        <w:rPr>
          <w:rFonts w:ascii="方正仿宋简体" w:eastAsia="方正仿宋简体"/>
          <w:b/>
          <w:bCs/>
          <w:snapToGrid/>
          <w:sz w:val="24"/>
          <w:szCs w:val="24"/>
        </w:rPr>
      </w:pPr>
    </w:p>
    <w:p>
      <w:pPr>
        <w:kinsoku/>
        <w:autoSpaceDE/>
        <w:autoSpaceDN/>
        <w:adjustRightInd/>
        <w:snapToGrid/>
        <w:spacing w:line="290" w:lineRule="exact"/>
        <w:ind w:left="-21" w:leftChars="-10" w:right="-21" w:rightChars="-10"/>
        <w:jc w:val="center"/>
        <w:textAlignment w:val="auto"/>
        <w:rPr>
          <w:rFonts w:ascii="方正仿宋简体" w:hAnsi="Times New Roman" w:eastAsia="方正仿宋简体" w:cs="Times New Roman"/>
          <w:b/>
          <w:bCs/>
          <w:snapToGrid/>
          <w:sz w:val="24"/>
          <w:szCs w:val="24"/>
        </w:rPr>
        <w:sectPr>
          <w:pgSz w:w="16838" w:h="11906" w:orient="landscape"/>
          <w:pgMar w:top="1531" w:right="1531" w:bottom="1531" w:left="1531" w:header="851" w:footer="1191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b/>
          <w:bCs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 w:val="0"/>
        <w:kinsoku/>
        <w:autoSpaceDE/>
        <w:autoSpaceDN/>
        <w:adjustRightInd/>
        <w:snapToGrid/>
        <w:spacing w:beforeAutospacing="0" w:afterAutospacing="0" w:line="580" w:lineRule="exact"/>
        <w:jc w:val="both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281" w:firstLineChars="100"/>
        <w:jc w:val="both"/>
        <w:textAlignment w:val="auto"/>
        <w:rPr>
          <w:rFonts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28575</wp:posOffset>
                </wp:positionV>
                <wp:extent cx="55689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2.25pt;height:0.05pt;width:438.5pt;z-index:251661312;mso-width-relative:page;mso-height-relative:page;" filled="f" stroked="t" coordsize="21600,21600" o:gfxdata="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vO&#10;J23RAAAABQEAAA8AAAAAAAAAAQAgAAAAIgAAAGRycy9kb3ducmV2LnhtbFBLAQIUABQAAAAIAIdO&#10;4kANHmtb8QEAAOgDAAAOAAAAAAAAAAEAIAAAACABAABkcnMvZTJvRG9jLnhtbFBLBQYAAAAABgAG&#10;AFkBAACD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422910</wp:posOffset>
                </wp:positionV>
                <wp:extent cx="55778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3.3pt;height:0.05pt;width:439.2pt;z-index:251660288;mso-width-relative:page;mso-height-relative:page;" filled="f" stroked="t" coordsize="21600,21600" o:gfxdata="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kPKC1AAAAAcBAAAPAAAAAAAAAAEAIAAAACIAAABkcnMvZG93bnJldi54bWxQSwECFAAUAAAACACH&#10;TuJAV2Y29u8BAADoAwAADgAAAAAAAAABACAAAAAj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济宁高新区管委会办公室               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2022年12月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napToGrid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217302-8E3D-47FF-8DC1-FB2BA177AC6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2" w:fontKey="{BAEA13C9-0F28-4634-A997-3DDDF2EC01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572083-59B3-4BC7-AF9D-E031D3429700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OGNlYWViOTBiMmNjNWNiZjZiNjhkN2M2ZDYwMjkifQ=="/>
  </w:docVars>
  <w:rsids>
    <w:rsidRoot w:val="006B2204"/>
    <w:rsid w:val="002B6E92"/>
    <w:rsid w:val="00486BAE"/>
    <w:rsid w:val="006B2204"/>
    <w:rsid w:val="009D0FFC"/>
    <w:rsid w:val="00BC4626"/>
    <w:rsid w:val="00E97C40"/>
    <w:rsid w:val="00F305FE"/>
    <w:rsid w:val="01521561"/>
    <w:rsid w:val="017345DB"/>
    <w:rsid w:val="025760E2"/>
    <w:rsid w:val="03A32C74"/>
    <w:rsid w:val="053816F0"/>
    <w:rsid w:val="05C869C2"/>
    <w:rsid w:val="05D924BC"/>
    <w:rsid w:val="05E03D0C"/>
    <w:rsid w:val="05F6704D"/>
    <w:rsid w:val="06F0658D"/>
    <w:rsid w:val="0796796D"/>
    <w:rsid w:val="07F27D62"/>
    <w:rsid w:val="091F2D9D"/>
    <w:rsid w:val="09E34E2E"/>
    <w:rsid w:val="0BEA7692"/>
    <w:rsid w:val="0C9B273A"/>
    <w:rsid w:val="0CB9190B"/>
    <w:rsid w:val="0CD65588"/>
    <w:rsid w:val="0DA4527B"/>
    <w:rsid w:val="0E896BE6"/>
    <w:rsid w:val="0ED96ED8"/>
    <w:rsid w:val="0FBB0395"/>
    <w:rsid w:val="104B26C9"/>
    <w:rsid w:val="11621E46"/>
    <w:rsid w:val="11C1439F"/>
    <w:rsid w:val="12DB4BAB"/>
    <w:rsid w:val="135979E1"/>
    <w:rsid w:val="137912FC"/>
    <w:rsid w:val="13CC51A6"/>
    <w:rsid w:val="14514B1B"/>
    <w:rsid w:val="147A532B"/>
    <w:rsid w:val="14DB592B"/>
    <w:rsid w:val="14DE3B0C"/>
    <w:rsid w:val="1557566D"/>
    <w:rsid w:val="16527B88"/>
    <w:rsid w:val="16BC68BD"/>
    <w:rsid w:val="1758737A"/>
    <w:rsid w:val="175C4BE8"/>
    <w:rsid w:val="175C5A0C"/>
    <w:rsid w:val="176F4342"/>
    <w:rsid w:val="17F51899"/>
    <w:rsid w:val="19EB4826"/>
    <w:rsid w:val="1A815D2D"/>
    <w:rsid w:val="1AD853BA"/>
    <w:rsid w:val="1B100797"/>
    <w:rsid w:val="1BF754B3"/>
    <w:rsid w:val="1C7F2DDC"/>
    <w:rsid w:val="1C857540"/>
    <w:rsid w:val="1DAB2047"/>
    <w:rsid w:val="1FB5190D"/>
    <w:rsid w:val="20140D2A"/>
    <w:rsid w:val="213949E2"/>
    <w:rsid w:val="215C7A89"/>
    <w:rsid w:val="23F71932"/>
    <w:rsid w:val="24CC30D2"/>
    <w:rsid w:val="25267256"/>
    <w:rsid w:val="27197814"/>
    <w:rsid w:val="27DD4625"/>
    <w:rsid w:val="285C640D"/>
    <w:rsid w:val="286C6492"/>
    <w:rsid w:val="28C714B1"/>
    <w:rsid w:val="2A270364"/>
    <w:rsid w:val="2B0F281A"/>
    <w:rsid w:val="2E302F44"/>
    <w:rsid w:val="2E852ACB"/>
    <w:rsid w:val="2FA04DA7"/>
    <w:rsid w:val="3304078A"/>
    <w:rsid w:val="35814314"/>
    <w:rsid w:val="370A0339"/>
    <w:rsid w:val="37EA13D7"/>
    <w:rsid w:val="38F652A4"/>
    <w:rsid w:val="39101E40"/>
    <w:rsid w:val="394D3C1F"/>
    <w:rsid w:val="398D772B"/>
    <w:rsid w:val="3B04600B"/>
    <w:rsid w:val="3C5A766D"/>
    <w:rsid w:val="3DF633C5"/>
    <w:rsid w:val="3F7336BE"/>
    <w:rsid w:val="403E5626"/>
    <w:rsid w:val="421F4DB2"/>
    <w:rsid w:val="42315F45"/>
    <w:rsid w:val="43C2396E"/>
    <w:rsid w:val="43F45D3F"/>
    <w:rsid w:val="4427560D"/>
    <w:rsid w:val="44F92119"/>
    <w:rsid w:val="44FF666B"/>
    <w:rsid w:val="453F3756"/>
    <w:rsid w:val="45B85B30"/>
    <w:rsid w:val="470B08DB"/>
    <w:rsid w:val="47BB0605"/>
    <w:rsid w:val="4A3D26DE"/>
    <w:rsid w:val="4A590F64"/>
    <w:rsid w:val="4B9B725E"/>
    <w:rsid w:val="4BBE2AEB"/>
    <w:rsid w:val="4D112DB7"/>
    <w:rsid w:val="4E107352"/>
    <w:rsid w:val="4F366CA4"/>
    <w:rsid w:val="4FDD43E5"/>
    <w:rsid w:val="5503669C"/>
    <w:rsid w:val="55334BA3"/>
    <w:rsid w:val="55992B5C"/>
    <w:rsid w:val="56743E25"/>
    <w:rsid w:val="573F330E"/>
    <w:rsid w:val="57781D9A"/>
    <w:rsid w:val="588069F5"/>
    <w:rsid w:val="58BC148B"/>
    <w:rsid w:val="5A7823F6"/>
    <w:rsid w:val="5AF32D0E"/>
    <w:rsid w:val="5B622E70"/>
    <w:rsid w:val="5BF87DDE"/>
    <w:rsid w:val="5CBD2518"/>
    <w:rsid w:val="5CBD35D4"/>
    <w:rsid w:val="5D1E0517"/>
    <w:rsid w:val="5D7E5D7C"/>
    <w:rsid w:val="5F65097C"/>
    <w:rsid w:val="6005151A"/>
    <w:rsid w:val="61C66BE3"/>
    <w:rsid w:val="631E578B"/>
    <w:rsid w:val="636C18B0"/>
    <w:rsid w:val="66061B48"/>
    <w:rsid w:val="66EB60E4"/>
    <w:rsid w:val="673B4C20"/>
    <w:rsid w:val="67780C2A"/>
    <w:rsid w:val="684543D9"/>
    <w:rsid w:val="6ACD532A"/>
    <w:rsid w:val="6AEC3A9C"/>
    <w:rsid w:val="6B0D652E"/>
    <w:rsid w:val="6B7A2602"/>
    <w:rsid w:val="6D350F65"/>
    <w:rsid w:val="6E813802"/>
    <w:rsid w:val="6F075C45"/>
    <w:rsid w:val="6F39791C"/>
    <w:rsid w:val="6FCD28EE"/>
    <w:rsid w:val="7058190C"/>
    <w:rsid w:val="70DE116B"/>
    <w:rsid w:val="710D7763"/>
    <w:rsid w:val="71D46F9E"/>
    <w:rsid w:val="735D578A"/>
    <w:rsid w:val="76413F06"/>
    <w:rsid w:val="771542E1"/>
    <w:rsid w:val="77E45CCE"/>
    <w:rsid w:val="78267E28"/>
    <w:rsid w:val="796365C3"/>
    <w:rsid w:val="79A232E9"/>
    <w:rsid w:val="7A6A69D0"/>
    <w:rsid w:val="7CFE5817"/>
    <w:rsid w:val="7D513B99"/>
    <w:rsid w:val="7D5E0064"/>
    <w:rsid w:val="7E0C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b/>
      <w:bCs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5862</Words>
  <Characters>7639</Characters>
  <Lines>65</Lines>
  <Paragraphs>18</Paragraphs>
  <TotalTime>0</TotalTime>
  <ScaleCrop>false</ScaleCrop>
  <LinksUpToDate>false</LinksUpToDate>
  <CharactersWithSpaces>7672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2022-01-28T01:17:00Z</dcterms:created>
  <dc:creator>Administrator.SC-201912080908</dc:creator>
  <cp:lastModifiedBy>水手公园</cp:lastModifiedBy>
  <cp:lastPrinted>2022-05-11T01:47:00Z</cp:lastPrinted>
  <dcterms:modified xsi:type="dcterms:W3CDTF">2023-01-11T04:15:56Z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77132B019B4F44A198C8A8022D98F91B</vt:lpwstr>
  </property>
</Properties>
</file>