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Start w:id="0" w:name="_Toc2472470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养老服务领域基层政务公开标准目录</w:t>
      </w:r>
      <w:bookmarkEnd w:id="1"/>
      <w:bookmarkEnd w:id="0"/>
    </w:p>
    <w:tbl>
      <w:tblPr>
        <w:tblStyle w:val="3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文件名称、文号、发文部门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  <w:lang w:eastAsia="zh-CN"/>
              </w:rPr>
              <w:t>发展软环境保障局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管委会网站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■区级、街道政务服务中心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  <w:lang w:eastAsia="zh-CN"/>
              </w:rPr>
              <w:t>发展软环境保障局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管委会网站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■区级、街道政务服务中心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制定或获取扶持补贴政策之日起10个工作日内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  <w:lang w:eastAsia="zh-CN"/>
              </w:rPr>
              <w:t>发展软环境保障局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管委会网站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  <w:lang w:eastAsia="zh-CN"/>
              </w:rPr>
              <w:t>发展软环境保障局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管委会网站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■街道政务服务中心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■社区/村公示栏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《老年人权益保障法》、《养老机构管理办法》、《信息公开条例》及相关规定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  <w:lang w:eastAsia="zh-CN"/>
              </w:rPr>
              <w:t>发展软环境保障局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管委会网站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√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养老服务扶持补贴政策、《信息公开条例》及相关规定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  <w:lang w:eastAsia="zh-CN"/>
              </w:rPr>
              <w:t>发展软环境保障局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管委会网站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《财政部 民政部 全国老龄办关于建立健全经济困难的高龄 失能等老年人补贴制度的通知》、各地相关政策法规文件、《信息公开条例》及相关规定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  <w:lang w:eastAsia="zh-CN"/>
              </w:rPr>
              <w:t>发展软环境保障局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管委会网站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■街道政务服务中心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本行政区域养老机构评估事项（综合评估、标准评定等）申请数量，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《养老机构管理办法》、《养老机构等级划分与评定》、各地相关评估政策、《信息公开条例》及相关规定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  <w:lang w:eastAsia="zh-CN"/>
              </w:rPr>
              <w:t>发展软环境保障局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管委会网站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■区级政务服务中心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√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行政处罚事项及标准、行政处罚结果，行政复议、行政诉讼、监督方式及电话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《老年人权益保障法》、《行政强制法》、《行政处罚法》及其他有关法律、行政法规、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《养老机构管理办法》、各地相关法规、信息公开规定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  <w:lang w:eastAsia="zh-CN"/>
              </w:rPr>
              <w:t>发展软环境保障局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管委会网站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■区级政务服务中心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5EED"/>
    <w:rsid w:val="4ED7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2020-09-09T06:26:00Z</dcterms:created>
  <dc:creator>Administrator</dc:creator>
  <cp:lastModifiedBy>Administrator</cp:lastModifiedBy>
  <dcterms:modified xsi:type="dcterms:W3CDTF">2020-09-09T06:27:09Z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