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0" w:rightChars="-50"/>
        <w:textAlignment w:val="auto"/>
        <w:rPr>
          <w:rFonts w:hint="default" w:ascii="方正黑体简体" w:hAnsi="文星仿宋" w:eastAsia="方正黑体简体" w:cs="方正仿宋简体"/>
          <w:b/>
          <w:bCs/>
          <w:color w:val="auto"/>
          <w:sz w:val="32"/>
          <w:szCs w:val="32"/>
          <w:lang w:val="en-US"/>
        </w:rPr>
      </w:pPr>
      <w:r>
        <w:rPr>
          <w:rFonts w:hint="eastAsia" w:ascii="方正黑体简体" w:hAnsi="文星仿宋" w:eastAsia="方正黑体简体" w:cs="方正仿宋简体"/>
          <w:b/>
          <w:bCs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ascii="方正小标宋简体" w:hAnsi="文星仿宋" w:eastAsia="方正小标宋简体" w:cs="方正仿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/>
          <w:bCs/>
          <w:color w:val="auto"/>
          <w:sz w:val="44"/>
          <w:szCs w:val="44"/>
        </w:rPr>
        <w:t>生活保障类应急物资重点储备品种</w:t>
      </w:r>
    </w:p>
    <w:tbl>
      <w:tblPr>
        <w:tblStyle w:val="3"/>
        <w:tblW w:w="14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3" w:type="dxa"/>
          <w:left w:w="106" w:type="dxa"/>
          <w:bottom w:w="0" w:type="dxa"/>
          <w:right w:w="10" w:type="dxa"/>
        </w:tblCellMar>
      </w:tblPr>
      <w:tblGrid>
        <w:gridCol w:w="1762"/>
        <w:gridCol w:w="1219"/>
        <w:gridCol w:w="2533"/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768" w:hRule="atLeast"/>
          <w:tblHeader/>
          <w:jc w:val="center"/>
        </w:trPr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黑体简体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color w:val="auto"/>
                <w:sz w:val="24"/>
                <w:szCs w:val="24"/>
              </w:rPr>
              <w:t>应急保障类别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黑体简体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color w:val="auto"/>
                <w:sz w:val="24"/>
                <w:szCs w:val="24"/>
              </w:rPr>
              <w:t>（大类）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黑体简体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color w:val="auto"/>
                <w:sz w:val="24"/>
                <w:szCs w:val="24"/>
              </w:rPr>
              <w:t>任务类型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黑体简体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color w:val="auto"/>
                <w:sz w:val="24"/>
                <w:szCs w:val="24"/>
              </w:rPr>
              <w:t>（中类）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黑体简体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color w:val="auto"/>
                <w:sz w:val="24"/>
                <w:szCs w:val="24"/>
              </w:rPr>
              <w:t>作业方式或物资功能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黑体简体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color w:val="auto"/>
                <w:sz w:val="24"/>
                <w:szCs w:val="24"/>
              </w:rPr>
              <w:t>（小类）</w:t>
            </w:r>
          </w:p>
        </w:tc>
        <w:tc>
          <w:tcPr>
            <w:tcW w:w="8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黑体简体" w:eastAsia="方正黑体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黑体简体" w:eastAsia="方正黑体简体"/>
                <w:b/>
                <w:bCs/>
                <w:color w:val="auto"/>
                <w:sz w:val="24"/>
                <w:szCs w:val="24"/>
              </w:rPr>
              <w:t>重点应急物资名称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755" w:hRule="atLeast"/>
          <w:jc w:val="center"/>
        </w:trPr>
        <w:tc>
          <w:tcPr>
            <w:tcW w:w="1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1.现场管理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与保障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1.1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现场安全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1.1.1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现场照明</w:t>
            </w:r>
          </w:p>
        </w:tc>
        <w:tc>
          <w:tcPr>
            <w:tcW w:w="8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手电筒、探照灯、应急灯、移动式升降照明灯组、帐篷灯、蜡烛、荧光棒等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713" w:hRule="atLeast"/>
          <w:jc w:val="center"/>
        </w:trPr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1.2能源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动力保障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1.2.1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应急动力</w:t>
            </w:r>
          </w:p>
        </w:tc>
        <w:tc>
          <w:tcPr>
            <w:tcW w:w="8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燃油发电机组等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2.生命救援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与生活救助</w:t>
            </w:r>
          </w:p>
        </w:tc>
        <w:tc>
          <w:tcPr>
            <w:tcW w:w="12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2.1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人员庇护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2.1.1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临时住宿</w:t>
            </w:r>
          </w:p>
        </w:tc>
        <w:tc>
          <w:tcPr>
            <w:tcW w:w="8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帐篷（单帐篷、棉帐篷、功能性帐篷）、宿营车（轮式、轨式）、移动房屋（组装、集装箱式、轨道式、轮式）、折叠床、蚊帐、棉被、睡袋、火炉、桌椅等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2.1.2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保暖衣物</w:t>
            </w:r>
          </w:p>
        </w:tc>
        <w:tc>
          <w:tcPr>
            <w:tcW w:w="8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棉大衣、防寒服、棉鞋、棉袜、毛毯等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2.1.3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卫生保障</w:t>
            </w:r>
          </w:p>
        </w:tc>
        <w:tc>
          <w:tcPr>
            <w:tcW w:w="8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沐浴车、简易厕所（移动、固定）、垃圾箱（车、船）、洒水车、真空吸污车、垃圾袋、医用污物塑料袋、消毒液、洗洁用品、个人卫生用品等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2.2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饮食保障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2.2.1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食品加工</w:t>
            </w:r>
          </w:p>
        </w:tc>
        <w:tc>
          <w:tcPr>
            <w:tcW w:w="8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炊事车（轮式、轨式）、主副食半成品加工车、移动厨房、野外灶具、炊具、餐具等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2.2.2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饮用水净化</w:t>
            </w:r>
          </w:p>
        </w:tc>
        <w:tc>
          <w:tcPr>
            <w:tcW w:w="8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应急净水车、过滤净化机（器）、水箱、水袋等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2.2.3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粮油食品供应</w:t>
            </w:r>
          </w:p>
        </w:tc>
        <w:tc>
          <w:tcPr>
            <w:tcW w:w="8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面粉、大米、小包装成品粮、方便食品（罐头、压缩食品、真空包装食品）、食用油等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2.2.4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其他食品供应</w:t>
            </w:r>
          </w:p>
        </w:tc>
        <w:tc>
          <w:tcPr>
            <w:tcW w:w="8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肉禽、蛋品、蔬菜、食用盐、其他调味品等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06" w:type="dxa"/>
            <w:bottom w:w="0" w:type="dxa"/>
            <w:right w:w="10" w:type="dxa"/>
          </w:tblCellMar>
        </w:tblPrEx>
        <w:trPr>
          <w:trHeight w:val="687" w:hRule="atLeast"/>
          <w:jc w:val="center"/>
        </w:trPr>
        <w:tc>
          <w:tcPr>
            <w:tcW w:w="1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2.2.5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生活用水供应</w:t>
            </w:r>
          </w:p>
        </w:tc>
        <w:tc>
          <w:tcPr>
            <w:tcW w:w="8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textAlignment w:val="auto"/>
              <w:rPr>
                <w:rFonts w:asci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auto"/>
                <w:sz w:val="24"/>
                <w:szCs w:val="24"/>
              </w:rPr>
              <w:t>应急运水车、瓶装水、桶装水等</w:t>
            </w:r>
          </w:p>
        </w:tc>
      </w:tr>
    </w:tbl>
    <w:p>
      <w:pPr>
        <w:rPr>
          <w:rFonts w:hint="eastAsia" w:ascii="方正黑体简体" w:hAnsi="文星仿宋" w:eastAsia="方正黑体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文星仿宋" w:eastAsia="方正黑体简体" w:cs="方正仿宋简体"/>
          <w:b/>
          <w:bCs/>
          <w:color w:val="auto"/>
          <w:sz w:val="32"/>
          <w:szCs w:val="32"/>
          <w:lang w:val="en-US" w:eastAsia="zh-CN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8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DUyNzNlM2M3Y2YzNTc0ZDE0ZTA1NWY0OTNiNTYifQ=="/>
  </w:docVars>
  <w:rsids>
    <w:rsidRoot w:val="057E191C"/>
    <w:rsid w:val="057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2022-12-29T07:27:00Z</dcterms:created>
  <dc:creator>Administrator</dc:creator>
  <cp:lastModifiedBy>Administrator</cp:lastModifiedBy>
  <dcterms:modified xsi:type="dcterms:W3CDTF">2022-12-29T07:30:41Z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4A19102185E94D09AB61048579BBDF4D</vt:lpwstr>
  </property>
</Properties>
</file>