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济高新管办发〔2023〕1号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2" name="直接连接符 2"/>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JvxE+H4AQAA6AMAAA4AAAAAAAAAAQAgAAAAJAEAAGRycy9lMm9Eb2MueG1s&#10;UEsFBgAAAAAGAAYAWQEAAI4FAAAAAA==&#10;">
                <v:path arrowok="t"/>
                <v:fill on="f" focussize="0,0"/>
                <v:stroke weight="1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简体" w:cs="Times New Roman"/>
          <w:b/>
          <w:bCs/>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简体" w:cs="Times New Roman"/>
          <w:b/>
          <w:bCs/>
          <w:color w:val="000000" w:themeColor="text1"/>
          <w:sz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color w:val="000000" w:themeColor="text1"/>
          <w:kern w:val="2"/>
          <w:sz w:val="44"/>
          <w:szCs w:val="44"/>
          <w:lang w:val="en-US" w:eastAsia="zh-CN" w:bidi="ar-SA"/>
          <w14:textFill>
            <w14:solidFill>
              <w14:schemeClr w14:val="tx1"/>
            </w14:solidFill>
          </w14:textFill>
        </w:rPr>
      </w:pPr>
      <w:r>
        <w:rPr>
          <w:rFonts w:hint="default" w:ascii="Times New Roman" w:hAnsi="Times New Roman" w:eastAsia="方正小标宋简体" w:cs="Times New Roman"/>
          <w:b/>
          <w:bCs/>
          <w:snapToGrid/>
          <w:color w:val="000000" w:themeColor="text1"/>
          <w:kern w:val="2"/>
          <w:sz w:val="44"/>
          <w:szCs w:val="44"/>
          <w:lang w:val="en-US" w:eastAsia="zh-CN" w:bidi="ar-SA"/>
          <w14:textFill>
            <w14:solidFill>
              <w14:schemeClr w14:val="tx1"/>
            </w14:solidFill>
          </w14:textFill>
        </w:rPr>
        <w:t>济宁高新区管委会办公室</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关于公布</w:t>
      </w:r>
      <w:r>
        <w:rPr>
          <w:rFonts w:hint="eastAsia" w:ascii="方正小标宋简体" w:hAnsi="方正小标宋简体" w:eastAsia="方正小标宋简体" w:cs="方正小标宋简体"/>
          <w:b/>
          <w:bCs/>
          <w:color w:val="auto"/>
          <w:sz w:val="44"/>
          <w:szCs w:val="44"/>
          <w:lang w:val="en-US" w:eastAsia="zh-CN"/>
        </w:rPr>
        <w:t>济宁高新区基本养老服务清单</w:t>
      </w:r>
      <w:r>
        <w:rPr>
          <w:rFonts w:hint="eastAsia" w:ascii="方正小标宋简体" w:hAnsi="方正小标宋简体" w:eastAsia="方正小标宋简体" w:cs="方正小标宋简体"/>
          <w:b/>
          <w:bCs/>
          <w:sz w:val="44"/>
          <w:szCs w:val="44"/>
          <w:lang w:val="en-US" w:eastAsia="zh-CN"/>
        </w:rPr>
        <w:t>的</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rPr>
        <w:t>各街道办事处，区直各部门单位，各驻区单位，各区管国有企业</w:t>
      </w:r>
      <w:r>
        <w:rPr>
          <w:rFonts w:hint="eastAsia" w:ascii="方正仿宋简体" w:hAnsi="方正仿宋简体" w:eastAsia="方正仿宋简体" w:cs="方正仿宋简体"/>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简体" w:hAnsi="方正仿宋简体" w:eastAsia="方正仿宋简体" w:cs="方正仿宋简体"/>
          <w:b/>
          <w:color w:val="auto"/>
          <w:sz w:val="32"/>
          <w:szCs w:val="32"/>
        </w:rPr>
      </w:pPr>
      <w:r>
        <w:rPr>
          <w:rFonts w:hint="eastAsia" w:ascii="方正仿宋简体" w:hAnsi="方正仿宋简体" w:eastAsia="方正仿宋简体" w:cs="方正仿宋简体"/>
          <w:b/>
          <w:sz w:val="32"/>
          <w:szCs w:val="32"/>
        </w:rPr>
        <w:t>根据《</w:t>
      </w:r>
      <w:r>
        <w:rPr>
          <w:rFonts w:hint="eastAsia" w:ascii="方正仿宋简体" w:hAnsi="方正仿宋简体" w:eastAsia="方正仿宋简体" w:cs="方正仿宋简体"/>
          <w:b/>
          <w:sz w:val="32"/>
          <w:szCs w:val="32"/>
          <w:lang w:val="en-US" w:eastAsia="zh-CN"/>
        </w:rPr>
        <w:t>济宁市</w:t>
      </w:r>
      <w:r>
        <w:rPr>
          <w:rFonts w:hint="eastAsia" w:ascii="方正仿宋简体" w:hAnsi="方正仿宋简体" w:eastAsia="方正仿宋简体" w:cs="方正仿宋简体"/>
          <w:b/>
          <w:sz w:val="32"/>
          <w:szCs w:val="32"/>
          <w:lang w:eastAsia="zh-CN"/>
        </w:rPr>
        <w:t>人民政府</w:t>
      </w:r>
      <w:r>
        <w:rPr>
          <w:rFonts w:hint="eastAsia" w:ascii="方正仿宋简体" w:hAnsi="方正仿宋简体" w:eastAsia="方正仿宋简体" w:cs="方正仿宋简体"/>
          <w:b/>
          <w:sz w:val="32"/>
          <w:szCs w:val="32"/>
          <w:lang w:val="en-US" w:eastAsia="zh-CN"/>
        </w:rPr>
        <w:t>办公室</w:t>
      </w:r>
      <w:r>
        <w:rPr>
          <w:rFonts w:hint="eastAsia" w:ascii="方正仿宋简体" w:hAnsi="方正仿宋简体" w:eastAsia="方正仿宋简体" w:cs="方正仿宋简体"/>
          <w:b/>
          <w:sz w:val="32"/>
          <w:szCs w:val="32"/>
          <w:lang w:eastAsia="zh-CN"/>
        </w:rPr>
        <w:t>关于推进基本养老服务体系建设的实施意见</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val="en-US" w:eastAsia="zh-CN"/>
        </w:rPr>
        <w:t>济</w:t>
      </w:r>
      <w:r>
        <w:rPr>
          <w:rFonts w:hint="eastAsia" w:ascii="方正仿宋简体" w:hAnsi="方正仿宋简体" w:eastAsia="方正仿宋简体" w:cs="方正仿宋简体"/>
          <w:b/>
          <w:sz w:val="32"/>
          <w:szCs w:val="32"/>
        </w:rPr>
        <w:t>政办发〔202</w:t>
      </w:r>
      <w:r>
        <w:rPr>
          <w:rFonts w:hint="eastAsia" w:ascii="方正仿宋简体" w:hAnsi="方正仿宋简体" w:eastAsia="方正仿宋简体" w:cs="方正仿宋简体"/>
          <w:b/>
          <w:sz w:val="32"/>
          <w:szCs w:val="32"/>
          <w:lang w:val="en-US" w:eastAsia="zh-CN"/>
        </w:rPr>
        <w:t>3</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val="en-US" w:eastAsia="zh-CN"/>
        </w:rPr>
        <w:t>2</w:t>
      </w:r>
      <w:r>
        <w:rPr>
          <w:rFonts w:hint="eastAsia" w:ascii="方正仿宋简体" w:hAnsi="方正仿宋简体" w:eastAsia="方正仿宋简体" w:cs="方正仿宋简体"/>
          <w:b/>
          <w:sz w:val="32"/>
          <w:szCs w:val="32"/>
        </w:rPr>
        <w:t>号）</w:t>
      </w:r>
      <w:r>
        <w:rPr>
          <w:rFonts w:hint="eastAsia" w:ascii="方正仿宋简体" w:hAnsi="方正仿宋简体" w:eastAsia="方正仿宋简体" w:cs="方正仿宋简体"/>
          <w:b/>
          <w:sz w:val="32"/>
          <w:szCs w:val="32"/>
          <w:lang w:val="en-US" w:eastAsia="zh-CN"/>
        </w:rPr>
        <w:t>精神和要求</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color w:val="auto"/>
          <w:sz w:val="32"/>
          <w:szCs w:val="32"/>
        </w:rPr>
        <w:t>结合</w:t>
      </w:r>
      <w:r>
        <w:rPr>
          <w:rFonts w:hint="eastAsia" w:ascii="方正仿宋简体" w:hAnsi="方正仿宋简体" w:eastAsia="方正仿宋简体" w:cs="方正仿宋简体"/>
          <w:b/>
          <w:color w:val="auto"/>
          <w:sz w:val="32"/>
          <w:szCs w:val="32"/>
          <w:lang w:val="en-US" w:eastAsia="zh-CN"/>
        </w:rPr>
        <w:t>高新区实际，经区管委会同意，制定了</w:t>
      </w:r>
      <w:r>
        <w:rPr>
          <w:rFonts w:hint="eastAsia" w:ascii="方正仿宋简体" w:hAnsi="方正仿宋简体" w:eastAsia="方正仿宋简体" w:cs="方正仿宋简体"/>
          <w:b/>
          <w:color w:val="auto"/>
          <w:sz w:val="32"/>
          <w:szCs w:val="32"/>
        </w:rPr>
        <w:t>《</w:t>
      </w:r>
      <w:r>
        <w:rPr>
          <w:rFonts w:hint="eastAsia" w:ascii="方正仿宋简体" w:hAnsi="方正仿宋简体" w:eastAsia="方正仿宋简体" w:cs="方正仿宋简体"/>
          <w:b/>
          <w:color w:val="auto"/>
          <w:sz w:val="32"/>
          <w:szCs w:val="32"/>
          <w:lang w:val="en-US" w:eastAsia="zh-CN"/>
        </w:rPr>
        <w:t>济宁高新区</w:t>
      </w:r>
      <w:r>
        <w:rPr>
          <w:rFonts w:hint="eastAsia" w:ascii="方正仿宋简体" w:hAnsi="方正仿宋简体" w:eastAsia="方正仿宋简体" w:cs="方正仿宋简体"/>
          <w:b/>
          <w:color w:val="auto"/>
          <w:sz w:val="32"/>
          <w:szCs w:val="32"/>
        </w:rPr>
        <w:t>基本养老服务清单》，</w:t>
      </w:r>
      <w:r>
        <w:rPr>
          <w:rFonts w:hint="eastAsia" w:ascii="方正仿宋简体" w:hAnsi="方正仿宋简体" w:eastAsia="方正仿宋简体" w:cs="方正仿宋简体"/>
          <w:b/>
          <w:color w:val="auto"/>
          <w:sz w:val="32"/>
          <w:szCs w:val="32"/>
          <w:lang w:val="en-US" w:eastAsia="zh-CN"/>
        </w:rPr>
        <w:t>现予以公布，</w:t>
      </w:r>
      <w:r>
        <w:rPr>
          <w:rFonts w:hint="eastAsia" w:ascii="方正仿宋简体" w:hAnsi="方正仿宋简体" w:eastAsia="方正仿宋简体" w:cs="方正仿宋简体"/>
          <w:b/>
          <w:color w:val="auto"/>
          <w:sz w:val="32"/>
          <w:szCs w:val="32"/>
          <w:lang w:eastAsia="zh-CN"/>
        </w:rPr>
        <w:t>请</w:t>
      </w:r>
      <w:r>
        <w:rPr>
          <w:rFonts w:hint="eastAsia" w:ascii="方正仿宋简体" w:hAnsi="方正仿宋简体" w:eastAsia="方正仿宋简体" w:cs="方正仿宋简体"/>
          <w:b/>
          <w:color w:val="auto"/>
          <w:sz w:val="32"/>
          <w:szCs w:val="32"/>
          <w:lang w:val="en-US" w:eastAsia="zh-CN"/>
        </w:rPr>
        <w:t>认真</w:t>
      </w:r>
      <w:r>
        <w:rPr>
          <w:rFonts w:hint="eastAsia" w:ascii="方正仿宋简体" w:hAnsi="方正仿宋简体" w:eastAsia="方正仿宋简体" w:cs="方正仿宋简体"/>
          <w:b/>
          <w:color w:val="auto"/>
          <w:sz w:val="32"/>
          <w:szCs w:val="32"/>
          <w:lang w:eastAsia="zh-CN"/>
        </w:rPr>
        <w:t>贯彻</w:t>
      </w:r>
      <w:r>
        <w:rPr>
          <w:rFonts w:hint="eastAsia" w:ascii="方正仿宋简体" w:hAnsi="方正仿宋简体" w:eastAsia="方正仿宋简体" w:cs="方正仿宋简体"/>
          <w:b/>
          <w:color w:val="auto"/>
          <w:sz w:val="32"/>
          <w:szCs w:val="32"/>
          <w:lang w:val="en-US" w:eastAsia="zh-CN"/>
        </w:rPr>
        <w:t>落实</w:t>
      </w:r>
      <w:r>
        <w:rPr>
          <w:rFonts w:hint="eastAsia" w:ascii="方正仿宋简体" w:hAnsi="方正仿宋简体" w:eastAsia="方正仿宋简体" w:cs="方正仿宋简体"/>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lang w:val="en-US" w:eastAsia="zh-CN"/>
        </w:rPr>
      </w:pP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各街道、各有关部门单位要聚焦基本养老服务体系建设，认真落实</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val="en-US" w:eastAsia="zh-CN"/>
        </w:rPr>
        <w:t>济宁市</w:t>
      </w:r>
      <w:r>
        <w:rPr>
          <w:rFonts w:hint="eastAsia" w:ascii="方正仿宋简体" w:hAnsi="方正仿宋简体" w:eastAsia="方正仿宋简体" w:cs="方正仿宋简体"/>
          <w:b/>
          <w:sz w:val="32"/>
          <w:szCs w:val="32"/>
          <w:lang w:eastAsia="zh-CN"/>
        </w:rPr>
        <w:t>人民政府</w:t>
      </w:r>
      <w:r>
        <w:rPr>
          <w:rFonts w:hint="eastAsia" w:ascii="方正仿宋简体" w:hAnsi="方正仿宋简体" w:eastAsia="方正仿宋简体" w:cs="方正仿宋简体"/>
          <w:b/>
          <w:sz w:val="32"/>
          <w:szCs w:val="32"/>
          <w:lang w:val="en-US" w:eastAsia="zh-CN"/>
        </w:rPr>
        <w:t>办公室</w:t>
      </w:r>
      <w:r>
        <w:rPr>
          <w:rFonts w:hint="eastAsia" w:ascii="方正仿宋简体" w:hAnsi="方正仿宋简体" w:eastAsia="方正仿宋简体" w:cs="方正仿宋简体"/>
          <w:b/>
          <w:sz w:val="32"/>
          <w:szCs w:val="32"/>
          <w:lang w:eastAsia="zh-CN"/>
        </w:rPr>
        <w:t>关于推进基本养老服务体系建设的实施意见</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val="en-US" w:eastAsia="zh-CN"/>
        </w:rPr>
        <w:t>济</w:t>
      </w:r>
      <w:r>
        <w:rPr>
          <w:rFonts w:hint="eastAsia" w:ascii="方正仿宋简体" w:hAnsi="方正仿宋简体" w:eastAsia="方正仿宋简体" w:cs="方正仿宋简体"/>
          <w:b/>
          <w:sz w:val="32"/>
          <w:szCs w:val="32"/>
        </w:rPr>
        <w:t>政办发〔202</w:t>
      </w:r>
      <w:r>
        <w:rPr>
          <w:rFonts w:hint="eastAsia" w:ascii="方正仿宋简体" w:hAnsi="方正仿宋简体" w:eastAsia="方正仿宋简体" w:cs="方正仿宋简体"/>
          <w:b/>
          <w:sz w:val="32"/>
          <w:szCs w:val="32"/>
          <w:lang w:val="en-US" w:eastAsia="zh-CN"/>
        </w:rPr>
        <w:t>3</w:t>
      </w:r>
      <w:r>
        <w:rPr>
          <w:rFonts w:hint="eastAsia" w:ascii="方正仿宋简体" w:hAnsi="方正仿宋简体" w:eastAsia="方正仿宋简体" w:cs="方正仿宋简体"/>
          <w:b/>
          <w:sz w:val="32"/>
          <w:szCs w:val="32"/>
        </w:rPr>
        <w:t>〕</w:t>
      </w:r>
      <w:r>
        <w:rPr>
          <w:rFonts w:hint="eastAsia" w:ascii="方正仿宋简体" w:hAnsi="方正仿宋简体" w:eastAsia="方正仿宋简体" w:cs="方正仿宋简体"/>
          <w:b/>
          <w:sz w:val="32"/>
          <w:szCs w:val="32"/>
          <w:lang w:val="en-US" w:eastAsia="zh-CN"/>
        </w:rPr>
        <w:t>2</w:t>
      </w:r>
      <w:r>
        <w:rPr>
          <w:rFonts w:hint="eastAsia" w:ascii="方正仿宋简体" w:hAnsi="方正仿宋简体" w:eastAsia="方正仿宋简体" w:cs="方正仿宋简体"/>
          <w:b/>
          <w:sz w:val="32"/>
          <w:szCs w:val="32"/>
        </w:rPr>
        <w:t>号）</w:t>
      </w:r>
      <w:r>
        <w:rPr>
          <w:rFonts w:hint="eastAsia" w:ascii="方正仿宋简体" w:hAnsi="方正仿宋简体" w:eastAsia="方正仿宋简体" w:cs="方正仿宋简体"/>
          <w:b/>
          <w:sz w:val="32"/>
          <w:szCs w:val="32"/>
          <w:lang w:val="en-US" w:eastAsia="zh-CN"/>
        </w:rPr>
        <w:t>各项部署要求，</w:t>
      </w: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统筹要素资源，加强探索创新，打造高新特色发展模式。要积极争取入选区域养老服务体系创新示范区，争创国家居家和社区养老服务提升工程项目，打造区域养老服务发展高地。</w:t>
      </w: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jc w:val="both"/>
        <w:textAlignment w:val="auto"/>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498" w:firstLineChars="1400"/>
        <w:jc w:val="both"/>
        <w:textAlignment w:val="auto"/>
        <w:rPr>
          <w:rFonts w:hint="default"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pP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firstLine="5182" w:firstLineChars="1613"/>
        <w:jc w:val="both"/>
        <w:textAlignment w:val="auto"/>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pP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2023年5月31日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sectPr>
          <w:footerReference r:id="rId5" w:type="default"/>
          <w:pgSz w:w="11906" w:h="16838"/>
          <w:pgMar w:top="2098" w:right="1474" w:bottom="1984" w:left="1587" w:header="851" w:footer="1587" w:gutter="0"/>
          <w:pgNumType w:fmt="numberInDash"/>
          <w:cols w:space="425" w:num="1"/>
          <w:docGrid w:type="lines" w:linePitch="312" w:charSpace="0"/>
        </w:sectPr>
      </w:pPr>
      <w:r>
        <w:rPr>
          <w:rFonts w:hint="eastAsia" w:ascii="方正仿宋简体" w:hAnsi="方正仿宋简体" w:eastAsia="方正仿宋简体" w:cs="方正仿宋简体"/>
          <w:b/>
          <w:bCs/>
          <w:snapToGrid/>
          <w:color w:val="000000" w:themeColor="text1"/>
          <w:kern w:val="2"/>
          <w:sz w:val="32"/>
          <w:szCs w:val="32"/>
          <w:highlight w:val="none"/>
          <w:lang w:val="en-US" w:eastAsia="zh-CN" w:bidi="ar-SA"/>
          <w14:textFill>
            <w14:solidFill>
              <w14:schemeClr w14:val="tx1"/>
            </w14:solidFill>
          </w14:textFill>
        </w:rPr>
        <w:t>（此件公开发布）</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baseline"/>
        <w:rPr>
          <w:rFonts w:hint="eastAsia" w:ascii="方正小标宋简体" w:hAnsi="文星仿宋" w:eastAsia="方正小标宋简体" w:cs="方正仿宋简体"/>
          <w:b/>
          <w:snapToGrid/>
          <w:color w:val="000000"/>
          <w:kern w:val="21"/>
          <w:sz w:val="44"/>
          <w:szCs w:val="44"/>
        </w:rPr>
      </w:pPr>
      <w:r>
        <w:rPr>
          <w:rFonts w:hint="eastAsia" w:ascii="方正小标宋简体" w:hAnsi="文星仿宋" w:eastAsia="方正小标宋简体" w:cs="方正仿宋简体"/>
          <w:b/>
          <w:snapToGrid/>
          <w:color w:val="000000"/>
          <w:kern w:val="21"/>
          <w:sz w:val="44"/>
          <w:szCs w:val="44"/>
          <w:lang w:val="en-US" w:eastAsia="zh-CN"/>
        </w:rPr>
        <w:t>济宁高新区</w:t>
      </w:r>
      <w:r>
        <w:rPr>
          <w:rFonts w:hint="eastAsia" w:ascii="方正小标宋简体" w:hAnsi="文星仿宋" w:eastAsia="方正小标宋简体" w:cs="方正仿宋简体"/>
          <w:b/>
          <w:snapToGrid/>
          <w:color w:val="000000"/>
          <w:kern w:val="21"/>
          <w:sz w:val="44"/>
          <w:szCs w:val="44"/>
        </w:rPr>
        <w:t>基本养老服务清单</w:t>
      </w:r>
    </w:p>
    <w:tbl>
      <w:tblPr>
        <w:tblStyle w:val="8"/>
        <w:tblW w:w="13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547"/>
        <w:gridCol w:w="1481"/>
        <w:gridCol w:w="4776"/>
        <w:gridCol w:w="2803"/>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黑体简体" w:hAnsi="黑体" w:eastAsia="方正黑体简体"/>
                <w:b/>
                <w:sz w:val="24"/>
                <w:szCs w:val="24"/>
              </w:rPr>
            </w:pPr>
            <w:r>
              <w:rPr>
                <w:rFonts w:hint="eastAsia" w:ascii="方正黑体简体" w:hAnsi="黑体" w:eastAsia="方正黑体简体"/>
                <w:b/>
                <w:sz w:val="24"/>
                <w:szCs w:val="24"/>
              </w:rPr>
              <w:t>服务对象</w:t>
            </w:r>
          </w:p>
        </w:tc>
        <w:tc>
          <w:tcPr>
            <w:tcW w:w="20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黑体简体" w:hAnsi="黑体" w:eastAsia="方正黑体简体"/>
                <w:b/>
                <w:sz w:val="24"/>
                <w:szCs w:val="24"/>
              </w:rPr>
            </w:pPr>
            <w:r>
              <w:rPr>
                <w:rFonts w:hint="eastAsia" w:ascii="方正黑体简体" w:hAnsi="黑体" w:eastAsia="方正黑体简体"/>
                <w:b/>
                <w:sz w:val="24"/>
                <w:szCs w:val="24"/>
              </w:rPr>
              <w:t>服务项目</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黑体简体" w:hAnsi="黑体" w:eastAsia="方正黑体简体"/>
                <w:b/>
                <w:sz w:val="24"/>
                <w:szCs w:val="24"/>
              </w:rPr>
            </w:pPr>
            <w:r>
              <w:rPr>
                <w:rFonts w:hint="eastAsia" w:ascii="方正黑体简体" w:hAnsi="黑体" w:eastAsia="方正黑体简体"/>
                <w:b/>
                <w:sz w:val="24"/>
                <w:szCs w:val="24"/>
              </w:rPr>
              <w:t>服务内容及标准</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黑体简体" w:hAnsi="黑体" w:eastAsia="方正黑体简体"/>
                <w:b/>
                <w:sz w:val="24"/>
                <w:szCs w:val="24"/>
              </w:rPr>
            </w:pPr>
            <w:r>
              <w:rPr>
                <w:rFonts w:hint="eastAsia" w:ascii="方正黑体简体" w:hAnsi="黑体" w:eastAsia="方正黑体简体"/>
                <w:b/>
                <w:sz w:val="24"/>
                <w:szCs w:val="24"/>
              </w:rPr>
              <w:t>牵头责任部门</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黑体简体" w:hAnsi="黑体" w:eastAsia="方正黑体简体"/>
                <w:b/>
                <w:sz w:val="24"/>
                <w:szCs w:val="24"/>
                <w:lang w:val="en-US" w:eastAsia="zh-CN"/>
              </w:rPr>
            </w:pPr>
            <w:r>
              <w:rPr>
                <w:rFonts w:hint="eastAsia" w:ascii="方正黑体简体" w:hAnsi="黑体" w:eastAsia="方正黑体简体"/>
                <w:b/>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60周岁及以上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职工基本养老保险</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对符合条件的参保老年人按时足额发放基本养老金。</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color w:val="auto"/>
                <w:kern w:val="2"/>
                <w:sz w:val="24"/>
                <w:szCs w:val="24"/>
                <w:lang w:val="en-US" w:eastAsia="zh-CN" w:bidi="ar-SA"/>
              </w:rPr>
            </w:pPr>
            <w:r>
              <w:rPr>
                <w:rFonts w:hint="eastAsia" w:ascii="方正仿宋简体" w:hAnsi="宋体" w:eastAsia="方正仿宋简体" w:cs="Times New Roman"/>
                <w:b/>
                <w:color w:val="auto"/>
                <w:kern w:val="2"/>
                <w:sz w:val="24"/>
                <w:szCs w:val="24"/>
                <w:lang w:val="en-US" w:eastAsia="zh-CN" w:bidi="ar-SA"/>
              </w:rPr>
              <w:t>市人力资源</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仿宋简体" w:eastAsia="方正仿宋简体"/>
                <w:b/>
                <w:color w:val="auto"/>
                <w:sz w:val="24"/>
                <w:szCs w:val="24"/>
                <w:lang w:val="en-US" w:eastAsia="zh-CN"/>
              </w:rPr>
            </w:pPr>
            <w:r>
              <w:rPr>
                <w:rFonts w:hint="eastAsia" w:ascii="方正仿宋简体" w:hAnsi="宋体" w:eastAsia="方正仿宋简体" w:cs="Times New Roman"/>
                <w:b/>
                <w:color w:val="auto"/>
                <w:kern w:val="2"/>
                <w:sz w:val="24"/>
                <w:szCs w:val="24"/>
                <w:lang w:val="en-US" w:eastAsia="zh-CN" w:bidi="ar-SA"/>
              </w:rPr>
              <w:t>社会保障局</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baseline"/>
              <w:rPr>
                <w:rFonts w:hint="default" w:ascii="方正仿宋简体" w:hAnsi="宋体" w:eastAsia="方正仿宋简体" w:cs="Times New Roman"/>
                <w:b/>
                <w:sz w:val="24"/>
                <w:szCs w:val="24"/>
                <w:lang w:val="en-US" w:eastAsia="zh-CN"/>
              </w:rPr>
            </w:pPr>
            <w:r>
              <w:rPr>
                <w:rFonts w:hint="eastAsia" w:ascii="方正仿宋简体" w:hAnsi="宋体" w:eastAsia="方正仿宋简体" w:cs="Times New Roman"/>
                <w:b/>
                <w:sz w:val="24"/>
                <w:szCs w:val="24"/>
                <w:lang w:val="en-US" w:eastAsia="zh-CN"/>
              </w:rPr>
              <w:t>高新区无此项职能，由济宁市社会保险事业中心经办。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exac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城乡居民基本养老保险</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left"/>
              <w:textAlignment w:val="baseline"/>
            </w:pPr>
            <w:r>
              <w:rPr>
                <w:rFonts w:hint="eastAsia" w:ascii="方正仿宋简体" w:hAnsi="宋体" w:eastAsia="方正仿宋简体" w:cs="Times New Roman"/>
                <w:b/>
                <w:sz w:val="24"/>
                <w:szCs w:val="24"/>
              </w:rPr>
              <w:t>对符合条件的参保老年人发放基础养老金和个人账户养老金。</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人力资源部</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zh-CN" w:eastAsia="zh-CN"/>
              </w:rPr>
            </w:pPr>
            <w:r>
              <w:rPr>
                <w:rFonts w:hint="eastAsia" w:ascii="方正仿宋简体" w:hAnsi="宋体" w:eastAsia="方正仿宋简体" w:cs="Times New Roman"/>
                <w:b/>
                <w:color w:val="auto"/>
                <w:kern w:val="2"/>
                <w:sz w:val="24"/>
                <w:szCs w:val="24"/>
                <w:lang w:val="en-US" w:eastAsia="zh-CN" w:bidi="ar-SA"/>
              </w:rPr>
              <w:t>（社会保障处）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3</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lang w:val="en-US" w:eastAsia="zh-CN"/>
              </w:rPr>
            </w:pPr>
            <w:r>
              <w:rPr>
                <w:rFonts w:hint="eastAsia" w:ascii="方正仿宋简体" w:hAnsi="宋体" w:eastAsia="方正仿宋简体"/>
                <w:b/>
                <w:sz w:val="24"/>
                <w:szCs w:val="24"/>
              </w:rPr>
              <w:t>就医便利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优先就诊、化验、检查、交费、取药，需要住院的，优先安排住院。</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仿宋简体" w:hAnsi="仿宋_GB2312" w:eastAsia="方正仿宋简体" w:cs="仿宋_GB2312"/>
                <w:b/>
                <w:color w:val="auto"/>
                <w:kern w:val="0"/>
                <w:sz w:val="24"/>
                <w:szCs w:val="24"/>
                <w:lang w:val="en-US" w:eastAsia="zh-CN" w:bidi="zh-CN"/>
              </w:rPr>
            </w:pPr>
            <w:r>
              <w:rPr>
                <w:rFonts w:hint="eastAsia" w:ascii="方正仿宋简体" w:eastAsia="方正仿宋简体"/>
                <w:b/>
                <w:color w:val="auto"/>
                <w:sz w:val="24"/>
                <w:szCs w:val="24"/>
                <w:lang w:val="en-US" w:eastAsia="zh-CN"/>
              </w:rPr>
              <w:t>（卫生健康处）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4</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自愿随子女迁移户口</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按照有关政策规定办理随子女迁移户口手续，依法依规享受迁入地基本公共服务。</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公安分局</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5</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乘坐城市公共交通工具</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免费乘坐城市公共交通工具。</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城乡建设和交通局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（交通）</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6</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参观公园和旅游景区</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hint="eastAsia" w:ascii="方正仿宋简体" w:hAnsi="宋体" w:eastAsia="方正仿宋简体" w:cs="Times New Roman"/>
                <w:b/>
                <w:color w:val="auto"/>
                <w:sz w:val="24"/>
                <w:szCs w:val="24"/>
              </w:rPr>
            </w:pPr>
            <w:r>
              <w:rPr>
                <w:rFonts w:hint="eastAsia" w:ascii="方正仿宋简体" w:hAnsi="宋体" w:eastAsia="方正仿宋简体" w:cs="Times New Roman"/>
                <w:b/>
                <w:color w:val="auto"/>
                <w:sz w:val="24"/>
                <w:szCs w:val="24"/>
              </w:rPr>
              <w:t>政府兴办或支持的公园、旅游景区免购门票；社会力量兴办的公园、旅游景区，70周岁以上免购门票，不满70周岁半价购买门票；半价乘坐政府投资建设的国有景区内的观光车、缆车等代步工具。</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color w:val="auto"/>
                <w:sz w:val="24"/>
                <w:szCs w:val="24"/>
                <w:lang w:val="en-US" w:eastAsia="zh-CN"/>
              </w:rPr>
            </w:pPr>
            <w:r>
              <w:rPr>
                <w:rFonts w:hint="eastAsia" w:ascii="方正仿宋简体" w:hAnsi="仿宋_GB2312" w:eastAsia="方正仿宋简体" w:cs="仿宋_GB2312"/>
                <w:b/>
                <w:color w:val="auto"/>
                <w:kern w:val="0"/>
                <w:sz w:val="24"/>
                <w:szCs w:val="24"/>
                <w:lang w:val="en-US" w:eastAsia="zh-CN" w:bidi="zh-CN"/>
              </w:rPr>
              <w:t>经济发展局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color w:val="auto"/>
                <w:sz w:val="24"/>
                <w:szCs w:val="24"/>
                <w:lang w:val="en-US" w:eastAsia="zh-CN"/>
              </w:rPr>
            </w:pPr>
            <w:r>
              <w:rPr>
                <w:rFonts w:hint="eastAsia" w:ascii="方正仿宋简体" w:hAnsi="宋体" w:eastAsia="方正仿宋简体" w:cs="Times New Roman"/>
                <w:b/>
                <w:color w:val="auto"/>
                <w:sz w:val="24"/>
                <w:szCs w:val="24"/>
                <w:lang w:val="en-US" w:eastAsia="zh-CN"/>
              </w:rPr>
              <w:t>城乡建设和交通局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仿宋简体" w:hAnsi="宋体" w:eastAsia="方正仿宋简体" w:cs="Times New Roman"/>
                <w:b/>
                <w:color w:val="auto"/>
                <w:sz w:val="24"/>
                <w:szCs w:val="24"/>
                <w:lang w:val="en-US" w:eastAsia="zh-CN"/>
              </w:rPr>
            </w:pPr>
            <w:r>
              <w:rPr>
                <w:rFonts w:hint="eastAsia" w:ascii="方正仿宋简体" w:hAnsi="宋体" w:eastAsia="方正仿宋简体" w:cs="Times New Roman"/>
                <w:b/>
                <w:color w:val="auto"/>
                <w:sz w:val="24"/>
                <w:szCs w:val="24"/>
                <w:lang w:val="en-US" w:eastAsia="zh-CN"/>
              </w:rPr>
              <w:t>蓼河新区管委会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color w:val="auto"/>
                <w:sz w:val="24"/>
                <w:szCs w:val="24"/>
                <w:lang w:val="zh-CN" w:eastAsia="zh-CN"/>
              </w:rPr>
            </w:pPr>
            <w:r>
              <w:rPr>
                <w:rFonts w:hint="eastAsia" w:ascii="方正仿宋简体" w:hAnsi="宋体" w:eastAsia="方正仿宋简体" w:cs="Times New Roman"/>
                <w:b/>
                <w:color w:val="auto"/>
                <w:sz w:val="24"/>
                <w:szCs w:val="24"/>
                <w:lang w:val="en-US" w:eastAsia="zh-CN"/>
              </w:rPr>
              <w:t>党政办公室（宣传）</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7</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进入公共文化设施</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免费进入公共文化馆、图书馆、博物馆、美术馆、展览馆、纪念馆等场所。</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党政办公室（宣传）</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8</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使用公共</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体育设施</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按照时段免费或半价进入政府兴办或支持的公共体育健身场所健身。</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（教体工作处）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65周岁及以上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黑体" w:eastAsia="方正仿宋简体"/>
                <w:b/>
                <w:sz w:val="24"/>
                <w:szCs w:val="24"/>
              </w:rPr>
            </w:pPr>
            <w:r>
              <w:rPr>
                <w:rFonts w:hint="eastAsia" w:ascii="方正仿宋简体" w:hAnsi="宋体" w:eastAsia="方正仿宋简体"/>
                <w:b/>
                <w:sz w:val="24"/>
                <w:szCs w:val="24"/>
              </w:rPr>
              <w:t>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9</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法律诉讼</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老年人因其合法权益受侵害提起诉讼交纳诉讼费确有困难的，可以缓交、减交或者免交；需要获得法律服务，因经济困难没有委托代理人的，可以依法</w:t>
            </w:r>
            <w:r>
              <w:rPr>
                <w:rFonts w:hint="eastAsia" w:ascii="方正仿宋简体" w:hAnsi="宋体" w:eastAsia="方正仿宋简体" w:cs="Times New Roman"/>
                <w:b/>
                <w:sz w:val="24"/>
                <w:szCs w:val="24"/>
                <w:lang w:val="en-US" w:eastAsia="zh-CN"/>
              </w:rPr>
              <w:t>协助申请</w:t>
            </w:r>
            <w:r>
              <w:rPr>
                <w:rFonts w:hint="eastAsia" w:ascii="方正仿宋简体" w:hAnsi="宋体" w:eastAsia="方正仿宋简体"/>
                <w:b/>
                <w:sz w:val="24"/>
                <w:szCs w:val="24"/>
              </w:rPr>
              <w:t>法律援助。</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法院</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仿宋简体" w:hAnsi="仿宋_GB2312" w:eastAsia="方正仿宋简体" w:cs="仿宋_GB2312"/>
                <w:b/>
                <w:color w:val="auto"/>
                <w:kern w:val="0"/>
                <w:sz w:val="24"/>
                <w:szCs w:val="24"/>
                <w:lang w:val="en-US" w:eastAsia="zh-CN" w:bidi="zh-CN"/>
              </w:rPr>
            </w:pPr>
            <w:r>
              <w:rPr>
                <w:rFonts w:hint="eastAsia" w:ascii="方正仿宋简体" w:eastAsia="方正仿宋简体"/>
                <w:b/>
                <w:color w:val="auto"/>
                <w:sz w:val="24"/>
                <w:szCs w:val="24"/>
                <w:lang w:val="en-US" w:eastAsia="zh-CN"/>
              </w:rPr>
              <w:t>党政办公室（政法)</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10</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老年人能力综合评估</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为65周岁及以上老年人提供能力综合评估，做好老年人能力综合评估与健康状况评估的衔接。</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11</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健康管理</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每年提供1次免费健康管理服务，建立健康档案，包括生活方式和健康状况评估、体格检查、辅助检查和健康指导等。</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（卫生健康处）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80周岁及以上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12</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高龄津贴</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按规定向80周岁及以上老年人发放高龄津贴，百岁以上老年人每人每月</w:t>
            </w:r>
            <w:r>
              <w:rPr>
                <w:rFonts w:hint="eastAsia" w:ascii="方正仿宋简体" w:hAnsi="宋体" w:eastAsia="方正仿宋简体" w:cs="Times New Roman"/>
                <w:b/>
                <w:color w:val="000000"/>
                <w:sz w:val="24"/>
                <w:szCs w:val="24"/>
                <w:lang w:val="en-US" w:eastAsia="zh-CN"/>
              </w:rPr>
              <w:t>500</w:t>
            </w:r>
            <w:r>
              <w:rPr>
                <w:rFonts w:hint="eastAsia" w:ascii="方正仿宋简体" w:hAnsi="宋体" w:eastAsia="方正仿宋简体"/>
                <w:b/>
                <w:color w:val="000000"/>
                <w:sz w:val="24"/>
                <w:szCs w:val="24"/>
              </w:rPr>
              <w:t>元。</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（卫生健康处）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特困老年人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13</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分散供养</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对选择在家供养的特困老年人，依照有关规定给予分散供养，提供基本生活条件、疾病治疗、办理丧葬事宜等，基本生活标准不低于当地最低生活保障标准的1.3倍，对生活不能自理的给予照料。</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kern w:val="2"/>
                <w:sz w:val="24"/>
                <w:szCs w:val="24"/>
                <w:lang w:val="en-US" w:eastAsia="zh-CN" w:bidi="ar-SA"/>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14</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集中供养</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对需要集中供养的特困老年人，安排到相应的供养服务机构集中供养，提供基本生活条件、疾病治疗、办理丧葬事宜等，基本生活标准不低于当地最低生活保障标准的1.3倍，对生活不能自理的给予照料。</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特困老年人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15</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分散供养特困老年人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家庭适老化改造</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通过政府补贴等方式，对分散供养的特困失能、高龄、残疾老年人家庭实施居家适老化改造，有条件的地方可将改造对象范围扩大到城乡低保对象中的失能、高龄、残疾老年人家庭等。</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kern w:val="2"/>
                <w:sz w:val="24"/>
                <w:szCs w:val="24"/>
                <w:lang w:val="en-US" w:eastAsia="zh-CN" w:bidi="ar-SA"/>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经济困难老年人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16</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最低生活</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保障</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对获得最低生活保障金后生活仍有困难的老年人，采取必要措施给予生活保障。</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17</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经济困难老年人补贴</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对60—79周岁、80—89周岁、90—99周岁的低保老年人，每人每月分别发放80元、100元、200元生活补贴，100周岁及以上老年人按照《山东省人民政府关于印发山东省优待老年人规定的通知》（鲁政发〔2011〕54号）补助。对身体能力评估为2—3级的低保老年人</w:t>
            </w:r>
            <w:r>
              <w:rPr>
                <w:rFonts w:hint="eastAsia" w:ascii="方正仿宋简体" w:hAnsi="宋体" w:eastAsia="方正仿宋简体"/>
                <w:b/>
                <w:color w:val="000000"/>
                <w:sz w:val="24"/>
                <w:szCs w:val="24"/>
              </w:rPr>
              <w:t>，每人每月发放85元护理补贴。</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18</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公证服务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cs="Times New Roman"/>
                <w:b/>
                <w:sz w:val="24"/>
                <w:szCs w:val="24"/>
              </w:rPr>
              <w:t>对经济困难且符合法律援助条件的老年人申办公证，减免公证费。</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市司法局</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baseline"/>
              <w:rPr>
                <w:rFonts w:hint="default" w:ascii="方正仿宋简体" w:hAnsi="宋体" w:eastAsia="方正仿宋简体" w:cs="Times New Roman"/>
                <w:b/>
                <w:sz w:val="24"/>
                <w:szCs w:val="24"/>
                <w:lang w:val="en-US" w:eastAsia="zh-CN"/>
              </w:rPr>
            </w:pPr>
            <w:r>
              <w:rPr>
                <w:rFonts w:hint="eastAsia" w:ascii="方正仿宋简体" w:hAnsi="宋体" w:eastAsia="方正仿宋简体" w:cs="Times New Roman"/>
                <w:b/>
                <w:sz w:val="24"/>
                <w:szCs w:val="24"/>
                <w:lang w:val="en-US" w:eastAsia="zh-CN"/>
              </w:rPr>
              <w:t>高新区无此项职能，由市司法局经办。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特殊困难老年人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19</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探访服务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面向独居、空巢、留守、失能、重残、计划生育特殊家庭等特殊困难老年人提供探访关爱服务。</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20</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优先入住公办养老机构</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建立公办养老机构轮候制度，保障经济困难的独居、空巢、留守、失能、重残、计划生育特殊家庭以及作出特殊贡献的老年人优先入住。</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特殊困难老年人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21</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政府购买居家养老服务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依据老年人能力和需求评估结果，为符合条件的困难老年人提供每月30—50小时的居家养老服务。</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en-US"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22</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委托服务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委托有资质的社会组织接受独居、空巢、留守、失能、重残、计划生育特殊家庭等特殊困难老年人或其监护人委托，依法代为办理入住养老机构、就医等事务。</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对国家和社会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作出特殊贡献的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23</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优抚供养</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（退役军人事务处）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9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经认定符合条件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的残疾老年人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24</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困难残疾人生活补贴</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FF0000"/>
                <w:sz w:val="24"/>
                <w:szCs w:val="24"/>
              </w:rPr>
            </w:pPr>
            <w:r>
              <w:rPr>
                <w:rFonts w:hint="eastAsia" w:ascii="方正仿宋简体" w:hAnsi="宋体" w:eastAsia="方正仿宋简体"/>
                <w:b/>
                <w:color w:val="000000"/>
                <w:sz w:val="24"/>
                <w:szCs w:val="24"/>
              </w:rPr>
              <w:t>为符合条件的低保老年人按照当地规定的标准发放困难残疾人生活补贴。</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9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25</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重度残疾人护理补贴</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FF0000"/>
                <w:sz w:val="24"/>
                <w:szCs w:val="24"/>
              </w:rPr>
            </w:pPr>
            <w:r>
              <w:rPr>
                <w:rFonts w:hint="eastAsia" w:ascii="方正仿宋简体" w:hAnsi="宋体" w:eastAsia="方正仿宋简体"/>
                <w:b/>
                <w:color w:val="000000"/>
                <w:sz w:val="24"/>
                <w:szCs w:val="24"/>
              </w:rPr>
              <w:t>残疾等级评定为一级、二级且需要长期照护的重度残疾老年人，按当地规定标准发放重度残疾老年人护理补贴。</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计划生育特殊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家庭老年人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26</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color w:val="000000"/>
                <w:sz w:val="24"/>
                <w:szCs w:val="24"/>
              </w:rPr>
            </w:pPr>
            <w:r>
              <w:rPr>
                <w:rFonts w:hint="eastAsia" w:ascii="方正仿宋简体" w:hAnsi="宋体" w:eastAsia="方正仿宋简体"/>
                <w:b/>
                <w:color w:val="000000"/>
                <w:sz w:val="24"/>
                <w:szCs w:val="24"/>
              </w:rPr>
              <w:t>计划生育</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特别扶助金</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color w:val="000000"/>
                <w:sz w:val="24"/>
                <w:szCs w:val="24"/>
              </w:rPr>
            </w:pPr>
            <w:r>
              <w:rPr>
                <w:rFonts w:hint="eastAsia" w:ascii="方正仿宋简体" w:hAnsi="宋体" w:eastAsia="方正仿宋简体"/>
                <w:b/>
                <w:color w:val="000000"/>
                <w:sz w:val="24"/>
                <w:szCs w:val="24"/>
              </w:rPr>
              <w:t>对60周岁及以上独生子女死亡特别扶助对象，每人每月发放990元特别扶助金；对60周岁及以上独生子女伤残特别扶助对象，每人每月发放810元特别扶助金。</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default" w:ascii="方正仿宋简体" w:hAnsi="仿宋_GB2312" w:eastAsia="方正仿宋简体" w:cs="仿宋_GB2312"/>
                <w:b/>
                <w:color w:val="auto"/>
                <w:kern w:val="0"/>
                <w:sz w:val="24"/>
                <w:szCs w:val="24"/>
                <w:lang w:val="en-US" w:eastAsia="zh-CN" w:bidi="zh-CN"/>
              </w:rPr>
            </w:pPr>
            <w:r>
              <w:rPr>
                <w:rFonts w:hint="eastAsia" w:ascii="方正仿宋简体" w:eastAsia="方正仿宋简体"/>
                <w:b/>
                <w:color w:val="auto"/>
                <w:sz w:val="24"/>
                <w:szCs w:val="24"/>
                <w:lang w:val="en-US" w:eastAsia="zh-CN"/>
              </w:rPr>
              <w:t>（卫生健康处）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经认定生活不能</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自理的老年人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27</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家庭养老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支持服务</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符合条件的失能老年人家庭成员</w:t>
            </w:r>
            <w:r>
              <w:rPr>
                <w:rFonts w:hint="eastAsia" w:ascii="方正仿宋简体" w:hAnsi="宋体" w:eastAsia="方正仿宋简体"/>
                <w:b/>
                <w:sz w:val="24"/>
                <w:szCs w:val="24"/>
                <w:lang w:eastAsia="zh-CN"/>
              </w:rPr>
              <w:t>，</w:t>
            </w:r>
            <w:r>
              <w:rPr>
                <w:rFonts w:hint="eastAsia" w:ascii="方正仿宋简体" w:hAnsi="宋体" w:eastAsia="方正仿宋简体"/>
                <w:b/>
                <w:sz w:val="24"/>
                <w:szCs w:val="24"/>
                <w:lang w:val="en-US" w:eastAsia="zh-CN"/>
              </w:rPr>
              <w:t>在劳动适龄年龄内、有就业能力且有就业意向的，参加照护培训等政府（或委托培训机构）组织的相关技能培训</w:t>
            </w:r>
            <w:r>
              <w:rPr>
                <w:rFonts w:hint="eastAsia" w:ascii="方正仿宋简体" w:hAnsi="宋体" w:eastAsia="方正仿宋简体"/>
                <w:b/>
                <w:sz w:val="24"/>
                <w:szCs w:val="24"/>
              </w:rPr>
              <w:t>，按规定给予职业技能补贴</w:t>
            </w:r>
            <w:r>
              <w:rPr>
                <w:rFonts w:hint="eastAsia" w:ascii="方正仿宋简体" w:hAnsi="宋体" w:eastAsia="方正仿宋简体"/>
                <w:b/>
                <w:sz w:val="24"/>
                <w:szCs w:val="24"/>
                <w:lang w:eastAsia="zh-CN"/>
              </w:rPr>
              <w:t>（</w:t>
            </w:r>
            <w:r>
              <w:rPr>
                <w:rFonts w:hint="eastAsia" w:ascii="方正仿宋简体" w:hAnsi="宋体" w:eastAsia="方正仿宋简体"/>
                <w:b/>
                <w:sz w:val="24"/>
                <w:szCs w:val="24"/>
                <w:lang w:val="en-US" w:eastAsia="zh-CN"/>
              </w:rPr>
              <w:t>或免费参加</w:t>
            </w:r>
            <w:r>
              <w:rPr>
                <w:rFonts w:hint="eastAsia" w:ascii="方正仿宋简体" w:hAnsi="宋体" w:eastAsia="方正仿宋简体"/>
                <w:b/>
                <w:sz w:val="24"/>
                <w:szCs w:val="24"/>
                <w:lang w:eastAsia="zh-CN"/>
              </w:rPr>
              <w:t>）</w:t>
            </w:r>
            <w:r>
              <w:rPr>
                <w:rFonts w:hint="eastAsia" w:ascii="方正仿宋简体" w:hAnsi="宋体" w:eastAsia="方正仿宋简体"/>
                <w:b/>
                <w:sz w:val="24"/>
                <w:szCs w:val="24"/>
              </w:rPr>
              <w:t>。</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Calibri" w:eastAsia="方正仿宋简体" w:cs="Times New Roman"/>
                <w:b/>
                <w:color w:val="auto"/>
                <w:kern w:val="2"/>
                <w:sz w:val="24"/>
                <w:szCs w:val="24"/>
                <w:lang w:val="en-US" w:eastAsia="zh-CN" w:bidi="ar-SA"/>
              </w:rPr>
            </w:pPr>
            <w:r>
              <w:rPr>
                <w:rFonts w:hint="eastAsia" w:ascii="方正仿宋简体" w:hAnsi="Calibri" w:eastAsia="方正仿宋简体" w:cs="Times New Roman"/>
                <w:b/>
                <w:color w:val="auto"/>
                <w:kern w:val="2"/>
                <w:sz w:val="24"/>
                <w:szCs w:val="24"/>
                <w:lang w:val="en-US" w:eastAsia="zh-CN" w:bidi="ar-SA"/>
              </w:rPr>
              <w:t>人力资源部</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Calibri" w:eastAsia="方正仿宋简体" w:cs="Times New Roman"/>
                <w:b/>
                <w:color w:val="auto"/>
                <w:kern w:val="2"/>
                <w:sz w:val="24"/>
                <w:szCs w:val="24"/>
                <w:lang w:val="en-US" w:eastAsia="zh-CN" w:bidi="ar-SA"/>
              </w:rPr>
            </w:pPr>
            <w:r>
              <w:rPr>
                <w:rFonts w:hint="eastAsia" w:ascii="方正仿宋简体" w:hAnsi="Calibri" w:eastAsia="方正仿宋简体" w:cs="Times New Roman"/>
                <w:b/>
                <w:color w:val="auto"/>
                <w:kern w:val="2"/>
                <w:sz w:val="24"/>
                <w:szCs w:val="24"/>
                <w:lang w:val="en-US" w:eastAsia="zh-CN" w:bidi="ar-SA"/>
              </w:rPr>
              <w:t>（劳动就业处）</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hAnsi="Calibri" w:eastAsia="方正仿宋简体" w:cs="Times New Roman"/>
                <w:b/>
                <w:color w:val="auto"/>
                <w:kern w:val="2"/>
                <w:sz w:val="24"/>
                <w:szCs w:val="24"/>
                <w:lang w:val="en-US" w:eastAsia="zh-CN" w:bidi="ar-SA"/>
              </w:rPr>
              <w:t>发展软环境保障</w:t>
            </w:r>
            <w:r>
              <w:rPr>
                <w:rFonts w:hint="eastAsia" w:ascii="方正仿宋简体" w:eastAsia="方正仿宋简体"/>
                <w:b/>
                <w:color w:val="auto"/>
                <w:sz w:val="24"/>
                <w:szCs w:val="24"/>
                <w:lang w:val="en-US" w:eastAsia="zh-CN"/>
              </w:rPr>
              <w:t>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9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pacing w:val="-8"/>
                <w:sz w:val="24"/>
                <w:szCs w:val="24"/>
              </w:rPr>
            </w:pPr>
            <w:r>
              <w:rPr>
                <w:rFonts w:hint="eastAsia" w:ascii="方正仿宋简体" w:hAnsi="宋体" w:eastAsia="方正仿宋简体"/>
                <w:b/>
                <w:spacing w:val="-8"/>
                <w:sz w:val="24"/>
                <w:szCs w:val="24"/>
              </w:rPr>
              <w:t>生活无着的流浪、</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乞讨老年人</w:t>
            </w:r>
          </w:p>
        </w:tc>
        <w:tc>
          <w:tcPr>
            <w:tcW w:w="54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28</w:t>
            </w:r>
          </w:p>
        </w:tc>
        <w:tc>
          <w:tcPr>
            <w:tcW w:w="148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b/>
                <w:sz w:val="24"/>
                <w:szCs w:val="24"/>
              </w:rPr>
            </w:pPr>
            <w:r>
              <w:rPr>
                <w:rFonts w:hint="eastAsia" w:ascii="方正仿宋简体" w:hAnsi="宋体" w:eastAsia="方正仿宋简体"/>
                <w:b/>
                <w:sz w:val="24"/>
                <w:szCs w:val="24"/>
              </w:rPr>
              <w:t>流浪乞讨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ascii="方正仿宋简体" w:hAnsi="宋体" w:eastAsia="方正仿宋简体"/>
                <w:b/>
                <w:sz w:val="24"/>
                <w:szCs w:val="24"/>
              </w:rPr>
            </w:pPr>
            <w:r>
              <w:rPr>
                <w:rFonts w:hint="eastAsia" w:ascii="方正仿宋简体" w:hAnsi="宋体" w:eastAsia="方正仿宋简体"/>
                <w:b/>
                <w:sz w:val="24"/>
                <w:szCs w:val="24"/>
              </w:rPr>
              <w:t>救助</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baseline"/>
              <w:rPr>
                <w:rFonts w:ascii="方正仿宋简体" w:hAnsi="宋体" w:eastAsia="方正仿宋简体"/>
                <w:b/>
                <w:sz w:val="24"/>
                <w:szCs w:val="24"/>
              </w:rPr>
            </w:pPr>
            <w:r>
              <w:rPr>
                <w:rFonts w:hint="eastAsia" w:ascii="方正仿宋简体" w:hAnsi="宋体" w:eastAsia="方正仿宋简体"/>
                <w:b/>
                <w:sz w:val="24"/>
                <w:szCs w:val="24"/>
              </w:rPr>
              <w:t>依照有关规定给予救助。</w:t>
            </w:r>
          </w:p>
        </w:tc>
        <w:tc>
          <w:tcPr>
            <w:tcW w:w="2803"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发展软环境保障局</w:t>
            </w:r>
          </w:p>
          <w:p>
            <w:pPr>
              <w:pStyle w:val="11"/>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仿宋_GB2312" w:eastAsia="方正仿宋简体" w:cs="仿宋_GB2312"/>
                <w:b/>
                <w:color w:val="auto"/>
                <w:kern w:val="0"/>
                <w:sz w:val="24"/>
                <w:szCs w:val="24"/>
                <w:lang w:val="zh-CN" w:eastAsia="zh-CN" w:bidi="zh-CN"/>
              </w:rPr>
            </w:pPr>
            <w:r>
              <w:rPr>
                <w:rFonts w:hint="eastAsia" w:ascii="方正仿宋简体" w:eastAsia="方正仿宋简体"/>
                <w:b/>
                <w:color w:val="auto"/>
                <w:sz w:val="24"/>
                <w:szCs w:val="24"/>
                <w:lang w:val="en-US" w:eastAsia="zh-CN"/>
              </w:rPr>
              <w:t>（民政处）</w:t>
            </w:r>
          </w:p>
        </w:tc>
        <w:tc>
          <w:tcPr>
            <w:tcW w:w="23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baseline"/>
              <w:rPr>
                <w:rFonts w:hint="eastAsia" w:ascii="方正仿宋简体" w:hAnsi="宋体" w:eastAsia="方正仿宋简体" w:cs="Times New Roman"/>
                <w:b/>
                <w:sz w:val="24"/>
                <w:szCs w:val="24"/>
                <w:lang w:val="en-US" w:eastAsia="zh-CN"/>
              </w:rPr>
            </w:pPr>
          </w:p>
        </w:tc>
      </w:tr>
    </w:tbl>
    <w:p>
      <w:pPr>
        <w:spacing w:line="600" w:lineRule="exact"/>
        <w:rPr>
          <w:rFonts w:hint="eastAsia" w:ascii="方正仿宋简体" w:hAnsi="文星仿宋" w:eastAsia="方正仿宋简体" w:cs="方正仿宋简体"/>
          <w:b/>
          <w:color w:val="000000"/>
          <w:sz w:val="24"/>
          <w:szCs w:val="24"/>
        </w:rPr>
      </w:pPr>
      <w:r>
        <w:rPr>
          <w:rFonts w:hint="eastAsia" w:ascii="方正黑体简体" w:hAnsi="文星仿宋" w:eastAsia="方正黑体简体" w:cs="方正仿宋简体"/>
          <w:b/>
          <w:color w:val="000000"/>
          <w:sz w:val="24"/>
          <w:szCs w:val="24"/>
        </w:rPr>
        <w:t>备注</w:t>
      </w:r>
      <w:r>
        <w:rPr>
          <w:rFonts w:hint="eastAsia" w:ascii="方正黑体简体" w:hAnsi="文星仿宋" w:eastAsia="方正黑体简体" w:cs="方正仿宋简体"/>
          <w:b/>
          <w:color w:val="000000"/>
          <w:sz w:val="24"/>
          <w:szCs w:val="24"/>
          <w:lang w:eastAsia="zh-CN"/>
        </w:rPr>
        <w:t>：</w:t>
      </w:r>
      <w:r>
        <w:rPr>
          <w:rFonts w:hint="eastAsia" w:ascii="方正仿宋简体" w:hAnsi="文星仿宋" w:eastAsia="方正仿宋简体" w:cs="方正仿宋简体"/>
          <w:b/>
          <w:color w:val="000000"/>
          <w:sz w:val="24"/>
          <w:szCs w:val="24"/>
          <w:lang w:val="en-US" w:eastAsia="zh-CN"/>
        </w:rPr>
        <w:t>现行政策与本清单不一致的，以本清单为准；</w:t>
      </w:r>
      <w:r>
        <w:rPr>
          <w:rFonts w:hint="eastAsia" w:ascii="方正仿宋简体" w:hAnsi="文星仿宋" w:eastAsia="方正仿宋简体" w:cs="方正仿宋简体"/>
          <w:b/>
          <w:color w:val="000000"/>
          <w:sz w:val="24"/>
          <w:szCs w:val="24"/>
        </w:rPr>
        <w:t>若有关政策出现调整，以调整后的规定为执行标准。</w:t>
      </w:r>
    </w:p>
    <w:p>
      <w:pPr>
        <w:pStyle w:val="2"/>
        <w:ind w:left="0" w:leftChars="0" w:firstLine="0" w:firstLineChars="0"/>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2"/>
        <w:rPr>
          <w:rFonts w:hint="eastAsia" w:ascii="方正仿宋简体" w:hAnsi="方正仿宋简体" w:eastAsia="方正仿宋简体" w:cs="方正仿宋简体"/>
          <w:b/>
          <w:bCs/>
          <w:color w:val="auto"/>
          <w:sz w:val="32"/>
          <w:szCs w:val="32"/>
          <w:u w:val="none"/>
          <w:shd w:val="clear" w:color="auto" w:fill="FFFFFF"/>
          <w:lang w:val="en-US" w:eastAsia="zh-CN"/>
        </w:rPr>
        <w:sectPr>
          <w:pgSz w:w="16838" w:h="11906" w:orient="landscape"/>
          <w:pgMar w:top="1531" w:right="1531" w:bottom="1531" w:left="1531" w:header="851" w:footer="1134" w:gutter="0"/>
          <w:pgNumType w:fmt="numberInDash"/>
          <w:cols w:space="0" w:num="1"/>
          <w:rtlGutter w:val="0"/>
          <w:docGrid w:type="lines" w:linePitch="315" w:charSpace="0"/>
        </w:sectPr>
      </w:pPr>
    </w:p>
    <w:p>
      <w:pPr>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80" w:lineRule="exact"/>
        <w:ind w:left="0" w:leftChars="0" w:right="0" w:firstLine="0"/>
        <w:jc w:val="both"/>
        <w:textAlignment w:val="auto"/>
        <w:rPr>
          <w:rFonts w:hint="eastAsia" w:ascii="方正仿宋简体" w:hAnsi="方正仿宋简体" w:eastAsia="方正仿宋简体" w:cs="方正仿宋简体"/>
          <w:b/>
          <w:bCs/>
          <w:color w:val="auto"/>
          <w:sz w:val="32"/>
          <w:szCs w:val="32"/>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jc w:val="both"/>
        <w:textAlignment w:val="auto"/>
        <w:rPr>
          <w:rFonts w:hint="default" w:ascii="方正仿宋简体" w:hAnsi="方正仿宋简体" w:eastAsia="方正仿宋简体" w:cs="方正仿宋简体"/>
          <w:b/>
          <w:bCs/>
          <w:snapToGrid/>
          <w:color w:val="000000" w:themeColor="text1"/>
          <w:kern w:val="2"/>
          <w:sz w:val="28"/>
          <w:szCs w:val="28"/>
          <w:highlight w:val="none"/>
          <w:lang w:val="en-US" w:eastAsia="zh-CN" w:bidi="ar-SA"/>
          <w14:textFill>
            <w14:solidFill>
              <w14:schemeClr w14:val="tx1"/>
            </w14:solidFill>
          </w14:textFill>
        </w:rPr>
      </w:pPr>
      <w:r>
        <w:rPr>
          <w:rFonts w:hint="default" w:ascii="方正仿宋简体" w:hAnsi="方正仿宋简体" w:eastAsia="方正仿宋简体" w:cs="方正仿宋简体"/>
          <w:b/>
          <w:bCs/>
          <w:snapToGrid/>
          <w:color w:val="000000" w:themeColor="text1"/>
          <w:kern w:val="2"/>
          <w:sz w:val="28"/>
          <w:szCs w:val="28"/>
          <w:highlight w:val="none"/>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412750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2.5pt;height:0.05pt;width:439.2pt;z-index:251659264;mso-width-relative:page;mso-height-relative:page;" filled="f" stroked="t" coordsize="21600,21600" o:gfxdata="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eJiPUAAAABwEAAA8AAAAAAAAAAQAgAAAAIgAAAGRycy9kb3ducmV2LnhtbFBLAQIU&#10;ABQAAAAIAIdO4kCik2yG9wEAAPQDAAAOAAAAAAAAAAEAIAAAACMBAABkcnMvZTJvRG9jLnhtbFBL&#10;BQYAAAAABgAGAFkBAACMBQAAAAA=&#10;">
                <v:fill on="f" focussize="0,0"/>
                <v:stroke weight="0.5pt" color="#000000" joinstyle="round"/>
                <v:imagedata o:title=""/>
                <o:lock v:ext="edit" aspectratio="f"/>
              </v:line>
            </w:pict>
          </mc:Fallback>
        </mc:AlternateContent>
      </w:r>
      <w:r>
        <w:rPr>
          <w:rFonts w:hint="default" w:ascii="方正仿宋简体" w:hAnsi="方正仿宋简体" w:eastAsia="方正仿宋简体" w:cs="方正仿宋简体"/>
          <w:b/>
          <w:bCs/>
          <w:snapToGrid/>
          <w:color w:val="000000" w:themeColor="text1"/>
          <w:kern w:val="2"/>
          <w:sz w:val="28"/>
          <w:szCs w:val="28"/>
          <w:highlight w:val="none"/>
          <w:lang w:val="en-US" w:eastAsia="zh-CN" w:bidi="ar-SA"/>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22225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1.75pt;height:0.05pt;width:438.5pt;z-index:251660288;mso-width-relative:page;mso-height-relative:page;" filled="f" stroked="t" coordsize="21600,21600" o:gfxdata="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UvT0NEAAAAFAQAADwAAAAAAAAABACAAAAAiAAAAZHJzL2Rvd25yZXYueG1sUEsBAhQA&#10;FAAAAAgAh07iQDr6wE35AQAA9AMAAA4AAAAAAAAAAQAgAAAAIAEAAGRycy9lMm9Eb2MueG1sUEsF&#10;BgAAAAAGAAYAWQEAAIsFA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snapToGrid/>
          <w:color w:val="000000" w:themeColor="text1"/>
          <w:kern w:val="2"/>
          <w:sz w:val="28"/>
          <w:szCs w:val="28"/>
          <w:highlight w:val="none"/>
          <w:lang w:val="en-US" w:eastAsia="zh-CN" w:bidi="ar-SA"/>
          <w14:textFill>
            <w14:solidFill>
              <w14:schemeClr w14:val="tx1"/>
            </w14:solidFill>
          </w14:textFill>
        </w:rPr>
        <w:t>济宁高新区管委会办公室                 2023年5月31日印发</w:t>
      </w:r>
    </w:p>
    <w:sectPr>
      <w:pgSz w:w="11906" w:h="16838"/>
      <w:pgMar w:top="2098" w:right="1474" w:bottom="1984" w:left="1587" w:header="851" w:footer="158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6BDBDE-D5C6-4E71-9AA6-57BC68D7C0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1516C08-9CB0-430C-BA74-B3F0A73FECE7}"/>
  </w:font>
  <w:font w:name="仿宋_GB2312">
    <w:panose1 w:val="02010609030101010101"/>
    <w:charset w:val="86"/>
    <w:family w:val="modern"/>
    <w:pitch w:val="default"/>
    <w:sig w:usb0="00000001" w:usb1="080E0000" w:usb2="00000000" w:usb3="00000000" w:csb0="00040000" w:csb1="00000000"/>
    <w:embedRegular r:id="rId3" w:fontKey="{B94EE30F-DD07-46D9-887C-EAC4D62C8B85}"/>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F8EC0C6-DA61-465B-A4ED-B937D69CFBA2}"/>
  </w:font>
  <w:font w:name="文星仿宋">
    <w:altName w:val="仿宋"/>
    <w:panose1 w:val="00000000000000000000"/>
    <w:charset w:val="00"/>
    <w:family w:val="auto"/>
    <w:pitch w:val="default"/>
    <w:sig w:usb0="00000000" w:usb1="00000000" w:usb2="00000000" w:usb3="00000000" w:csb0="00040001" w:csb1="00000000"/>
    <w:embedRegular r:id="rId5" w:fontKey="{A4748508-9358-4148-B028-FE76317FFDE1}"/>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00000000"/>
    <w:rsid w:val="00E97C40"/>
    <w:rsid w:val="01521561"/>
    <w:rsid w:val="017345DB"/>
    <w:rsid w:val="025760E2"/>
    <w:rsid w:val="03A32C74"/>
    <w:rsid w:val="053816F0"/>
    <w:rsid w:val="05C869C2"/>
    <w:rsid w:val="05D924BC"/>
    <w:rsid w:val="05E03D0C"/>
    <w:rsid w:val="05F6704D"/>
    <w:rsid w:val="06F0658D"/>
    <w:rsid w:val="0796796D"/>
    <w:rsid w:val="07F27D62"/>
    <w:rsid w:val="091F2D9D"/>
    <w:rsid w:val="09E34E2E"/>
    <w:rsid w:val="0BEA7692"/>
    <w:rsid w:val="0C9B273A"/>
    <w:rsid w:val="0CB9190B"/>
    <w:rsid w:val="0CD65588"/>
    <w:rsid w:val="0DA4527B"/>
    <w:rsid w:val="0E896BE6"/>
    <w:rsid w:val="0FBB0395"/>
    <w:rsid w:val="104B26C9"/>
    <w:rsid w:val="11621E46"/>
    <w:rsid w:val="11C1439F"/>
    <w:rsid w:val="12596213"/>
    <w:rsid w:val="12DB4BAB"/>
    <w:rsid w:val="135979E1"/>
    <w:rsid w:val="137912FC"/>
    <w:rsid w:val="13CC51A6"/>
    <w:rsid w:val="14514B1B"/>
    <w:rsid w:val="147A532B"/>
    <w:rsid w:val="14DB592B"/>
    <w:rsid w:val="14DE3B0C"/>
    <w:rsid w:val="1557566D"/>
    <w:rsid w:val="16527B88"/>
    <w:rsid w:val="1758737A"/>
    <w:rsid w:val="175C4BE8"/>
    <w:rsid w:val="175C5A0C"/>
    <w:rsid w:val="176F4342"/>
    <w:rsid w:val="17F51899"/>
    <w:rsid w:val="19EB4826"/>
    <w:rsid w:val="1A815D2D"/>
    <w:rsid w:val="1AD853BA"/>
    <w:rsid w:val="1B100797"/>
    <w:rsid w:val="1B4C3F2D"/>
    <w:rsid w:val="1BF754B3"/>
    <w:rsid w:val="1C7F2DDC"/>
    <w:rsid w:val="1C857540"/>
    <w:rsid w:val="1DAB2047"/>
    <w:rsid w:val="1FB5190D"/>
    <w:rsid w:val="20140D2A"/>
    <w:rsid w:val="213949E2"/>
    <w:rsid w:val="215C7A89"/>
    <w:rsid w:val="23F71932"/>
    <w:rsid w:val="24CC30D2"/>
    <w:rsid w:val="2524010A"/>
    <w:rsid w:val="27197814"/>
    <w:rsid w:val="275A28CD"/>
    <w:rsid w:val="27DD4625"/>
    <w:rsid w:val="286C6492"/>
    <w:rsid w:val="28C714B1"/>
    <w:rsid w:val="28EE6BF8"/>
    <w:rsid w:val="2A270364"/>
    <w:rsid w:val="2B0F281A"/>
    <w:rsid w:val="2E302F44"/>
    <w:rsid w:val="2E852ACB"/>
    <w:rsid w:val="2FA04DA7"/>
    <w:rsid w:val="3304078A"/>
    <w:rsid w:val="35814314"/>
    <w:rsid w:val="370A0339"/>
    <w:rsid w:val="37EA13D7"/>
    <w:rsid w:val="381953DA"/>
    <w:rsid w:val="39101E40"/>
    <w:rsid w:val="394D3C1F"/>
    <w:rsid w:val="398D772B"/>
    <w:rsid w:val="3C5A766D"/>
    <w:rsid w:val="3DF633C5"/>
    <w:rsid w:val="403E5626"/>
    <w:rsid w:val="421F4DB2"/>
    <w:rsid w:val="42315F45"/>
    <w:rsid w:val="43C2396E"/>
    <w:rsid w:val="43F45D3F"/>
    <w:rsid w:val="44F92119"/>
    <w:rsid w:val="44FF666B"/>
    <w:rsid w:val="453F3756"/>
    <w:rsid w:val="45B85B30"/>
    <w:rsid w:val="470B08DB"/>
    <w:rsid w:val="47BB0605"/>
    <w:rsid w:val="4A590F64"/>
    <w:rsid w:val="4B9B725E"/>
    <w:rsid w:val="4BBE2AEB"/>
    <w:rsid w:val="4E107352"/>
    <w:rsid w:val="4FDD43E5"/>
    <w:rsid w:val="5503669C"/>
    <w:rsid w:val="55992B5C"/>
    <w:rsid w:val="56743E25"/>
    <w:rsid w:val="573F330E"/>
    <w:rsid w:val="57781D9A"/>
    <w:rsid w:val="58BC148B"/>
    <w:rsid w:val="5A7823F6"/>
    <w:rsid w:val="5AF32D0E"/>
    <w:rsid w:val="5B622E70"/>
    <w:rsid w:val="5BF87DDE"/>
    <w:rsid w:val="5CBD2518"/>
    <w:rsid w:val="5CBD35D4"/>
    <w:rsid w:val="5D1E0517"/>
    <w:rsid w:val="5D7E5D7C"/>
    <w:rsid w:val="5F65097C"/>
    <w:rsid w:val="6005151A"/>
    <w:rsid w:val="61C66BE3"/>
    <w:rsid w:val="636C18B0"/>
    <w:rsid w:val="66061B48"/>
    <w:rsid w:val="66EB60E4"/>
    <w:rsid w:val="673B4C20"/>
    <w:rsid w:val="67780C2A"/>
    <w:rsid w:val="6ACD532A"/>
    <w:rsid w:val="6AEC3A9C"/>
    <w:rsid w:val="6B0D652E"/>
    <w:rsid w:val="6B7A2602"/>
    <w:rsid w:val="6D350F65"/>
    <w:rsid w:val="6E813802"/>
    <w:rsid w:val="6F075C45"/>
    <w:rsid w:val="6F39791C"/>
    <w:rsid w:val="710D7763"/>
    <w:rsid w:val="71792AD9"/>
    <w:rsid w:val="71D46F9E"/>
    <w:rsid w:val="735D578A"/>
    <w:rsid w:val="76413F06"/>
    <w:rsid w:val="771542E1"/>
    <w:rsid w:val="77E45CCE"/>
    <w:rsid w:val="78267E28"/>
    <w:rsid w:val="796365C3"/>
    <w:rsid w:val="79A232E9"/>
    <w:rsid w:val="7A6A69D0"/>
    <w:rsid w:val="7CFE5817"/>
    <w:rsid w:val="7D513B99"/>
    <w:rsid w:val="7D5E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b/>
      <w:bCs/>
      <w:sz w:val="32"/>
      <w:szCs w:val="32"/>
    </w:rPr>
  </w:style>
  <w:style w:type="paragraph" w:styleId="3">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2712</Words>
  <Characters>2787</Characters>
  <Lines>0</Lines>
  <Paragraphs>0</Paragraphs>
  <TotalTime>0</TotalTime>
  <ScaleCrop>false</ScaleCrop>
  <LinksUpToDate>false</LinksUpToDate>
  <CharactersWithSpaces>2808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2022-01-28T01:17:00Z</dcterms:created>
  <dc:creator>Administrator.SC-201912080908</dc:creator>
  <cp:lastModifiedBy>水手公园</cp:lastModifiedBy>
  <cp:lastPrinted>2023-06-14T08:49:00Z</cp:lastPrinted>
  <dcterms:modified xsi:type="dcterms:W3CDTF">2023-06-26T02:10:48Z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77132B019B4F44A198C8A8022D98F91B</vt:lpwstr>
  </property>
</Properties>
</file>