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rPr>
          <w:rFonts w:hint="eastAsia" w:ascii="方正仿宋简体" w:eastAsia="方正仿宋简体"/>
          <w:sz w:val="32"/>
          <w:szCs w:val="32"/>
        </w:rPr>
      </w:pPr>
      <w:bookmarkStart w:id="0" w:name="_Toc120973237"/>
      <w:bookmarkStart w:id="1" w:name="_Toc120973236"/>
      <w:bookmarkStart w:id="2" w:name="_Toc29446"/>
    </w:p>
    <w:p>
      <w:pPr>
        <w:spacing w:line="440" w:lineRule="exact"/>
        <w:ind w:right="204" w:rightChars="97"/>
        <w:rPr>
          <w:rFonts w:hint="eastAsia" w:ascii="方正仿宋简体" w:eastAsia="方正仿宋简体"/>
          <w:sz w:val="32"/>
          <w:szCs w:val="32"/>
        </w:rPr>
      </w:pPr>
      <w:r>
        <w:rPr>
          <w:rFonts w:hint="eastAsia" w:ascii="方正仿宋简体" w:eastAsia="方正仿宋简体"/>
          <w:sz w:val="32"/>
          <w:szCs w:val="32"/>
        </w:rPr>
        <w:pict>
          <v:shape id="_x0000_s2062" o:spid="_x0000_s2062" o:spt="136" type="#_x0000_t136" style="position:absolute;left:0pt;margin-left:9pt;margin-top:15.7pt;height:56.7pt;width:423pt;z-index:251668480;mso-width-relative:page;mso-height-relative:page;" fillcolor="#FF0000" filled="t" stroked="t" coordsize="21600,21600">
            <v:path/>
            <v:fill on="t" focussize="0,0"/>
            <v:stroke color="#FF0000"/>
            <v:imagedata o:title=""/>
            <o:lock v:ext="edit"/>
            <v:textpath on="t" fitshape="t" fitpath="t" trim="t" xscale="f" string="济宁高新技术产业开发区管理委员会" style="font-family:方正小标宋简体;font-size:36pt;font-weight:bold;v-rotate-letters:f;v-same-letter-heights:f;v-text-align:center;v-text-spacing:68813f;"/>
          </v:shape>
        </w:pict>
      </w:r>
    </w:p>
    <w:p>
      <w:pPr>
        <w:spacing w:line="440" w:lineRule="exact"/>
        <w:rPr>
          <w:rFonts w:hint="eastAsia" w:ascii="方正仿宋简体" w:eastAsia="方正仿宋简体"/>
          <w:sz w:val="32"/>
          <w:szCs w:val="32"/>
        </w:rPr>
      </w:pPr>
    </w:p>
    <w:p>
      <w:pPr>
        <w:spacing w:line="440" w:lineRule="exact"/>
        <w:rPr>
          <w:rFonts w:hint="eastAsia" w:ascii="方正仿宋简体" w:eastAsia="方正仿宋简体"/>
          <w:sz w:val="32"/>
          <w:szCs w:val="32"/>
        </w:rPr>
      </w:pPr>
    </w:p>
    <w:p>
      <w:pPr>
        <w:spacing w:line="440" w:lineRule="exact"/>
        <w:rPr>
          <w:rFonts w:hint="eastAsia" w:ascii="方正仿宋简体" w:eastAsia="方正仿宋简体"/>
          <w:sz w:val="32"/>
          <w:szCs w:val="32"/>
        </w:rPr>
      </w:pPr>
    </w:p>
    <w:p>
      <w:pPr>
        <w:spacing w:line="560" w:lineRule="exact"/>
        <w:rPr>
          <w:rFonts w:hint="eastAsia" w:ascii="方正仿宋简体" w:eastAsia="方正仿宋简体"/>
          <w:sz w:val="32"/>
          <w:szCs w:val="32"/>
        </w:rPr>
      </w:pPr>
    </w:p>
    <w:p>
      <w:pPr>
        <w:spacing w:line="560" w:lineRule="exact"/>
        <w:ind w:right="382" w:rightChars="182"/>
        <w:rPr>
          <w:rFonts w:hint="eastAsia" w:ascii="方正仿宋简体" w:eastAsia="方正仿宋简体"/>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eastAsia="方正仿宋简体"/>
          <w:sz w:val="32"/>
          <w:szCs w:val="32"/>
        </w:rPr>
      </w:pPr>
      <w:r>
        <w:rPr>
          <w:rFonts w:hint="eastAsia" w:ascii="方正仿宋简体" w:hAnsi="方正仿宋简体" w:eastAsia="方正仿宋简体" w:cs="方正仿宋简体"/>
          <w:b/>
          <w:snapToGrid/>
          <w:spacing w:val="0"/>
          <w:w w:val="100"/>
          <w:kern w:val="21"/>
          <w:sz w:val="32"/>
          <w:szCs w:val="32"/>
          <w:lang w:eastAsia="zh-CN" w:bidi="ar"/>
        </w:rPr>
        <w:t>济高新管</w:t>
      </w:r>
      <w:r>
        <w:rPr>
          <w:rFonts w:hint="eastAsia" w:ascii="方正仿宋简体" w:hAnsi="方正仿宋简体" w:eastAsia="方正仿宋简体" w:cs="方正仿宋简体"/>
          <w:b/>
          <w:snapToGrid/>
          <w:spacing w:val="0"/>
          <w:w w:val="100"/>
          <w:kern w:val="21"/>
          <w:sz w:val="32"/>
          <w:szCs w:val="32"/>
          <w:lang w:bidi="ar"/>
        </w:rPr>
        <w:t>字〔2023〕</w:t>
      </w:r>
      <w:r>
        <w:rPr>
          <w:rFonts w:hint="eastAsia" w:ascii="方正仿宋简体" w:hAnsi="方正仿宋简体" w:eastAsia="方正仿宋简体" w:cs="方正仿宋简体"/>
          <w:b/>
          <w:snapToGrid/>
          <w:spacing w:val="0"/>
          <w:w w:val="100"/>
          <w:kern w:val="21"/>
          <w:sz w:val="32"/>
          <w:szCs w:val="32"/>
          <w:lang w:val="en-US" w:eastAsia="zh-CN" w:bidi="ar"/>
        </w:rPr>
        <w:t>26</w:t>
      </w:r>
      <w:r>
        <w:rPr>
          <w:rFonts w:hint="eastAsia" w:ascii="方正仿宋简体" w:hAnsi="方正仿宋简体" w:eastAsia="方正仿宋简体" w:cs="方正仿宋简体"/>
          <w:b/>
          <w:snapToGrid/>
          <w:spacing w:val="0"/>
          <w:w w:val="100"/>
          <w:kern w:val="21"/>
          <w:sz w:val="32"/>
          <w:szCs w:val="32"/>
          <w:lang w:bidi="ar"/>
        </w:rPr>
        <w:t>号</w:t>
      </w:r>
    </w:p>
    <w:p>
      <w:pPr>
        <w:spacing w:line="560" w:lineRule="exact"/>
        <w:rPr>
          <w:rFonts w:hint="eastAsia" w:ascii="方正仿宋简体" w:eastAsia="方正仿宋简体"/>
          <w:sz w:val="32"/>
          <w:szCs w:val="32"/>
        </w:rPr>
      </w:pPr>
      <w:r>
        <w:rPr>
          <w:rFonts w:hint="eastAsia" w:ascii="方正仿宋简体" w:eastAsia="方正仿宋简体"/>
          <w:sz w:val="32"/>
          <w:szCs w:val="32"/>
        </w:rPr>
        <w:pict>
          <v:line id="_x0000_s2063" o:spid="_x0000_s2063" o:spt="20" style="position:absolute;left:0pt;flip:y;margin-left:-2.7pt;margin-top:6.85pt;height:0.25pt;width:442.75pt;z-index:251669504;mso-width-relative:page;mso-height-relative:page;" filled="f" stroked="t" coordsize="21600,21600">
            <v:path arrowok="t"/>
            <v:fill on="f" focussize="0,0"/>
            <v:stroke weight="1pt" color="#FF0000"/>
            <v:imagedata o:title=""/>
            <o:lock v:ext="edit" aspectratio="f"/>
          </v:line>
        </w:pic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snapToGrid/>
          <w:color w:val="000000"/>
          <w:spacing w:val="0"/>
          <w:w w:val="100"/>
          <w:kern w:val="21"/>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ascii="方正小标宋简体" w:hAnsi="方正小标宋简体" w:eastAsia="方正小标宋简体" w:cs="方正小标宋简体"/>
          <w:b/>
          <w:bCs/>
          <w:snapToGrid/>
          <w:color w:val="000000" w:themeColor="text1"/>
          <w:spacing w:val="0"/>
          <w:w w:val="100"/>
          <w:kern w:val="21"/>
          <w:sz w:val="44"/>
          <w:szCs w:val="44"/>
        </w:rPr>
      </w:pPr>
      <w:r>
        <w:rPr>
          <w:rFonts w:hint="eastAsia" w:ascii="方正小标宋简体" w:hAnsi="方正小标宋简体" w:eastAsia="方正小标宋简体" w:cs="方正小标宋简体"/>
          <w:b/>
          <w:bCs/>
          <w:snapToGrid/>
          <w:color w:val="000000" w:themeColor="text1"/>
          <w:spacing w:val="0"/>
          <w:w w:val="100"/>
          <w:kern w:val="21"/>
          <w:sz w:val="44"/>
          <w:szCs w:val="44"/>
        </w:rPr>
        <w:t>济宁高新区</w:t>
      </w:r>
      <w:r>
        <w:rPr>
          <w:rFonts w:hint="eastAsia" w:ascii="方正小标宋简体" w:hAnsi="方正小标宋简体" w:eastAsia="方正小标宋简体" w:cs="方正小标宋简体"/>
          <w:b/>
          <w:bCs/>
          <w:snapToGrid/>
          <w:color w:val="000000" w:themeColor="text1"/>
          <w:spacing w:val="0"/>
          <w:w w:val="100"/>
          <w:kern w:val="21"/>
          <w:sz w:val="44"/>
          <w:szCs w:val="44"/>
          <w:lang w:val="en-US" w:eastAsia="zh-CN"/>
        </w:rPr>
        <w:t>管委会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ascii="方正小标宋简体" w:hAnsi="方正小标宋简体" w:eastAsia="方正小标宋简体" w:cs="方正小标宋简体"/>
          <w:b/>
          <w:bCs/>
          <w:snapToGrid/>
          <w:color w:val="000000" w:themeColor="text1"/>
          <w:spacing w:val="0"/>
          <w:w w:val="100"/>
          <w:kern w:val="21"/>
          <w:sz w:val="44"/>
          <w:szCs w:val="44"/>
        </w:rPr>
      </w:pPr>
      <w:r>
        <w:rPr>
          <w:rFonts w:hint="eastAsia" w:ascii="方正小标宋简体" w:hAnsi="方正小标宋简体" w:eastAsia="方正小标宋简体" w:cs="方正小标宋简体"/>
          <w:b/>
          <w:bCs/>
          <w:snapToGrid/>
          <w:color w:val="000000" w:themeColor="text1"/>
          <w:spacing w:val="0"/>
          <w:w w:val="100"/>
          <w:kern w:val="21"/>
          <w:sz w:val="44"/>
          <w:szCs w:val="44"/>
        </w:rPr>
        <w:t>关于印发济宁高新区畜禽养殖污染防治规划</w:t>
      </w:r>
      <w:r>
        <w:rPr>
          <w:rFonts w:hint="eastAsia" w:ascii="方正小标宋简体" w:hAnsi="方正小标宋简体" w:eastAsia="方正小标宋简体" w:cs="方正小标宋简体"/>
          <w:b/>
          <w:bCs/>
          <w:snapToGrid/>
          <w:color w:val="000000" w:themeColor="text1"/>
          <w:spacing w:val="0"/>
          <w:w w:val="100"/>
          <w:kern w:val="21"/>
          <w:sz w:val="44"/>
          <w:szCs w:val="44"/>
          <w:lang w:eastAsia="zh-CN"/>
        </w:rPr>
        <w:t>（</w:t>
      </w:r>
      <w:r>
        <w:rPr>
          <w:rFonts w:hint="eastAsia" w:ascii="方正小标宋简体" w:hAnsi="方正小标宋简体" w:eastAsia="方正小标宋简体" w:cs="方正小标宋简体"/>
          <w:b/>
          <w:bCs/>
          <w:snapToGrid/>
          <w:color w:val="000000" w:themeColor="text1"/>
          <w:spacing w:val="0"/>
          <w:w w:val="100"/>
          <w:kern w:val="21"/>
          <w:sz w:val="44"/>
          <w:szCs w:val="44"/>
        </w:rPr>
        <w:t>2021</w:t>
      </w:r>
      <w:r>
        <w:rPr>
          <w:rFonts w:hint="eastAsia" w:ascii="方正小标宋简体" w:hAnsi="方正小标宋简体" w:eastAsia="方正小标宋简体" w:cs="方正小标宋简体"/>
          <w:b/>
          <w:bCs/>
          <w:snapToGrid/>
          <w:color w:val="000000" w:themeColor="text1"/>
          <w:spacing w:val="0"/>
          <w:w w:val="100"/>
          <w:kern w:val="21"/>
          <w:sz w:val="44"/>
          <w:szCs w:val="44"/>
          <w:lang w:eastAsia="zh-CN"/>
        </w:rPr>
        <w:t>—</w:t>
      </w:r>
      <w:r>
        <w:rPr>
          <w:rFonts w:hint="eastAsia" w:ascii="方正小标宋简体" w:hAnsi="方正小标宋简体" w:eastAsia="方正小标宋简体" w:cs="方正小标宋简体"/>
          <w:b/>
          <w:bCs/>
          <w:snapToGrid/>
          <w:color w:val="000000" w:themeColor="text1"/>
          <w:spacing w:val="0"/>
          <w:w w:val="100"/>
          <w:kern w:val="21"/>
          <w:sz w:val="44"/>
          <w:szCs w:val="44"/>
        </w:rPr>
        <w:t>2025年）的通知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textAlignment w:val="auto"/>
        <w:rPr>
          <w:rFonts w:ascii="方正仿宋简体" w:hAnsi="方正仿宋简体" w:eastAsia="方正仿宋简体" w:cs="宋体"/>
          <w:b/>
          <w:bCs/>
          <w:snapToGrid/>
          <w:color w:val="000000" w:themeColor="text1"/>
          <w:spacing w:val="0"/>
          <w:w w:val="100"/>
          <w:kern w:val="21"/>
          <w:sz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textAlignment w:val="auto"/>
        <w:rPr>
          <w:rFonts w:ascii="方正仿宋简体" w:hAnsi="方正仿宋简体" w:eastAsia="方正仿宋简体" w:cs="宋体"/>
          <w:b/>
          <w:bCs/>
          <w:snapToGrid/>
          <w:color w:val="000000" w:themeColor="text1"/>
          <w:spacing w:val="0"/>
          <w:w w:val="100"/>
          <w:kern w:val="21"/>
          <w:sz w:val="32"/>
        </w:rPr>
      </w:pPr>
      <w:r>
        <w:rPr>
          <w:rFonts w:hint="eastAsia" w:ascii="方正仿宋简体" w:hAnsi="方正仿宋简体" w:eastAsia="方正仿宋简体" w:cs="宋体"/>
          <w:b/>
          <w:bCs/>
          <w:snapToGrid/>
          <w:color w:val="000000" w:themeColor="text1"/>
          <w:spacing w:val="0"/>
          <w:w w:val="100"/>
          <w:kern w:val="21"/>
          <w:sz w:val="32"/>
        </w:rPr>
        <w:t>各街道办事处，区直</w:t>
      </w:r>
      <w:r>
        <w:rPr>
          <w:rFonts w:hint="eastAsia" w:ascii="方正仿宋简体" w:hAnsi="方正仿宋简体" w:eastAsia="方正仿宋简体" w:cs="宋体"/>
          <w:b/>
          <w:bCs/>
          <w:snapToGrid/>
          <w:color w:val="000000" w:themeColor="text1"/>
          <w:spacing w:val="0"/>
          <w:w w:val="100"/>
          <w:kern w:val="21"/>
          <w:sz w:val="32"/>
          <w:lang w:val="en-US" w:eastAsia="zh-CN"/>
        </w:rPr>
        <w:t>各部门单位，各驻区单位，各区管国有企业</w:t>
      </w:r>
      <w:r>
        <w:rPr>
          <w:rFonts w:hint="eastAsia" w:ascii="方正仿宋简体" w:hAnsi="方正仿宋简体" w:eastAsia="方正仿宋简体" w:cs="宋体"/>
          <w:b/>
          <w:bCs/>
          <w:snapToGrid/>
          <w:color w:val="000000" w:themeColor="text1"/>
          <w:spacing w:val="0"/>
          <w:w w:val="100"/>
          <w:kern w:val="21"/>
          <w:sz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textAlignment w:val="auto"/>
        <w:rPr>
          <w:rFonts w:ascii="方正仿宋简体" w:hAnsi="方正仿宋简体" w:eastAsia="方正仿宋简体" w:cs="宋体"/>
          <w:b/>
          <w:bCs/>
          <w:snapToGrid/>
          <w:color w:val="000000" w:themeColor="text1"/>
          <w:spacing w:val="0"/>
          <w:w w:val="100"/>
          <w:kern w:val="21"/>
          <w:sz w:val="32"/>
        </w:rPr>
      </w:pPr>
      <w:r>
        <w:rPr>
          <w:rFonts w:hint="eastAsia" w:ascii="方正仿宋简体" w:hAnsi="方正仿宋简体" w:eastAsia="方正仿宋简体" w:cs="宋体"/>
          <w:b/>
          <w:bCs/>
          <w:snapToGrid/>
          <w:color w:val="000000" w:themeColor="text1"/>
          <w:spacing w:val="0"/>
          <w:w w:val="100"/>
          <w:kern w:val="21"/>
          <w:sz w:val="32"/>
        </w:rPr>
        <w:t>《济宁</w:t>
      </w:r>
      <w:r>
        <w:rPr>
          <w:rFonts w:hint="eastAsia" w:ascii="方正仿宋简体" w:hAnsi="方正仿宋简体" w:eastAsia="方正仿宋简体" w:cs="宋体"/>
          <w:b/>
          <w:bCs/>
          <w:snapToGrid/>
          <w:color w:val="000000" w:themeColor="text1"/>
          <w:spacing w:val="0"/>
          <w:w w:val="100"/>
          <w:kern w:val="21"/>
          <w:sz w:val="32"/>
          <w:lang w:val="en-US" w:eastAsia="zh-CN"/>
        </w:rPr>
        <w:t>高新区</w:t>
      </w:r>
      <w:r>
        <w:rPr>
          <w:rFonts w:hint="eastAsia" w:ascii="方正仿宋简体" w:hAnsi="方正仿宋简体" w:eastAsia="方正仿宋简体" w:cs="宋体"/>
          <w:b/>
          <w:bCs/>
          <w:snapToGrid/>
          <w:color w:val="000000" w:themeColor="text1"/>
          <w:spacing w:val="0"/>
          <w:w w:val="100"/>
          <w:kern w:val="21"/>
          <w:sz w:val="32"/>
        </w:rPr>
        <w:t>畜禽养殖污染防治规划</w:t>
      </w:r>
      <w:r>
        <w:rPr>
          <w:rFonts w:hint="eastAsia" w:ascii="方正仿宋简体" w:hAnsi="方正仿宋简体" w:eastAsia="方正仿宋简体" w:cs="宋体"/>
          <w:b/>
          <w:bCs/>
          <w:snapToGrid/>
          <w:color w:val="000000" w:themeColor="text1"/>
          <w:spacing w:val="0"/>
          <w:w w:val="100"/>
          <w:kern w:val="21"/>
          <w:sz w:val="32"/>
          <w:lang w:eastAsia="zh-CN"/>
        </w:rPr>
        <w:t>（</w:t>
      </w:r>
      <w:r>
        <w:rPr>
          <w:rFonts w:hint="eastAsia" w:ascii="方正仿宋简体" w:hAnsi="方正仿宋简体" w:eastAsia="方正仿宋简体" w:cs="宋体"/>
          <w:b/>
          <w:bCs/>
          <w:snapToGrid/>
          <w:color w:val="000000" w:themeColor="text1"/>
          <w:spacing w:val="0"/>
          <w:w w:val="100"/>
          <w:kern w:val="21"/>
          <w:sz w:val="32"/>
        </w:rPr>
        <w:t>2021</w:t>
      </w:r>
      <w:r>
        <w:rPr>
          <w:rFonts w:hint="eastAsia" w:ascii="方正仿宋简体" w:hAnsi="方正仿宋简体" w:eastAsia="方正仿宋简体" w:cs="宋体"/>
          <w:b/>
          <w:bCs/>
          <w:snapToGrid/>
          <w:color w:val="000000" w:themeColor="text1"/>
          <w:spacing w:val="0"/>
          <w:w w:val="100"/>
          <w:kern w:val="21"/>
          <w:sz w:val="32"/>
          <w:lang w:eastAsia="zh-CN"/>
        </w:rPr>
        <w:t>—</w:t>
      </w:r>
      <w:r>
        <w:rPr>
          <w:rFonts w:hint="eastAsia" w:ascii="方正仿宋简体" w:hAnsi="方正仿宋简体" w:eastAsia="方正仿宋简体" w:cs="宋体"/>
          <w:b/>
          <w:bCs/>
          <w:snapToGrid/>
          <w:color w:val="000000" w:themeColor="text1"/>
          <w:spacing w:val="0"/>
          <w:w w:val="100"/>
          <w:kern w:val="21"/>
          <w:sz w:val="32"/>
        </w:rPr>
        <w:t>2025年）》</w:t>
      </w:r>
      <w:r>
        <w:rPr>
          <w:rFonts w:hint="eastAsia" w:ascii="方正仿宋简体" w:hAnsi="方正仿宋简体" w:eastAsia="方正仿宋简体" w:cs="宋体"/>
          <w:b/>
          <w:bCs/>
          <w:snapToGrid/>
          <w:color w:val="000000" w:themeColor="text1"/>
          <w:spacing w:val="0"/>
          <w:w w:val="100"/>
          <w:kern w:val="21"/>
          <w:sz w:val="32"/>
          <w:lang w:val="en-US" w:eastAsia="zh-CN"/>
        </w:rPr>
        <w:t>已经区管委会同意，现</w:t>
      </w:r>
      <w:r>
        <w:rPr>
          <w:rFonts w:hint="eastAsia" w:ascii="方正仿宋简体" w:hAnsi="方正仿宋简体" w:eastAsia="方正仿宋简体" w:cs="宋体"/>
          <w:b/>
          <w:bCs/>
          <w:snapToGrid/>
          <w:color w:val="000000" w:themeColor="text1"/>
          <w:spacing w:val="0"/>
          <w:w w:val="100"/>
          <w:kern w:val="21"/>
          <w:sz w:val="32"/>
        </w:rPr>
        <w:t>印发给你们，请认真贯彻执行。</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right="0" w:firstLine="640"/>
        <w:textAlignment w:val="auto"/>
        <w:rPr>
          <w:rFonts w:ascii="方正仿宋简体" w:hAnsi="方正仿宋简体" w:eastAsia="方正仿宋简体" w:cs="宋体"/>
          <w:b/>
          <w:bCs/>
          <w:snapToGrid/>
          <w:color w:val="000000" w:themeColor="text1"/>
          <w:spacing w:val="0"/>
          <w:w w:val="100"/>
          <w:kern w:val="21"/>
          <w:sz w:val="32"/>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right="0" w:firstLine="4498" w:firstLineChars="1400"/>
        <w:textAlignment w:val="auto"/>
        <w:rPr>
          <w:rFonts w:hint="eastAsia" w:eastAsia="方正仿宋简体"/>
          <w:b/>
          <w:bCs/>
          <w:snapToGrid/>
          <w:spacing w:val="0"/>
          <w:w w:val="100"/>
          <w:kern w:val="21"/>
          <w:lang w:val="en-US" w:eastAsia="zh-CN"/>
        </w:rPr>
      </w:pPr>
      <w:r>
        <w:rPr>
          <w:rFonts w:hint="eastAsia" w:ascii="方正仿宋简体" w:hAnsi="方正仿宋简体" w:eastAsia="方正仿宋简体" w:cs="宋体"/>
          <w:b/>
          <w:bCs/>
          <w:snapToGrid/>
          <w:color w:val="000000" w:themeColor="text1"/>
          <w:spacing w:val="0"/>
          <w:w w:val="100"/>
          <w:kern w:val="21"/>
          <w:sz w:val="32"/>
        </w:rPr>
        <w:t>济宁高新区管委会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4498" w:firstLineChars="1400"/>
        <w:jc w:val="both"/>
        <w:textAlignment w:val="auto"/>
        <w:rPr>
          <w:rFonts w:ascii="方正仿宋简体" w:hAnsi="方正仿宋简体" w:eastAsia="方正仿宋简体" w:cs="宋体"/>
          <w:b/>
          <w:bCs/>
          <w:snapToGrid/>
          <w:color w:val="000000" w:themeColor="text1"/>
          <w:spacing w:val="0"/>
          <w:w w:val="100"/>
          <w:kern w:val="21"/>
          <w:sz w:val="32"/>
        </w:rPr>
      </w:pPr>
      <w:r>
        <w:rPr>
          <w:rFonts w:hint="eastAsia" w:ascii="方正仿宋简体" w:hAnsi="方正仿宋简体" w:eastAsia="方正仿宋简体" w:cs="宋体"/>
          <w:b/>
          <w:bCs/>
          <w:snapToGrid/>
          <w:color w:val="000000" w:themeColor="text1"/>
          <w:spacing w:val="0"/>
          <w:w w:val="100"/>
          <w:kern w:val="21"/>
          <w:sz w:val="32"/>
        </w:rPr>
        <w:t>2023年6月29日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643" w:firstLineChars="200"/>
        <w:textAlignment w:val="auto"/>
        <w:rPr>
          <w:rFonts w:ascii="方正仿宋简体" w:hAnsi="方正仿宋简体" w:cs="宋体"/>
          <w:b/>
          <w:bCs/>
          <w:snapToGrid/>
          <w:color w:val="000000" w:themeColor="text1"/>
          <w:spacing w:val="0"/>
          <w:w w:val="100"/>
          <w:kern w:val="21"/>
          <w:sz w:val="32"/>
        </w:rPr>
      </w:pPr>
      <w:r>
        <w:rPr>
          <w:rFonts w:hint="eastAsia" w:ascii="方正仿宋简体" w:hAnsi="方正仿宋简体" w:eastAsia="方正仿宋简体" w:cs="宋体"/>
          <w:b/>
          <w:bCs/>
          <w:snapToGrid/>
          <w:color w:val="000000" w:themeColor="text1"/>
          <w:spacing w:val="0"/>
          <w:w w:val="100"/>
          <w:kern w:val="21"/>
          <w:sz w:val="32"/>
          <w:lang w:eastAsia="zh-CN"/>
        </w:rPr>
        <w:t>（</w:t>
      </w:r>
      <w:r>
        <w:rPr>
          <w:rFonts w:hint="eastAsia" w:ascii="方正仿宋简体" w:hAnsi="方正仿宋简体" w:eastAsia="方正仿宋简体" w:cs="宋体"/>
          <w:b/>
          <w:bCs/>
          <w:snapToGrid/>
          <w:color w:val="000000" w:themeColor="text1"/>
          <w:spacing w:val="0"/>
          <w:w w:val="100"/>
          <w:kern w:val="21"/>
          <w:sz w:val="32"/>
        </w:rPr>
        <w:t>此件公开发布）</w:t>
      </w:r>
      <w:r>
        <w:rPr>
          <w:rFonts w:ascii="方正仿宋简体" w:hAnsi="方正仿宋简体" w:cs="宋体"/>
          <w:b/>
          <w:bCs/>
          <w:snapToGrid/>
          <w:color w:val="000000" w:themeColor="text1"/>
          <w:spacing w:val="0"/>
          <w:w w:val="100"/>
          <w:kern w:val="21"/>
          <w:sz w:val="32"/>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hint="eastAsia" w:ascii="方正小标宋简体" w:hAnsi="方正小标宋简体" w:eastAsia="方正小标宋简体" w:cs="方正小标宋简体"/>
          <w:b/>
          <w:bCs/>
          <w:snapToGrid/>
          <w:color w:val="000000" w:themeColor="text1"/>
          <w:spacing w:val="0"/>
          <w:w w:val="100"/>
          <w:kern w:val="21"/>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hint="eastAsia" w:ascii="方正小标宋简体" w:hAnsi="方正小标宋简体" w:eastAsia="方正小标宋简体" w:cs="方正小标宋简体"/>
          <w:b/>
          <w:bCs/>
          <w:snapToGrid/>
          <w:color w:val="000000" w:themeColor="text1"/>
          <w:spacing w:val="0"/>
          <w:w w:val="100"/>
          <w:kern w:val="21"/>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hint="eastAsia" w:ascii="方正小标宋简体" w:hAnsi="方正小标宋简体" w:eastAsia="方正小标宋简体" w:cs="方正小标宋简体"/>
          <w:b/>
          <w:bCs/>
          <w:snapToGrid/>
          <w:color w:val="000000" w:themeColor="text1"/>
          <w:spacing w:val="0"/>
          <w:w w:val="100"/>
          <w:kern w:val="21"/>
          <w:sz w:val="44"/>
          <w:szCs w:val="44"/>
        </w:rPr>
      </w:pPr>
      <w:r>
        <w:rPr>
          <w:rFonts w:hint="eastAsia" w:ascii="方正小标宋简体" w:hAnsi="方正小标宋简体" w:eastAsia="方正小标宋简体" w:cs="方正小标宋简体"/>
          <w:b/>
          <w:bCs/>
          <w:snapToGrid/>
          <w:color w:val="000000" w:themeColor="text1"/>
          <w:spacing w:val="0"/>
          <w:w w:val="100"/>
          <w:kern w:val="21"/>
          <w:sz w:val="44"/>
          <w:szCs w:val="44"/>
        </w:rPr>
        <w:t>济宁高新区畜禽养殖污染防治规划</w:t>
      </w:r>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hint="eastAsia" w:ascii="方正小标宋简体" w:hAnsi="方正小标宋简体" w:eastAsia="方正小标宋简体" w:cs="方正小标宋简体"/>
          <w:b/>
          <w:bCs/>
          <w:snapToGrid/>
          <w:color w:val="000000" w:themeColor="text1"/>
          <w:spacing w:val="0"/>
          <w:w w:val="100"/>
          <w:kern w:val="21"/>
          <w:sz w:val="44"/>
          <w:szCs w:val="44"/>
        </w:rPr>
      </w:pPr>
      <w:r>
        <w:rPr>
          <w:rFonts w:hint="eastAsia" w:ascii="方正小标宋简体" w:hAnsi="方正小标宋简体" w:eastAsia="方正小标宋简体" w:cs="方正小标宋简体"/>
          <w:b/>
          <w:bCs/>
          <w:snapToGrid/>
          <w:color w:val="000000" w:themeColor="text1"/>
          <w:spacing w:val="0"/>
          <w:w w:val="100"/>
          <w:kern w:val="21"/>
          <w:sz w:val="44"/>
          <w:szCs w:val="44"/>
          <w:lang w:eastAsia="zh-CN"/>
        </w:rPr>
        <w:t>（</w:t>
      </w:r>
      <w:r>
        <w:rPr>
          <w:rFonts w:hint="eastAsia" w:ascii="方正小标宋简体" w:hAnsi="方正小标宋简体" w:eastAsia="方正小标宋简体" w:cs="方正小标宋简体"/>
          <w:b/>
          <w:bCs/>
          <w:snapToGrid/>
          <w:color w:val="000000" w:themeColor="text1"/>
          <w:spacing w:val="0"/>
          <w:w w:val="100"/>
          <w:kern w:val="21"/>
          <w:sz w:val="44"/>
          <w:szCs w:val="44"/>
        </w:rPr>
        <w:t>2021</w:t>
      </w:r>
      <w:r>
        <w:rPr>
          <w:rFonts w:hint="eastAsia" w:ascii="方正小标宋简体" w:hAnsi="方正小标宋简体" w:eastAsia="方正小标宋简体" w:cs="方正小标宋简体"/>
          <w:b/>
          <w:bCs/>
          <w:snapToGrid/>
          <w:color w:val="000000" w:themeColor="text1"/>
          <w:spacing w:val="0"/>
          <w:w w:val="100"/>
          <w:kern w:val="21"/>
          <w:sz w:val="44"/>
          <w:szCs w:val="44"/>
          <w:lang w:eastAsia="zh-CN"/>
        </w:rPr>
        <w:t>—</w:t>
      </w:r>
      <w:r>
        <w:rPr>
          <w:rFonts w:hint="eastAsia" w:ascii="方正小标宋简体" w:hAnsi="方正小标宋简体" w:eastAsia="方正小标宋简体" w:cs="方正小标宋简体"/>
          <w:b/>
          <w:bCs/>
          <w:snapToGrid/>
          <w:color w:val="000000" w:themeColor="text1"/>
          <w:spacing w:val="0"/>
          <w:w w:val="100"/>
          <w:kern w:val="21"/>
          <w:sz w:val="44"/>
          <w:szCs w:val="44"/>
        </w:rPr>
        <w:t>2025年）</w:t>
      </w: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jc w:val="center"/>
        <w:textAlignment w:val="auto"/>
        <w:rPr>
          <w:rFonts w:hint="eastAsia" w:ascii="方正小标宋简体" w:hAnsi="方正小标宋简体" w:eastAsia="方正小标宋简体" w:cs="方正小标宋简体"/>
          <w:b/>
          <w:bCs/>
          <w:snapToGrid/>
          <w:color w:val="000000" w:themeColor="text1"/>
          <w:spacing w:val="0"/>
          <w:w w:val="100"/>
          <w:kern w:val="21"/>
          <w:sz w:val="36"/>
          <w:szCs w:val="36"/>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ascii="方正小标宋简体" w:hAnsi="方正小标宋简体" w:eastAsia="方正小标宋简体" w:cs="方正小标宋简体"/>
          <w:b/>
          <w:bCs/>
          <w:snapToGrid/>
          <w:color w:val="000000" w:themeColor="text1"/>
          <w:spacing w:val="0"/>
          <w:w w:val="100"/>
          <w:kern w:val="21"/>
          <w:sz w:val="32"/>
          <w:szCs w:val="32"/>
        </w:rPr>
      </w:pPr>
      <w:r>
        <w:rPr>
          <w:rFonts w:hint="eastAsia" w:ascii="方正小标宋简体" w:hAnsi="方正小标宋简体" w:eastAsia="方正小标宋简体" w:cs="方正小标宋简体"/>
          <w:b/>
          <w:bCs/>
          <w:snapToGrid/>
          <w:color w:val="000000" w:themeColor="text1"/>
          <w:spacing w:val="0"/>
          <w:w w:val="100"/>
          <w:kern w:val="21"/>
          <w:sz w:val="32"/>
          <w:szCs w:val="32"/>
        </w:rPr>
        <w:t>第一章  总  则</w:t>
      </w:r>
      <w:bookmarkEnd w:id="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eastAsia="仿宋_GB2312" w:cs="宋体"/>
          <w:b/>
          <w:bCs/>
          <w:snapToGrid/>
          <w:color w:val="000000" w:themeColor="text1"/>
          <w:spacing w:val="0"/>
          <w:w w:val="100"/>
          <w:kern w:val="21"/>
          <w:sz w:val="32"/>
          <w:szCs w:val="32"/>
        </w:rPr>
      </w:pPr>
      <w:bookmarkStart w:id="90" w:name="_GoBack"/>
      <w:bookmarkEnd w:id="90"/>
      <w:bookmarkStart w:id="3" w:name="_Toc31809"/>
      <w:bookmarkStart w:id="4" w:name="_Toc9913231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一、编制背景</w:t>
      </w:r>
      <w:bookmarkEnd w:id="3"/>
      <w:bookmarkEnd w:id="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为贯彻落实《中华人民共和国环境保护法》《中华人民共和国畜牧法》《畜禽规模养殖污染防治条例》，推进畜禽养殖污染防治，引导畜牧业绿色发展，保护和改善生态环境，保障人民群众身体健康，根据《畜禽养殖污染防治规划编制指南</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试行）》《济宁市畜禽养殖污染防治规划》</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eastAsia" w:eastAsia="方正仿宋简体" w:cs="Times New Roman"/>
          <w:b/>
          <w:bCs/>
          <w:snapToGrid/>
          <w:color w:val="000000" w:themeColor="text1"/>
          <w:spacing w:val="0"/>
          <w:w w:val="100"/>
          <w:kern w:val="21"/>
          <w:sz w:val="32"/>
          <w:szCs w:val="32"/>
          <w:lang w:val="en-US" w:eastAsia="zh-CN"/>
        </w:rPr>
        <w:t>济政字</w:t>
      </w:r>
      <w:r>
        <w:rPr>
          <w:rFonts w:hint="eastAsia" w:ascii="Times New Roman" w:hAnsi="Times New Roman" w:eastAsia="方正仿宋简体" w:cs="Times New Roman"/>
          <w:b/>
          <w:bCs/>
          <w:snapToGrid/>
          <w:color w:val="000000" w:themeColor="text1"/>
          <w:spacing w:val="0"/>
          <w:w w:val="100"/>
          <w:kern w:val="21"/>
          <w:sz w:val="32"/>
          <w:szCs w:val="32"/>
        </w:rPr>
        <w:t>〔2023〕</w:t>
      </w:r>
      <w:r>
        <w:rPr>
          <w:rFonts w:hint="eastAsia" w:ascii="Times New Roman" w:hAnsi="Times New Roman" w:eastAsia="方正仿宋简体" w:cs="Times New Roman"/>
          <w:b/>
          <w:bCs/>
          <w:snapToGrid/>
          <w:color w:val="000000" w:themeColor="text1"/>
          <w:spacing w:val="0"/>
          <w:w w:val="100"/>
          <w:kern w:val="21"/>
          <w:sz w:val="32"/>
          <w:szCs w:val="32"/>
          <w:lang w:val="en-US" w:eastAsia="zh-CN"/>
        </w:rPr>
        <w:t>18</w:t>
      </w:r>
      <w:r>
        <w:rPr>
          <w:rFonts w:hint="eastAsia" w:ascii="方正仿宋简体" w:hAnsi="方正仿宋简体" w:eastAsia="方正仿宋简体" w:cs="方正仿宋简体"/>
          <w:b/>
          <w:snapToGrid/>
          <w:spacing w:val="0"/>
          <w:w w:val="100"/>
          <w:kern w:val="21"/>
          <w:sz w:val="32"/>
          <w:szCs w:val="32"/>
          <w:lang w:bidi="ar"/>
        </w:rPr>
        <w:t>号</w:t>
      </w:r>
      <w:r>
        <w:rPr>
          <w:rFonts w:hint="default" w:ascii="Times New Roman" w:hAnsi="Times New Roman" w:eastAsia="方正仿宋简体" w:cs="Times New Roman"/>
          <w:b/>
          <w:bCs/>
          <w:snapToGrid/>
          <w:color w:val="000000" w:themeColor="text1"/>
          <w:spacing w:val="0"/>
          <w:w w:val="100"/>
          <w:kern w:val="21"/>
          <w:sz w:val="32"/>
          <w:szCs w:val="32"/>
        </w:rPr>
        <w:t>），结合高新区已划定的禁养区方案，紧紧围绕</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推进畜禽粪污无害化处理和资源化利用，促进农业可持续发展，改善农村居民生产生活环境</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和</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加快构建种养结合、农牧循环的可持续发展新格局</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的基本目标，通过与生态环境保护、畜牧业发展等相关规划充分衔接，在现场调研、实地考察、广泛收集资料和充分征求各方意见的基础上，编制《</w:t>
      </w:r>
      <w:r>
        <w:rPr>
          <w:rFonts w:hint="eastAsia" w:eastAsia="方正仿宋简体" w:cs="Times New Roman"/>
          <w:b/>
          <w:bCs/>
          <w:snapToGrid/>
          <w:color w:val="000000" w:themeColor="text1"/>
          <w:spacing w:val="0"/>
          <w:w w:val="100"/>
          <w:kern w:val="21"/>
          <w:sz w:val="32"/>
          <w:szCs w:val="32"/>
          <w:lang w:val="en-US" w:eastAsia="zh-CN"/>
        </w:rPr>
        <w:t>济宁</w:t>
      </w:r>
      <w:r>
        <w:rPr>
          <w:rFonts w:hint="default" w:ascii="Times New Roman" w:hAnsi="Times New Roman" w:eastAsia="方正仿宋简体" w:cs="Times New Roman"/>
          <w:b/>
          <w:bCs/>
          <w:snapToGrid/>
          <w:color w:val="000000" w:themeColor="text1"/>
          <w:spacing w:val="0"/>
          <w:w w:val="100"/>
          <w:kern w:val="21"/>
          <w:sz w:val="32"/>
          <w:szCs w:val="32"/>
        </w:rPr>
        <w:t>高新区畜禽养殖污染防治规划</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2021</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2025年）》。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bookmarkStart w:id="5" w:name="_Toc28663"/>
      <w:r>
        <w:rPr>
          <w:rFonts w:hint="default" w:ascii="Times New Roman" w:hAnsi="Times New Roman" w:eastAsia="方正黑体简体" w:cs="Times New Roman"/>
          <w:b/>
          <w:bCs/>
          <w:snapToGrid/>
          <w:color w:val="000000" w:themeColor="text1"/>
          <w:spacing w:val="0"/>
          <w:w w:val="100"/>
          <w:kern w:val="21"/>
          <w:sz w:val="32"/>
          <w:szCs w:val="32"/>
        </w:rPr>
        <w:t>二、指导思想</w:t>
      </w:r>
      <w:bookmarkEnd w:id="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6" w:name="_Toc881"/>
      <w:r>
        <w:rPr>
          <w:rFonts w:hint="default" w:ascii="Times New Roman" w:hAnsi="Times New Roman" w:eastAsia="方正仿宋简体" w:cs="Times New Roman"/>
          <w:b/>
          <w:bCs/>
          <w:snapToGrid/>
          <w:color w:val="000000" w:themeColor="text1"/>
          <w:spacing w:val="0"/>
          <w:w w:val="100"/>
          <w:kern w:val="21"/>
          <w:sz w:val="32"/>
          <w:szCs w:val="32"/>
        </w:rPr>
        <w:t>坚持以习近平新时代中国特色社会主义思想为指导，深入践行习近平生态文明思想，认真贯彻党的十九大和十九届历次全会精神以及中央农村工作会议精神，全面以国家和地方环境保护法律、法规为依据，以优化畜禽养殖产业布局、控制农业面源污染、保障生态环境安全为目的，以统筹兼顾、科学可行、依法合规、以人为本为基本原则，综合考虑全区区域主体功能定位及生态功能重要性，正确处理发展和保护的关系，切实加强环境监管，促进环境保护和畜牧业协调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三、编制依据</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_GBK" w:cs="Times New Roman"/>
          <w:b/>
          <w:bCs/>
          <w:snapToGrid/>
          <w:color w:val="000000" w:themeColor="text1"/>
          <w:spacing w:val="0"/>
          <w:w w:val="100"/>
          <w:kern w:val="21"/>
          <w:sz w:val="32"/>
          <w:szCs w:val="32"/>
        </w:rPr>
      </w:pPr>
      <w:bookmarkStart w:id="7" w:name="_Toc23908"/>
      <w:r>
        <w:rPr>
          <w:rFonts w:hint="default" w:ascii="Times New Roman" w:hAnsi="Times New Roman" w:eastAsia="方正楷体_GBK" w:cs="Times New Roman"/>
          <w:b/>
          <w:bCs/>
          <w:snapToGrid/>
          <w:color w:val="000000" w:themeColor="text1"/>
          <w:spacing w:val="0"/>
          <w:w w:val="100"/>
          <w:kern w:val="21"/>
          <w:sz w:val="32"/>
          <w:szCs w:val="32"/>
          <w:lang w:eastAsia="zh-CN"/>
        </w:rPr>
        <w:t>（</w:t>
      </w:r>
      <w:r>
        <w:rPr>
          <w:rFonts w:hint="default" w:ascii="Times New Roman" w:hAnsi="Times New Roman" w:eastAsia="方正楷体_GBK" w:cs="Times New Roman"/>
          <w:b/>
          <w:bCs/>
          <w:snapToGrid/>
          <w:color w:val="000000" w:themeColor="text1"/>
          <w:spacing w:val="0"/>
          <w:w w:val="100"/>
          <w:kern w:val="21"/>
          <w:sz w:val="32"/>
          <w:szCs w:val="32"/>
        </w:rPr>
        <w:t>一）法律法规</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1）《中华人民共和国环境保护法》</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2014年修订）；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2）《中华人民共和国大气污染防治法》</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2018年修订）；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3）《中华人民共和国水污染防治法》</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2017年修订）；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4）《中华人民共和国土壤污染防治法》</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2018年）；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5）《中华人民共和国固</w:t>
      </w:r>
      <w:bookmarkStart w:id="8" w:name="_Hlt118053242"/>
      <w:bookmarkStart w:id="9" w:name="_Hlt118053243"/>
      <w:r>
        <w:rPr>
          <w:rFonts w:hint="default" w:ascii="Times New Roman" w:hAnsi="Times New Roman" w:eastAsia="方正仿宋简体" w:cs="Times New Roman"/>
          <w:b/>
          <w:bCs/>
          <w:snapToGrid/>
          <w:color w:val="000000" w:themeColor="text1"/>
          <w:spacing w:val="0"/>
          <w:w w:val="100"/>
          <w:kern w:val="21"/>
          <w:sz w:val="32"/>
          <w:szCs w:val="32"/>
        </w:rPr>
        <w:t>体</w:t>
      </w:r>
      <w:bookmarkEnd w:id="8"/>
      <w:bookmarkEnd w:id="9"/>
      <w:r>
        <w:rPr>
          <w:rFonts w:hint="default" w:ascii="Times New Roman" w:hAnsi="Times New Roman" w:eastAsia="方正仿宋简体" w:cs="Times New Roman"/>
          <w:b/>
          <w:bCs/>
          <w:snapToGrid/>
          <w:color w:val="000000" w:themeColor="text1"/>
          <w:spacing w:val="0"/>
          <w:w w:val="100"/>
          <w:kern w:val="21"/>
          <w:sz w:val="32"/>
          <w:szCs w:val="32"/>
        </w:rPr>
        <w:t>废物污染环境防治法》</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2020年修订）；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6）《中华人民共和国农业法》</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2012年修正）；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7）《中华人民共和国畜牧法》</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2015年修正）；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8）《畜禽规模养殖污染防治条例》</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国务院令第643号）；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9）《山东省畜禽养殖管理办法》</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2021年修订）；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10）《山东省环境保护条例》</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2018年修订）；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11）《山东省水污染防治条例》</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2018年）；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12）《山东省大气污染防治条例》</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2018年）；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13）《济宁市大气污染防治条例》</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2017年）；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14）《济宁市水环境保护条例》</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2021年）。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_GBK" w:cs="Times New Roman"/>
          <w:b/>
          <w:bCs/>
          <w:snapToGrid/>
          <w:color w:val="000000" w:themeColor="text1"/>
          <w:spacing w:val="0"/>
          <w:w w:val="100"/>
          <w:kern w:val="21"/>
          <w:sz w:val="32"/>
          <w:szCs w:val="32"/>
        </w:rPr>
      </w:pPr>
      <w:bookmarkStart w:id="10" w:name="_Toc12760"/>
      <w:r>
        <w:rPr>
          <w:rFonts w:hint="default" w:ascii="Times New Roman" w:hAnsi="Times New Roman" w:eastAsia="方正楷体_GBK" w:cs="Times New Roman"/>
          <w:b/>
          <w:bCs/>
          <w:snapToGrid/>
          <w:color w:val="000000" w:themeColor="text1"/>
          <w:spacing w:val="0"/>
          <w:w w:val="100"/>
          <w:kern w:val="21"/>
          <w:sz w:val="32"/>
          <w:szCs w:val="32"/>
          <w:lang w:eastAsia="zh-CN"/>
        </w:rPr>
        <w:t>（</w:t>
      </w:r>
      <w:r>
        <w:rPr>
          <w:rFonts w:hint="default" w:ascii="Times New Roman" w:hAnsi="Times New Roman" w:eastAsia="方正楷体_GBK" w:cs="Times New Roman"/>
          <w:b/>
          <w:bCs/>
          <w:snapToGrid/>
          <w:color w:val="000000" w:themeColor="text1"/>
          <w:spacing w:val="0"/>
          <w:w w:val="100"/>
          <w:kern w:val="21"/>
          <w:sz w:val="32"/>
          <w:szCs w:val="32"/>
        </w:rPr>
        <w:t>二）标准规范</w:t>
      </w:r>
      <w:bookmarkEnd w:id="1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1）《农田灌溉水质标准》</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 5084）；</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2）《畜禽养殖污水采样技术规范》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GB/T 27522）；</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3）《土壤环境质量</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农用地土壤污染风险管控标准</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试行）》</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 15618）；</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4）《畜禽养殖业污染物排放标准》</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 18596）；</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5）《畜禽粪便监测技术规范》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GB/T 25169）；</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6）《畜禽粪便还田技术规范》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GB/T 25246）；</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7）《畜禽养殖污水贮存设施设计要求》</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GB/T 26624）；</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8）《畜禽粪便贮存设施设计要求》</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GB/T 27622）；</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9）《畜禽粪便无害化处理技术规范》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GB/T 36195）；</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10）《畜禽养殖业污染治理工程技术规范》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HJ 497）；</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11）《排污许可证申请与核发技术规范 畜禽养殖行业》</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HJ 1029）；</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12）《畜禽养殖业污染防治技术规范》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HJ/T 81）；</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13）《畜禽场环境污染控制技术规范》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NY/T 1169）；</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14）《沼肥施用技术规范》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NY/T 2065）；</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15）《畜禽粪便堆肥技术规范》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NY/T3442）。</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rPr>
      </w:pPr>
      <w:bookmarkStart w:id="11" w:name="_Toc28486"/>
      <w:r>
        <w:rPr>
          <w:rFonts w:hint="default" w:ascii="Times New Roman" w:hAnsi="Times New Roman" w:eastAsia="方正楷体简体" w:cs="Times New Roman"/>
          <w:b/>
          <w:bCs/>
          <w:snapToGrid/>
          <w:color w:val="000000" w:themeColor="text1"/>
          <w:spacing w:val="0"/>
          <w:w w:val="100"/>
          <w:kern w:val="21"/>
          <w:sz w:val="32"/>
          <w:szCs w:val="32"/>
          <w:lang w:eastAsia="zh-CN"/>
        </w:rPr>
        <w:t>（</w:t>
      </w:r>
      <w:r>
        <w:rPr>
          <w:rFonts w:hint="default" w:ascii="Times New Roman" w:hAnsi="Times New Roman" w:eastAsia="方正楷体简体" w:cs="Times New Roman"/>
          <w:b/>
          <w:bCs/>
          <w:snapToGrid/>
          <w:color w:val="000000" w:themeColor="text1"/>
          <w:spacing w:val="0"/>
          <w:w w:val="100"/>
          <w:kern w:val="21"/>
          <w:sz w:val="32"/>
          <w:szCs w:val="32"/>
        </w:rPr>
        <w:t>三）政策、规划及相关文件</w:t>
      </w:r>
      <w:bookmarkEnd w:id="1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1）《国务院办公厅关于加快推进畜禽养殖废弃物资源化利用的意见》</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国办发〔2017〕48号）；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2）《畜禽粪污土地承载力测算技术指南》</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农办牧〔2018〕1号）；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3）《畜禽规模养殖场粪污资源化利用设施建设规范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试行）》</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农办牧〔2018〕2号）；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4）《关于促进畜禽粪污还田利用依法加强养殖污染治理的指导意见》</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农办牧〔2019〕84号）；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5）《关于进一步规范畜禽养殖禁养区划定和管理 促进生猪生产发展的通知》</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环办土壤〔2019〕55号）；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6）《关于进一步明确畜禽粪污还田利用要求强化养殖污染监管的通知》</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农办牧〔2020〕23号）；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7）《关于进一步规范畜禽养殖禁养区管理的通知》</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环办土壤函〔2020〕33号）；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8）《关于开展水环境承载力评价工作的通知》</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环办水体函〔2020〕538号）；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9）《农业面源污染治理与监督指导实施方案</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试行）》</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环办土壤〔2021〕8号）；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10）《畜禽养殖污染防治规划编制指南</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试行）》</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环办土壤函〔2021〕465号）；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11）《山东省规模以下畜禽养殖污染防治和粪污资源化利用技术指南》</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2021年）；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12）《关于印发山东省农业面源污染治理与监督指导实施方案</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试行）的通知》</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鲁环发〔2022〕6号）；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13）《关于加强畜禽粪污资源化利用计划和台账管理的通知》</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鲁牧畜发〔2022〕7号）；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14）《推动黄河流域生态保护和高质量发展行动方案》</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鲁牧计财发〔2022〕4号）；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15）《山东省</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十四五</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畜禽养殖污染防治行动方案》</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鲁环发〔2022〕16号）；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16）《南四湖流域水污染综合整治三年行动方案</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2021—2023年）》</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鲁环发〔2021〕4号）；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17）《济宁市</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十四五</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生态环境保护规划》</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济政字〔2021〕90号）；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18）《济宁市南四湖流域畜禽养殖粪污处置及资源化利用实施方案》</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济牧发字〔2021〕29号）；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19）《济宁市生猪产能调控实施方案》</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济牧发字〔2022〕7号）；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20）《散养户污染治理和粪污资源化利用规范》的通知</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济牧发字〔2022〕15号）；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21）《济宁高新技术产业开发区管理委员会办公室关于印发《济宁高新区畜禽养殖禁养区优化方案》的通知》</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济高新管办发〔2020〕2号）；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bookmarkStart w:id="12" w:name="_Toc8589"/>
      <w:r>
        <w:rPr>
          <w:rFonts w:hint="default" w:ascii="Times New Roman" w:hAnsi="Times New Roman" w:eastAsia="方正黑体简体" w:cs="Times New Roman"/>
          <w:b/>
          <w:bCs/>
          <w:snapToGrid/>
          <w:color w:val="000000" w:themeColor="text1"/>
          <w:spacing w:val="0"/>
          <w:w w:val="100"/>
          <w:kern w:val="21"/>
          <w:sz w:val="32"/>
          <w:szCs w:val="32"/>
        </w:rPr>
        <w:t>四、基本原则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楷体简体" w:cs="Times New Roman"/>
          <w:b/>
          <w:bCs/>
          <w:snapToGrid/>
          <w:color w:val="000000" w:themeColor="text1"/>
          <w:spacing w:val="0"/>
          <w:w w:val="100"/>
          <w:kern w:val="21"/>
          <w:sz w:val="32"/>
          <w:szCs w:val="32"/>
        </w:rPr>
        <w:t>1.</w:t>
      </w:r>
      <w:r>
        <w:rPr>
          <w:rFonts w:hint="default" w:ascii="Times New Roman" w:hAnsi="Times New Roman" w:eastAsia="方正楷体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楷体简体" w:cs="Times New Roman"/>
          <w:b/>
          <w:bCs/>
          <w:snapToGrid/>
          <w:color w:val="000000" w:themeColor="text1"/>
          <w:spacing w:val="0"/>
          <w:w w:val="100"/>
          <w:kern w:val="21"/>
          <w:sz w:val="32"/>
          <w:szCs w:val="32"/>
        </w:rPr>
        <w:t>统筹兼顾，有序推进</w:t>
      </w:r>
      <w:r>
        <w:rPr>
          <w:rFonts w:hint="default" w:ascii="Times New Roman" w:hAnsi="Times New Roman" w:eastAsia="方正楷体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综合考虑畜禽粪污环境承载力、畜牧业发展需求、农业产业特征和经济发展状况等因素，科学规划畜禽养殖总量和空间布局，统筹推进畜牧业发展和环境保护，加快畜牧业转型升级和绿色发展。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楷体简体" w:cs="Times New Roman"/>
          <w:b/>
          <w:bCs/>
          <w:snapToGrid/>
          <w:color w:val="000000" w:themeColor="text1"/>
          <w:spacing w:val="0"/>
          <w:w w:val="100"/>
          <w:kern w:val="21"/>
          <w:sz w:val="32"/>
          <w:szCs w:val="32"/>
        </w:rPr>
        <w:t>2.</w:t>
      </w:r>
      <w:r>
        <w:rPr>
          <w:rFonts w:hint="default" w:ascii="Times New Roman" w:hAnsi="Times New Roman" w:eastAsia="方正楷体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楷体简体" w:cs="Times New Roman"/>
          <w:b/>
          <w:bCs/>
          <w:snapToGrid/>
          <w:color w:val="000000" w:themeColor="text1"/>
          <w:spacing w:val="0"/>
          <w:w w:val="100"/>
          <w:kern w:val="21"/>
          <w:sz w:val="32"/>
          <w:szCs w:val="32"/>
        </w:rPr>
        <w:t>种养结合、协同减排</w:t>
      </w:r>
      <w:r>
        <w:rPr>
          <w:rFonts w:hint="default" w:ascii="Times New Roman" w:hAnsi="Times New Roman" w:eastAsia="方正楷体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以养分平衡为核心，通过优化种养布局，协同推进畜禽粪肥还田与化肥减量增效。结合种植规模和结构，科学测算养分需求，优化肥料结构与施肥方式，削减养殖业和种植业污染负荷，促进农业面源污染防治。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b/>
          <w:bCs/>
          <w:snapToGrid/>
          <w:color w:val="000000" w:themeColor="text1"/>
          <w:spacing w:val="0"/>
          <w:w w:val="100"/>
          <w:kern w:val="21"/>
          <w:sz w:val="32"/>
          <w:szCs w:val="32"/>
        </w:rPr>
      </w:pPr>
      <w:r>
        <w:rPr>
          <w:rFonts w:hint="default" w:ascii="Times New Roman" w:hAnsi="Times New Roman" w:eastAsia="方正楷体简体" w:cs="Times New Roman"/>
          <w:b/>
          <w:bCs/>
          <w:snapToGrid/>
          <w:color w:val="000000" w:themeColor="text1"/>
          <w:spacing w:val="0"/>
          <w:w w:val="100"/>
          <w:kern w:val="21"/>
          <w:sz w:val="32"/>
          <w:szCs w:val="32"/>
        </w:rPr>
        <w:t>3.</w:t>
      </w:r>
      <w:r>
        <w:rPr>
          <w:rFonts w:hint="default" w:ascii="Times New Roman" w:hAnsi="Times New Roman" w:eastAsia="方正楷体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楷体简体" w:cs="Times New Roman"/>
          <w:b/>
          <w:bCs/>
          <w:snapToGrid/>
          <w:color w:val="000000" w:themeColor="text1"/>
          <w:spacing w:val="0"/>
          <w:w w:val="100"/>
          <w:kern w:val="21"/>
          <w:sz w:val="32"/>
          <w:szCs w:val="32"/>
        </w:rPr>
        <w:t>因地制宜、分区施策</w:t>
      </w:r>
      <w:r>
        <w:rPr>
          <w:rFonts w:hint="default" w:ascii="Times New Roman" w:hAnsi="Times New Roman" w:eastAsia="方正楷体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统筹考虑自然环境、畜禽养殖类型、空间布局，种植规模、畜禽结构、耕地质量、环境承载力等因素，因地制宜、分区分类探索经济实用的粪污肥料化、能源化、基质化等资源化利用模式，鼓励全量收集和清洁高效利</w:t>
      </w:r>
      <w:r>
        <w:rPr>
          <w:rFonts w:hint="default" w:ascii="Times New Roman" w:hAnsi="Times New Roman" w:eastAsia="仿宋_GB2312" w:cs="Times New Roman"/>
          <w:b/>
          <w:bCs/>
          <w:snapToGrid/>
          <w:color w:val="000000" w:themeColor="text1"/>
          <w:spacing w:val="0"/>
          <w:w w:val="100"/>
          <w:kern w:val="21"/>
          <w:sz w:val="32"/>
          <w:szCs w:val="32"/>
        </w:rPr>
        <w:t>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楷体简体" w:cs="Times New Roman"/>
          <w:b/>
          <w:bCs/>
          <w:snapToGrid/>
          <w:color w:val="000000" w:themeColor="text1"/>
          <w:spacing w:val="0"/>
          <w:w w:val="100"/>
          <w:kern w:val="21"/>
          <w:sz w:val="32"/>
          <w:szCs w:val="32"/>
        </w:rPr>
        <w:t>4.</w:t>
      </w:r>
      <w:r>
        <w:rPr>
          <w:rFonts w:hint="default" w:ascii="Times New Roman" w:hAnsi="Times New Roman" w:eastAsia="方正楷体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楷体简体" w:cs="Times New Roman"/>
          <w:b/>
          <w:bCs/>
          <w:snapToGrid/>
          <w:color w:val="000000" w:themeColor="text1"/>
          <w:spacing w:val="0"/>
          <w:w w:val="100"/>
          <w:kern w:val="21"/>
          <w:sz w:val="32"/>
          <w:szCs w:val="32"/>
        </w:rPr>
        <w:t>政府主导、多方联动</w:t>
      </w:r>
      <w:r>
        <w:rPr>
          <w:rFonts w:hint="default" w:ascii="Times New Roman" w:hAnsi="Times New Roman" w:eastAsia="方正楷体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完善多方协调联动机制，强化地方政府主导、企业主体、社会组织和公众共同参与的畜禽养殖污染防治体系。拓宽投融资渠道，加大对畜禽养殖污染防治的扶持力度，推动第三方治理等社会化运营模式健康发展。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五、《规划》期限和范围</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规划期限：2021</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2025年。规划基准年为2020年。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b/>
          <w:bCs/>
          <w:snapToGrid/>
          <w:color w:val="000000" w:themeColor="text1"/>
          <w:spacing w:val="0"/>
          <w:w w:val="100"/>
          <w:kern w:val="21"/>
          <w:sz w:val="32"/>
          <w:szCs w:val="36"/>
        </w:rPr>
      </w:pPr>
      <w:r>
        <w:rPr>
          <w:rFonts w:hint="default" w:ascii="Times New Roman" w:hAnsi="Times New Roman" w:eastAsia="方正仿宋简体" w:cs="Times New Roman"/>
          <w:b/>
          <w:bCs/>
          <w:snapToGrid/>
          <w:color w:val="000000" w:themeColor="text1"/>
          <w:spacing w:val="0"/>
          <w:w w:val="100"/>
          <w:kern w:val="21"/>
          <w:sz w:val="32"/>
          <w:szCs w:val="32"/>
        </w:rPr>
        <w:t>规划范围：济宁高新区全域，包括河街道、柳行街道、黄屯街道、王因街道、接庄街道，共5个街道办事处，总面积255平方公里。</w:t>
      </w: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eastAsia="方正小标宋简体" w:cs="Times New Roman"/>
          <w:b/>
          <w:bCs/>
          <w:snapToGrid/>
          <w:color w:val="000000" w:themeColor="text1"/>
          <w:spacing w:val="0"/>
          <w:w w:val="100"/>
          <w:kern w:val="21"/>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hint="default" w:ascii="方正小标宋简体" w:hAnsi="方正小标宋简体" w:eastAsia="方正小标宋简体" w:cs="方正小标宋简体"/>
          <w:b/>
          <w:bCs/>
          <w:snapToGrid/>
          <w:color w:val="000000" w:themeColor="text1"/>
          <w:spacing w:val="0"/>
          <w:w w:val="100"/>
          <w:kern w:val="21"/>
          <w:sz w:val="32"/>
          <w:szCs w:val="32"/>
        </w:rPr>
      </w:pPr>
      <w:r>
        <w:rPr>
          <w:rFonts w:hint="default" w:ascii="方正小标宋简体" w:hAnsi="方正小标宋简体" w:eastAsia="方正小标宋简体" w:cs="方正小标宋简体"/>
          <w:b/>
          <w:bCs/>
          <w:snapToGrid/>
          <w:color w:val="000000" w:themeColor="text1"/>
          <w:spacing w:val="0"/>
          <w:w w:val="100"/>
          <w:kern w:val="21"/>
          <w:sz w:val="32"/>
          <w:szCs w:val="32"/>
        </w:rPr>
        <w:t>第二章  区域概况</w:t>
      </w:r>
      <w:bookmarkEnd w:id="1"/>
      <w:bookmarkEnd w:id="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b/>
          <w:bCs/>
          <w:snapToGrid/>
          <w:color w:val="000000" w:themeColor="text1"/>
          <w:spacing w:val="0"/>
          <w:w w:val="100"/>
          <w:kern w:val="21"/>
          <w:sz w:val="32"/>
          <w:szCs w:val="32"/>
        </w:rPr>
      </w:pPr>
      <w:bookmarkStart w:id="13" w:name="_Toc99132333"/>
      <w:bookmarkStart w:id="14" w:name="_Toc2763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一、地理位置</w:t>
      </w:r>
      <w:bookmarkEnd w:id="13"/>
      <w:bookmarkEnd w:id="14"/>
    </w:p>
    <w:p>
      <w:pPr>
        <w:pStyle w:val="19"/>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15" w:name="_Toc24431"/>
      <w:bookmarkStart w:id="16" w:name="_Toc99132334"/>
      <w:r>
        <w:rPr>
          <w:rFonts w:hint="default" w:ascii="Times New Roman" w:hAnsi="Times New Roman" w:eastAsia="方正仿宋简体" w:cs="Times New Roman"/>
          <w:b/>
          <w:bCs/>
          <w:snapToGrid/>
          <w:color w:val="000000" w:themeColor="text1"/>
          <w:spacing w:val="0"/>
          <w:w w:val="100"/>
          <w:kern w:val="21"/>
          <w:sz w:val="32"/>
          <w:szCs w:val="32"/>
        </w:rPr>
        <w:t>济宁高新区位于济宁市区东北部，处于</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济兖邹曲都市圈</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内，东起泗河，西至琵琶山路</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任城区），南起太白湖新区石桥镇，北至兖州区，全区总面积255km</w:t>
      </w:r>
      <w:r>
        <w:rPr>
          <w:rFonts w:hint="default" w:ascii="Times New Roman" w:hAnsi="Times New Roman" w:eastAsia="方正仿宋简体" w:cs="Times New Roman"/>
          <w:b/>
          <w:bCs/>
          <w:snapToGrid/>
          <w:color w:val="000000" w:themeColor="text1"/>
          <w:spacing w:val="0"/>
          <w:w w:val="100"/>
          <w:kern w:val="21"/>
          <w:sz w:val="32"/>
          <w:szCs w:val="32"/>
          <w:vertAlign w:val="superscript"/>
        </w:rPr>
        <w:t>2</w:t>
      </w:r>
      <w:r>
        <w:rPr>
          <w:rFonts w:hint="default" w:ascii="Times New Roman" w:hAnsi="Times New Roman" w:eastAsia="方正仿宋简体" w:cs="Times New Roman"/>
          <w:b/>
          <w:bCs/>
          <w:snapToGrid/>
          <w:color w:val="000000" w:themeColor="text1"/>
          <w:spacing w:val="0"/>
          <w:w w:val="100"/>
          <w:kern w:val="21"/>
          <w:sz w:val="32"/>
          <w:szCs w:val="32"/>
        </w:rPr>
        <w:t>，辖洸河、柳行、黄屯、王因、接庄五个街道。日菏铁路、327国道、济微公路自高新区通过，日东高速公路自高新区北部穿越，对外交通便捷。随着崇文大道、京沪高速铁路、兖石铁路复线建成通车，高新区对外交通优势和区位优势将更加明显。山东省济宁高新技术产业开发区是1992年省政府批准的省级高新技术产业开发区，2009年底升级为国家级高新技术产业开发区。目前已形成工程机械、生物医药、新材料、数字经济等重点产业为代表的集群框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二、自然气候条件</w:t>
      </w:r>
      <w:bookmarkEnd w:id="15"/>
      <w:bookmarkEnd w:id="1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rPr>
      </w:pPr>
      <w:bookmarkStart w:id="17" w:name="_Toc18352"/>
      <w:bookmarkStart w:id="18" w:name="_Toc99132336"/>
      <w:r>
        <w:rPr>
          <w:rFonts w:hint="default" w:ascii="Times New Roman" w:hAnsi="Times New Roman" w:eastAsia="方正楷体简体" w:cs="Times New Roman"/>
          <w:b/>
          <w:bCs/>
          <w:snapToGrid/>
          <w:color w:val="000000" w:themeColor="text1"/>
          <w:spacing w:val="0"/>
          <w:w w:val="100"/>
          <w:kern w:val="21"/>
          <w:sz w:val="32"/>
          <w:szCs w:val="32"/>
          <w:lang w:eastAsia="zh-CN"/>
        </w:rPr>
        <w:t>（</w:t>
      </w:r>
      <w:r>
        <w:rPr>
          <w:rFonts w:hint="default" w:ascii="Times New Roman" w:hAnsi="Times New Roman" w:eastAsia="方正楷体简体" w:cs="Times New Roman"/>
          <w:b/>
          <w:bCs/>
          <w:snapToGrid/>
          <w:color w:val="000000" w:themeColor="text1"/>
          <w:spacing w:val="0"/>
          <w:w w:val="100"/>
          <w:kern w:val="21"/>
          <w:sz w:val="32"/>
          <w:szCs w:val="32"/>
        </w:rPr>
        <w:t>一）气候特征</w:t>
      </w:r>
      <w:bookmarkEnd w:id="17"/>
      <w:bookmarkEnd w:id="1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济宁高新区属暖温带季风型大陆性气候，气候温和，四季分明。多年平均气温14.8℃左右，最高气温40.6℃，最低气温</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19.4℃，最早冻结期为12月，最迟冻结期为次年3月，最大冻土深度为0.37m，最大积雪0.15m，无霜期200天以上，多年平均降水量为701.7mm，最大降水量1088mm，日最大降水量189.4mm，雨季集中在6</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9月份。年日照时数历年平均2500小时左右，日照率55</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60%。水汽来源主要是西太平洋低纬度带暖湿气团的侵入、台风倒槽及东风波输送的大量水汽。该地区春夏季多南风及东南风，冬季多北风及西北风，常年主导风向为东南</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SE</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风，年出现频率为12.48%。</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bookmarkStart w:id="19" w:name="_Toc28235"/>
      <w:bookmarkStart w:id="20" w:name="_Toc99132337"/>
      <w:r>
        <w:rPr>
          <w:rFonts w:hint="default" w:ascii="Times New Roman" w:hAnsi="Times New Roman" w:eastAsia="方正楷体简体" w:cs="Times New Roman"/>
          <w:b/>
          <w:bCs/>
          <w:snapToGrid/>
          <w:color w:val="000000" w:themeColor="text1"/>
          <w:spacing w:val="0"/>
          <w:w w:val="100"/>
          <w:kern w:val="21"/>
          <w:sz w:val="32"/>
          <w:szCs w:val="32"/>
          <w:lang w:eastAsia="zh-CN"/>
        </w:rPr>
        <w:t>（二）水系分布</w:t>
      </w:r>
      <w:bookmarkEnd w:id="19"/>
      <w:bookmarkEnd w:id="2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市属于淮河流域，境内地表水系较发达，全市有河流91条，济宁高新区主要河流有京杭运河、泗河、洸府河、蓼沟河、泥沟河、杨家河等，均属季节性河流。济宁高新区辖区涉及到的河流主要有泗河、洸府河两条主干河道，蓼河、杨家河、泥沟河、小新河四条支流。境内河流总长77.25km，济宁高新区河流水系分布见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r>
        <w:rPr>
          <w:rFonts w:hint="default" w:ascii="Times New Roman" w:hAnsi="Times New Roman" w:eastAsia="仿宋_GB2312" w:cs="Times New Roman"/>
          <w:b/>
          <w:bCs/>
          <w:snapToGrid/>
          <w:color w:val="000000" w:themeColor="text1"/>
          <w:spacing w:val="0"/>
          <w:w w:val="100"/>
          <w:kern w:val="21"/>
          <w:sz w:val="32"/>
          <w:szCs w:val="32"/>
        </w:rPr>
        <w:drawing>
          <wp:anchor distT="0" distB="0" distL="114300" distR="114300" simplePos="0" relativeHeight="251665408" behindDoc="0" locked="0" layoutInCell="1" allowOverlap="1">
            <wp:simplePos x="0" y="0"/>
            <wp:positionH relativeFrom="column">
              <wp:posOffset>1397000</wp:posOffset>
            </wp:positionH>
            <wp:positionV relativeFrom="paragraph">
              <wp:posOffset>3175</wp:posOffset>
            </wp:positionV>
            <wp:extent cx="3237865" cy="3641725"/>
            <wp:effectExtent l="0" t="0" r="635" b="15875"/>
            <wp:wrapTopAndBottom/>
            <wp:docPr id="6" name="图片 3" descr="168602188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686021883083"/>
                    <pic:cNvPicPr>
                      <a:picLocks noChangeAspect="1"/>
                    </pic:cNvPicPr>
                  </pic:nvPicPr>
                  <pic:blipFill>
                    <a:blip r:embed="rId8" cstate="print"/>
                    <a:stretch>
                      <a:fillRect/>
                    </a:stretch>
                  </pic:blipFill>
                  <pic:spPr>
                    <a:xfrm>
                      <a:off x="0" y="0"/>
                      <a:ext cx="3237865" cy="3641725"/>
                    </a:xfrm>
                    <a:prstGeom prst="rect">
                      <a:avLst/>
                    </a:prstGeom>
                    <a:noFill/>
                    <a:ln>
                      <a:noFill/>
                    </a:ln>
                  </pic:spPr>
                </pic:pic>
              </a:graphicData>
            </a:graphic>
          </wp:anchor>
        </w:drawing>
      </w:r>
      <w:r>
        <w:rPr>
          <w:rFonts w:hint="default" w:ascii="Times New Roman" w:hAnsi="Times New Roman" w:eastAsia="方正楷体简体" w:cs="Times New Roman"/>
          <w:b/>
          <w:bCs/>
          <w:snapToGrid/>
          <w:color w:val="000000" w:themeColor="text1"/>
          <w:spacing w:val="0"/>
          <w:w w:val="100"/>
          <w:kern w:val="21"/>
          <w:sz w:val="32"/>
          <w:szCs w:val="32"/>
          <w:lang w:eastAsia="zh-CN"/>
        </w:rPr>
        <w:t>图1  济宁高新区水系图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21" w:name="_Toc99132338"/>
      <w:bookmarkStart w:id="22" w:name="_Toc9554"/>
      <w:r>
        <w:rPr>
          <w:rFonts w:hint="default" w:ascii="Times New Roman" w:hAnsi="Times New Roman" w:eastAsia="方正仿宋简体" w:cs="Times New Roman"/>
          <w:b/>
          <w:bCs/>
          <w:snapToGrid/>
          <w:color w:val="000000" w:themeColor="text1"/>
          <w:spacing w:val="0"/>
          <w:w w:val="100"/>
          <w:kern w:val="21"/>
          <w:sz w:val="32"/>
          <w:szCs w:val="32"/>
        </w:rPr>
        <w:t>泗河发源于山东省泰安市新泰太平顶西，流经济宁市泗水、曲阜、兖州、邹城、高新区、微山，于太白湖新区辛闸村入南阳湖，河道全长159km，流域面积2357km²，其中，济宁市境内长146km，流域面积2030km</w:t>
      </w:r>
      <w:r>
        <w:rPr>
          <w:rFonts w:hint="default" w:ascii="Times New Roman" w:hAnsi="Times New Roman" w:eastAsia="方正仿宋简体" w:cs="Times New Roman"/>
          <w:b/>
          <w:bCs/>
          <w:snapToGrid/>
          <w:color w:val="000000" w:themeColor="text1"/>
          <w:spacing w:val="0"/>
          <w:w w:val="100"/>
          <w:kern w:val="21"/>
          <w:sz w:val="32"/>
          <w:szCs w:val="32"/>
          <w:vertAlign w:val="superscript"/>
        </w:rPr>
        <w:t>2</w:t>
      </w:r>
      <w:r>
        <w:rPr>
          <w:rFonts w:hint="default" w:ascii="Times New Roman" w:hAnsi="Times New Roman" w:eastAsia="方正仿宋简体" w:cs="Times New Roman"/>
          <w:b/>
          <w:bCs/>
          <w:snapToGrid/>
          <w:color w:val="000000" w:themeColor="text1"/>
          <w:spacing w:val="0"/>
          <w:w w:val="100"/>
          <w:kern w:val="21"/>
          <w:sz w:val="32"/>
          <w:szCs w:val="32"/>
        </w:rPr>
        <w:t>，主要涉及泗水、曲阜、兖州、济宁高新区、邹城、太白湖新区、微山等7县市区共22个乡镇</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街道）。高新区境内有泗河河道21.0km，其中王因街道13.5km，接庄街道7.5km，高新区的管辖范围位于泗河右岸。</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洸府河源于宁阳县大汶河左岸的柳沟，流经济宁市的兖州区、任城区、济宁高新区、太白湖新区，至石佛东入南阳湖，全长76.4km。其中，高新区境内左岸长11.457km、右岸长7.572km，共涉及洸河、柳行、接庄三个街道，许厂、十里营等13个村。</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蓼河属淮河流域南四湖水系，为洸府河的支流，源于兖州金村，流经济宁高新区，于十里营村入洸府河干流，全长25km，流域面积208.2km</w:t>
      </w:r>
      <w:r>
        <w:rPr>
          <w:rFonts w:hint="default" w:ascii="Times New Roman" w:hAnsi="Times New Roman" w:eastAsia="方正仿宋简体" w:cs="Times New Roman"/>
          <w:b/>
          <w:bCs/>
          <w:snapToGrid/>
          <w:color w:val="000000" w:themeColor="text1"/>
          <w:spacing w:val="0"/>
          <w:w w:val="100"/>
          <w:kern w:val="21"/>
          <w:sz w:val="32"/>
          <w:szCs w:val="32"/>
          <w:vertAlign w:val="superscript"/>
        </w:rPr>
        <w:t>2</w:t>
      </w:r>
      <w:r>
        <w:rPr>
          <w:rFonts w:hint="default" w:ascii="Times New Roman" w:hAnsi="Times New Roman" w:eastAsia="方正仿宋简体" w:cs="Times New Roman"/>
          <w:b/>
          <w:bCs/>
          <w:snapToGrid/>
          <w:color w:val="000000" w:themeColor="text1"/>
          <w:spacing w:val="0"/>
          <w:w w:val="100"/>
          <w:kern w:val="21"/>
          <w:sz w:val="32"/>
          <w:szCs w:val="32"/>
        </w:rPr>
        <w:t>。其中，济宁高新区境内左岸长19.50km、右岸长21.32km，涉及黄屯、王因、柳行、接庄四个街道，后竹亭、十里营等31个村，规划水质执行地表水IV类标准。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杨家河发源于兖州区大安镇西北店，流经兖州区和高新区于任城大道桥南入洸府河干流，全长26.50km，流域面积212.20km</w:t>
      </w:r>
      <w:r>
        <w:rPr>
          <w:rFonts w:hint="default" w:ascii="Times New Roman" w:hAnsi="Times New Roman" w:eastAsia="方正仿宋简体" w:cs="Times New Roman"/>
          <w:b/>
          <w:bCs/>
          <w:snapToGrid/>
          <w:color w:val="000000" w:themeColor="text1"/>
          <w:spacing w:val="0"/>
          <w:w w:val="100"/>
          <w:kern w:val="21"/>
          <w:sz w:val="32"/>
          <w:szCs w:val="32"/>
          <w:vertAlign w:val="superscript"/>
        </w:rPr>
        <w:t>2</w:t>
      </w:r>
      <w:r>
        <w:rPr>
          <w:rFonts w:hint="default" w:ascii="Times New Roman" w:hAnsi="Times New Roman" w:eastAsia="方正仿宋简体" w:cs="Times New Roman"/>
          <w:b/>
          <w:bCs/>
          <w:snapToGrid/>
          <w:color w:val="000000" w:themeColor="text1"/>
          <w:spacing w:val="0"/>
          <w:w w:val="100"/>
          <w:kern w:val="21"/>
          <w:sz w:val="32"/>
          <w:szCs w:val="32"/>
        </w:rPr>
        <w:t>。高新区杨家河左岸自黄屯街道鹅鸭厂村至柳行街道杨桥村入洸府河，左岸长约12.47km；右岸自柳行街道陈厂村至洸河街道苏西村入洸府河，右岸长约7.37km，共涉及洸河、柳行、黄屯三个街道，鹅鸭厂、杨桥、苏西等12个村。</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泥沟河为蓼河右岸支流，现为济宁高新区内区域性防洪河道。泥沟河北起柳行街道塔口铺村，沿同济路、崇文大道，然后向南排入蓼沟河，河道全长约6.22km，主要来水为济宁银河水务有限公司处理中水，为高新区纳污河道。</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小新河是高新区主要的东西流向河流，大部分流域在高新区内，流经接庄街道，总长度5.73km，流域面积为22.83km</w:t>
      </w:r>
      <w:r>
        <w:rPr>
          <w:rFonts w:hint="default" w:ascii="Times New Roman" w:hAnsi="Times New Roman" w:eastAsia="方正仿宋简体" w:cs="Times New Roman"/>
          <w:b/>
          <w:bCs/>
          <w:snapToGrid/>
          <w:color w:val="000000" w:themeColor="text1"/>
          <w:spacing w:val="0"/>
          <w:w w:val="100"/>
          <w:kern w:val="21"/>
          <w:sz w:val="32"/>
          <w:szCs w:val="32"/>
          <w:vertAlign w:val="superscript"/>
        </w:rPr>
        <w:t>2</w:t>
      </w:r>
      <w:r>
        <w:rPr>
          <w:rFonts w:hint="default" w:ascii="Times New Roman" w:hAnsi="Times New Roman" w:eastAsia="方正仿宋简体" w:cs="Times New Roman"/>
          <w:b/>
          <w:bCs/>
          <w:snapToGrid/>
          <w:color w:val="000000" w:themeColor="text1"/>
          <w:spacing w:val="0"/>
          <w:w w:val="100"/>
          <w:kern w:val="21"/>
          <w:sz w:val="32"/>
          <w:szCs w:val="32"/>
        </w:rPr>
        <w:t>。两岸堤防较低，不能满足防洪排涝要求，周围沟渠较多，有断流段。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r>
        <w:rPr>
          <w:rFonts w:hint="default" w:ascii="Times New Roman" w:hAnsi="Times New Roman" w:eastAsia="方正楷体简体" w:cs="Times New Roman"/>
          <w:b/>
          <w:bCs/>
          <w:snapToGrid/>
          <w:color w:val="000000" w:themeColor="text1"/>
          <w:spacing w:val="0"/>
          <w:w w:val="100"/>
          <w:kern w:val="21"/>
          <w:sz w:val="32"/>
          <w:szCs w:val="32"/>
          <w:lang w:eastAsia="zh-CN"/>
        </w:rPr>
        <w:t>（三）自然资源</w:t>
      </w:r>
      <w:bookmarkEnd w:id="21"/>
      <w:bookmarkEnd w:id="22"/>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1.</w:t>
      </w:r>
      <w:r>
        <w:rPr>
          <w:rFonts w:hint="default" w:ascii="Times New Roman" w:hAnsi="Times New Roman" w:eastAsia="方正仿宋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仿宋简体" w:cs="Times New Roman"/>
          <w:b/>
          <w:bCs/>
          <w:snapToGrid/>
          <w:color w:val="000000" w:themeColor="text1"/>
          <w:spacing w:val="0"/>
          <w:w w:val="100"/>
          <w:kern w:val="21"/>
          <w:sz w:val="32"/>
          <w:szCs w:val="32"/>
        </w:rPr>
        <w:t>土地资源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28"/>
        </w:rPr>
      </w:pPr>
      <w:r>
        <w:rPr>
          <w:rFonts w:hint="default" w:ascii="Times New Roman" w:hAnsi="Times New Roman" w:eastAsia="方正仿宋简体" w:cs="Times New Roman"/>
          <w:b/>
          <w:bCs/>
          <w:snapToGrid/>
          <w:color w:val="000000" w:themeColor="text1"/>
          <w:spacing w:val="0"/>
          <w:w w:val="100"/>
          <w:kern w:val="21"/>
          <w:sz w:val="32"/>
          <w:szCs w:val="32"/>
        </w:rPr>
        <w:t>济宁高新区属鲁南泰沂低山丘陵与鲁西南黄泛平原交界地带，地质构造上属华北地区鲁西南断块凹陷区。地形以平原洼地为主，东北高西南低，地貌较为简单。境内土壤母质系山前冲洪积物，土层深厚，共分为褐土、潮土、砂浆黑土三大类、五大亚类、七个土属、三十个土种，土壤构成主体以褐土为主。</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eastAsia" w:ascii="Times New Roman" w:hAnsi="Times New Roman" w:eastAsia="方正仿宋简体" w:cs="Times New Roman"/>
          <w:b/>
          <w:bCs/>
          <w:snapToGrid/>
          <w:color w:val="000000" w:themeColor="text1"/>
          <w:spacing w:val="0"/>
          <w:w w:val="100"/>
          <w:kern w:val="21"/>
          <w:sz w:val="32"/>
          <w:szCs w:val="32"/>
          <w:lang w:val="en-US" w:eastAsia="zh-CN"/>
        </w:rPr>
        <w:t xml:space="preserve">2. </w:t>
      </w:r>
      <w:r>
        <w:rPr>
          <w:rFonts w:hint="default" w:ascii="Times New Roman" w:hAnsi="Times New Roman" w:eastAsia="方正仿宋简体" w:cs="Times New Roman"/>
          <w:b/>
          <w:bCs/>
          <w:snapToGrid/>
          <w:color w:val="000000" w:themeColor="text1"/>
          <w:spacing w:val="0"/>
          <w:w w:val="100"/>
          <w:kern w:val="21"/>
          <w:sz w:val="32"/>
          <w:szCs w:val="32"/>
        </w:rPr>
        <w:t>水资源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根据1960</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2010年实测降水资料分析计算，济宁高新区多年平均年降水量为677mm，折合水量1.71亿m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；根据山东省最新水文资料分析计算成果，高新区多年平均年径流量为2099万m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；根据济宁市水资源规划计算，高新区地下水资源模数为23.3万m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/km</w:t>
      </w:r>
      <w:r>
        <w:rPr>
          <w:rFonts w:hint="default" w:ascii="Times New Roman" w:hAnsi="Times New Roman" w:eastAsia="方正仿宋简体" w:cs="Times New Roman"/>
          <w:b/>
          <w:bCs/>
          <w:snapToGrid/>
          <w:color w:val="000000" w:themeColor="text1"/>
          <w:spacing w:val="0"/>
          <w:w w:val="100"/>
          <w:kern w:val="21"/>
          <w:sz w:val="32"/>
          <w:szCs w:val="32"/>
          <w:vertAlign w:val="superscript"/>
        </w:rPr>
        <w:t>2</w:t>
      </w:r>
      <w:r>
        <w:rPr>
          <w:rFonts w:hint="default" w:ascii="Times New Roman" w:hAnsi="Times New Roman" w:eastAsia="方正仿宋简体" w:cs="Times New Roman"/>
          <w:b/>
          <w:bCs/>
          <w:snapToGrid/>
          <w:color w:val="000000" w:themeColor="text1"/>
          <w:spacing w:val="0"/>
          <w:w w:val="100"/>
          <w:kern w:val="21"/>
          <w:sz w:val="32"/>
          <w:szCs w:val="32"/>
        </w:rPr>
        <w:t>，多年平均地下水资源总量为5895万m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。按照水资源总量为地表水资源量与地下水资源量之和，则高新区多年平均水资源总量为7594万m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，其中地表水资源量为2099万m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、地下水资源量为5895万m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，产水模数为30.01万m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/km</w:t>
      </w:r>
      <w:r>
        <w:rPr>
          <w:rFonts w:hint="default" w:ascii="Times New Roman" w:hAnsi="Times New Roman" w:eastAsia="方正仿宋简体" w:cs="Times New Roman"/>
          <w:b/>
          <w:bCs/>
          <w:snapToGrid/>
          <w:color w:val="000000" w:themeColor="text1"/>
          <w:spacing w:val="0"/>
          <w:w w:val="100"/>
          <w:kern w:val="21"/>
          <w:sz w:val="32"/>
          <w:szCs w:val="32"/>
          <w:vertAlign w:val="superscript"/>
        </w:rPr>
        <w:t>2</w:t>
      </w:r>
      <w:r>
        <w:rPr>
          <w:rFonts w:hint="default" w:ascii="Times New Roman" w:hAnsi="Times New Roman" w:eastAsia="方正仿宋简体" w:cs="Times New Roman"/>
          <w:b/>
          <w:bCs/>
          <w:snapToGrid/>
          <w:color w:val="000000" w:themeColor="text1"/>
          <w:spacing w:val="0"/>
          <w:w w:val="100"/>
          <w:kern w:val="21"/>
          <w:sz w:val="32"/>
          <w:szCs w:val="32"/>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eastAsia" w:ascii="Times New Roman" w:hAnsi="Times New Roman" w:eastAsia="方正仿宋简体" w:cs="Times New Roman"/>
          <w:b/>
          <w:bCs/>
          <w:snapToGrid/>
          <w:color w:val="000000" w:themeColor="text1"/>
          <w:spacing w:val="0"/>
          <w:w w:val="100"/>
          <w:kern w:val="21"/>
          <w:sz w:val="32"/>
          <w:szCs w:val="32"/>
          <w:lang w:val="en-US" w:eastAsia="zh-CN"/>
        </w:rPr>
        <w:t xml:space="preserve">3. </w:t>
      </w:r>
      <w:r>
        <w:rPr>
          <w:rFonts w:hint="default" w:ascii="Times New Roman" w:hAnsi="Times New Roman" w:eastAsia="方正仿宋简体" w:cs="Times New Roman"/>
          <w:b/>
          <w:bCs/>
          <w:snapToGrid/>
          <w:color w:val="000000" w:themeColor="text1"/>
          <w:spacing w:val="0"/>
          <w:w w:val="100"/>
          <w:kern w:val="21"/>
          <w:sz w:val="32"/>
          <w:szCs w:val="32"/>
        </w:rPr>
        <w:t>矿产资源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济宁高新区矿产资源以煤为主。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杨村煤矿位于济宁高新区王因街道社区内，其井田位于兖州煤田西北缘，于1983年12月开工建设，1989年6月20日正式投产，原设计生产能力60万t/a，2006年核定矿井生产能力115万t/a，2013年原煤产量112.2万t。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济宁二号煤矿隶属于兖州煤业股份有限责任公司，为省属国有企业，是兖矿集团在济东矿区建设的一座特大型现代化矿井。位于山东省济宁高新区接庄街道，距济宁市约9km。井田东西宽10km，南北长6</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11km，面积87.1171km</w:t>
      </w:r>
      <w:r>
        <w:rPr>
          <w:rFonts w:hint="default" w:ascii="Times New Roman" w:hAnsi="Times New Roman" w:eastAsia="方正仿宋简体" w:cs="Times New Roman"/>
          <w:b/>
          <w:bCs/>
          <w:snapToGrid/>
          <w:color w:val="000000" w:themeColor="text1"/>
          <w:spacing w:val="0"/>
          <w:w w:val="100"/>
          <w:kern w:val="21"/>
          <w:sz w:val="32"/>
          <w:szCs w:val="32"/>
          <w:vertAlign w:val="superscript"/>
        </w:rPr>
        <w:t>2</w:t>
      </w:r>
      <w:r>
        <w:rPr>
          <w:rFonts w:hint="default" w:ascii="Times New Roman" w:hAnsi="Times New Roman" w:eastAsia="方正仿宋简体" w:cs="Times New Roman"/>
          <w:b/>
          <w:bCs/>
          <w:snapToGrid/>
          <w:color w:val="000000" w:themeColor="text1"/>
          <w:spacing w:val="0"/>
          <w:w w:val="100"/>
          <w:kern w:val="21"/>
          <w:sz w:val="32"/>
          <w:szCs w:val="32"/>
        </w:rPr>
        <w:t>。由济南煤矿设计研究院设计，设计能力400万t/a。1989年12月24日开始建设，1997年11月8日建成投产。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bookmarkStart w:id="23" w:name="_Toc25830"/>
      <w:r>
        <w:rPr>
          <w:rFonts w:hint="default" w:ascii="Times New Roman" w:hAnsi="Times New Roman" w:eastAsia="方正楷体简体" w:cs="Times New Roman"/>
          <w:b/>
          <w:bCs/>
          <w:snapToGrid/>
          <w:color w:val="000000" w:themeColor="text1"/>
          <w:spacing w:val="0"/>
          <w:w w:val="100"/>
          <w:kern w:val="21"/>
          <w:sz w:val="32"/>
          <w:szCs w:val="32"/>
          <w:lang w:eastAsia="zh-CN"/>
        </w:rPr>
        <w:t>（四）土壤特征</w:t>
      </w:r>
      <w:bookmarkEnd w:id="2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24" w:name="_Toc2205"/>
      <w:bookmarkStart w:id="25" w:name="_Toc99132339"/>
      <w:r>
        <w:rPr>
          <w:rFonts w:hint="default" w:ascii="Times New Roman" w:hAnsi="Times New Roman" w:eastAsia="方正仿宋简体" w:cs="Times New Roman"/>
          <w:b/>
          <w:bCs/>
          <w:snapToGrid/>
          <w:color w:val="000000" w:themeColor="text1"/>
          <w:spacing w:val="0"/>
          <w:w w:val="100"/>
          <w:kern w:val="21"/>
          <w:sz w:val="32"/>
          <w:szCs w:val="32"/>
        </w:rPr>
        <w:t>济宁高新区土壤类型分为棕壤、褐土、砂姜黑土、潮土、水稻土和风沙土。现有土壤面积798739.86公顷，其中：棕壤144099.53公顷，褐土234868.27公顷，砂姜黑土36588.46公顷，潮土300277.73公顷，水稻土82660.07公顷，风沙土245.80公顷。棕壤为酸性土壤，分布于东部岩浆岩山地丘陵区及山洪冲积平原。褐土为弱碱性土壤，主要分布于东部石灰岩山地丘陵区及山前洪冲积平原，西部石灰岩丘陵区也有小面积分布。砂姜黑土为弱碱性至近中性土壤，分布于东部冲积平原的局部浅平洼地和沿湖洼地。潮土为碱性土壤，分布于西部黄泛平原。水稻土为碱性土，分布于南四湖两岸滨湖洼地。风沙土为碱性土，分布于黄河堤内滩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r>
        <w:rPr>
          <w:rFonts w:hint="default" w:ascii="Times New Roman" w:hAnsi="Times New Roman" w:eastAsia="方正楷体简体" w:cs="Times New Roman"/>
          <w:b/>
          <w:bCs/>
          <w:snapToGrid/>
          <w:color w:val="000000" w:themeColor="text1"/>
          <w:spacing w:val="0"/>
          <w:w w:val="100"/>
          <w:kern w:val="21"/>
          <w:sz w:val="32"/>
          <w:szCs w:val="32"/>
          <w:lang w:eastAsia="zh-CN"/>
        </w:rPr>
        <w:t>（五）植被覆盖</w:t>
      </w:r>
      <w:bookmarkEnd w:id="24"/>
      <w:bookmarkEnd w:id="2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属暖温带落叶阔叶林植被区，植被种类约200科、1000属、3500种。地带性植被为以栎、槐、榆、椿、杨、柳、楝为代表的落叶阔叶林，丘陵区分布有油松、赤松、侧柏等温性次生针叶林。平原地区自然植被已被农业植被所代替，栽培农作物为冬小麦、玉米、水稻、棉花、花生、地瓜、杂粮等，丘陵区分布最广的是经济林及灌丛、草丛，经济林木植被为苹果、梨、桃、杏、枣、栗、山楂、核桃等。湖区为湿生水生植被，代表植物有三棱草、白茅、芦苇、菰、莲、菱芡实及藻类。济宁高新区主要都是人工植被，植被类型比较简单，可划分为4个植被型组、5个群系，有常见高等植物22科38属51种，没有国家和省级重点保护野生植物。主要以道路林网为连线，农田作物为主，自然草被作镶嵌，形成了有乔木、灌木、草本植物和低等植物相结合的植物群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bookmarkStart w:id="26" w:name="_Toc1229"/>
      <w:bookmarkStart w:id="27" w:name="_Toc99132341"/>
      <w:r>
        <w:rPr>
          <w:rFonts w:hint="default" w:ascii="Times New Roman" w:hAnsi="Times New Roman" w:eastAsia="方正黑体简体" w:cs="Times New Roman"/>
          <w:b/>
          <w:bCs/>
          <w:snapToGrid/>
          <w:color w:val="000000" w:themeColor="text1"/>
          <w:spacing w:val="0"/>
          <w:w w:val="100"/>
          <w:kern w:val="21"/>
          <w:sz w:val="32"/>
          <w:szCs w:val="32"/>
        </w:rPr>
        <w:t>三、社会经济状况</w:t>
      </w:r>
      <w:bookmarkEnd w:id="26"/>
      <w:bookmarkEnd w:id="2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rPr>
      </w:pPr>
      <w:bookmarkStart w:id="28" w:name="_Toc99132342"/>
      <w:bookmarkStart w:id="29" w:name="_Toc28210"/>
      <w:r>
        <w:rPr>
          <w:rFonts w:hint="default" w:ascii="Times New Roman" w:hAnsi="Times New Roman" w:eastAsia="方正楷体简体" w:cs="Times New Roman"/>
          <w:b/>
          <w:bCs/>
          <w:snapToGrid/>
          <w:color w:val="000000" w:themeColor="text1"/>
          <w:spacing w:val="0"/>
          <w:w w:val="100"/>
          <w:kern w:val="21"/>
          <w:sz w:val="32"/>
          <w:szCs w:val="32"/>
          <w:lang w:eastAsia="zh-CN"/>
        </w:rPr>
        <w:t>（</w:t>
      </w:r>
      <w:r>
        <w:rPr>
          <w:rFonts w:hint="default" w:ascii="Times New Roman" w:hAnsi="Times New Roman" w:eastAsia="方正楷体简体" w:cs="Times New Roman"/>
          <w:b/>
          <w:bCs/>
          <w:snapToGrid/>
          <w:color w:val="000000" w:themeColor="text1"/>
          <w:spacing w:val="0"/>
          <w:w w:val="100"/>
          <w:kern w:val="21"/>
          <w:sz w:val="32"/>
          <w:szCs w:val="32"/>
        </w:rPr>
        <w:t>一）行政区划和人口</w:t>
      </w:r>
      <w:bookmarkEnd w:id="28"/>
      <w:bookmarkEnd w:id="2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2020年，济宁高新区辖5个街道办事处，洸河街道、柳行街道、黄屯街道、王因街道、接庄街道。洸河街道辖5个行政村，4个行政社区；柳行办事处辖24个行政村，5个行政社区；黄屯街道32个行政村；王因街道辖59个行政村；接庄街道辖48个行</w:t>
      </w:r>
      <w:r>
        <w:rPr>
          <w:rFonts w:hint="default" w:ascii="Times New Roman" w:hAnsi="Times New Roman" w:eastAsia="方正仿宋简体" w:cs="Times New Roman"/>
          <w:b/>
          <w:bCs/>
          <w:snapToGrid/>
          <w:color w:val="000000" w:themeColor="text1"/>
          <w:spacing w:val="-11"/>
          <w:w w:val="100"/>
          <w:kern w:val="21"/>
          <w:sz w:val="32"/>
          <w:szCs w:val="32"/>
        </w:rPr>
        <w:t>政村。高新区行政范围内现状总人口33.5万人，村庄总数177</w:t>
      </w:r>
      <w:r>
        <w:rPr>
          <w:rFonts w:hint="default" w:ascii="Times New Roman" w:hAnsi="Times New Roman" w:eastAsia="方正仿宋简体" w:cs="Times New Roman"/>
          <w:b/>
          <w:bCs/>
          <w:snapToGrid/>
          <w:color w:val="000000" w:themeColor="text1"/>
          <w:spacing w:val="0"/>
          <w:w w:val="100"/>
          <w:kern w:val="21"/>
          <w:sz w:val="32"/>
          <w:szCs w:val="32"/>
        </w:rPr>
        <w:t>个。</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bookmarkStart w:id="30" w:name="_Toc99132343"/>
      <w:bookmarkStart w:id="31" w:name="_Toc7257"/>
      <w:r>
        <w:rPr>
          <w:rFonts w:hint="default" w:ascii="Times New Roman" w:hAnsi="Times New Roman" w:eastAsia="方正楷体简体" w:cs="Times New Roman"/>
          <w:b/>
          <w:bCs/>
          <w:snapToGrid/>
          <w:color w:val="000000" w:themeColor="text1"/>
          <w:spacing w:val="0"/>
          <w:w w:val="100"/>
          <w:kern w:val="21"/>
          <w:sz w:val="32"/>
          <w:szCs w:val="32"/>
          <w:lang w:eastAsia="zh-CN"/>
        </w:rPr>
        <w:t>（二）</w:t>
      </w:r>
      <w:bookmarkEnd w:id="30"/>
      <w:r>
        <w:rPr>
          <w:rFonts w:hint="default" w:ascii="Times New Roman" w:hAnsi="Times New Roman" w:eastAsia="方正楷体简体" w:cs="Times New Roman"/>
          <w:b/>
          <w:bCs/>
          <w:snapToGrid/>
          <w:color w:val="000000" w:themeColor="text1"/>
          <w:spacing w:val="0"/>
          <w:w w:val="100"/>
          <w:kern w:val="21"/>
          <w:sz w:val="32"/>
          <w:szCs w:val="32"/>
          <w:lang w:eastAsia="zh-CN"/>
        </w:rPr>
        <w:t>经济状况</w:t>
      </w:r>
      <w:bookmarkEnd w:id="3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32" w:name="_Hlk137490921"/>
      <w:r>
        <w:rPr>
          <w:rFonts w:hint="default" w:ascii="Times New Roman" w:hAnsi="Times New Roman" w:eastAsia="方正仿宋简体" w:cs="Times New Roman"/>
          <w:b/>
          <w:bCs/>
          <w:snapToGrid/>
          <w:color w:val="000000" w:themeColor="text1"/>
          <w:spacing w:val="0"/>
          <w:w w:val="100"/>
          <w:kern w:val="21"/>
          <w:sz w:val="32"/>
          <w:szCs w:val="32"/>
        </w:rPr>
        <w:t>2020年，</w:t>
      </w:r>
      <w:bookmarkEnd w:id="32"/>
      <w:r>
        <w:rPr>
          <w:rFonts w:hint="default" w:ascii="Times New Roman" w:hAnsi="Times New Roman" w:eastAsia="方正仿宋简体" w:cs="Times New Roman"/>
          <w:b/>
          <w:bCs/>
          <w:snapToGrid/>
          <w:color w:val="000000" w:themeColor="text1"/>
          <w:spacing w:val="0"/>
          <w:w w:val="100"/>
          <w:kern w:val="21"/>
          <w:sz w:val="32"/>
          <w:szCs w:val="32"/>
        </w:rPr>
        <w:t>全区GDP完成455.4亿元，按可比价格计算同比增长4.1%，高于全市0.5百分点。其中第一产业增加值10.7亿元，增长1.7%；第二产业增加值248.3亿元，增长3.7%；其中工业增加值230.01亿元，增长6.24%；第三产业增加值196.4亿元，增长5%。按行业分，全区规模以上工业企业工业增加值同比增长6.24%，实现营业收入562.96亿元，增长</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5.72%；工业利润总额33.59亿元，增长88.66%；实现高新技术产值341.1亿元，占比达61.7%，高于全市22个百分点。一、二、三产业的比例关系达到2.3：54.5：43.2，服务业增加值占GDP比重比上年提升了0.7个百分点。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bookmarkStart w:id="33" w:name="_Toc99132344"/>
      <w:bookmarkStart w:id="34" w:name="_Toc1617"/>
      <w:r>
        <w:rPr>
          <w:rFonts w:hint="default" w:ascii="Times New Roman" w:hAnsi="Times New Roman" w:eastAsia="方正楷体简体" w:cs="Times New Roman"/>
          <w:b/>
          <w:bCs/>
          <w:snapToGrid/>
          <w:color w:val="000000" w:themeColor="text1"/>
          <w:spacing w:val="0"/>
          <w:w w:val="100"/>
          <w:kern w:val="21"/>
          <w:sz w:val="32"/>
          <w:szCs w:val="32"/>
          <w:lang w:eastAsia="zh-CN"/>
        </w:rPr>
        <w:t>（三）土地利用</w:t>
      </w:r>
      <w:bookmarkEnd w:id="33"/>
      <w:bookmarkEnd w:id="3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济宁高新区土地总面积24931.12公顷，其中农用地面积15286.16公顷，占土地总面积的61.32%；建设用地面积8881.36公顷，占土地总面积的35.62%；未利用地面积763.60公顷，占土地总面积的3.06%。耕地面积10167.58公顷</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基本农田6149.65公顷），占全区土地总面积的40.78%。</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bookmarkStart w:id="35" w:name="_Toc99132347"/>
      <w:bookmarkStart w:id="36" w:name="_Toc4303"/>
      <w:r>
        <w:rPr>
          <w:rFonts w:hint="default" w:ascii="Times New Roman" w:hAnsi="Times New Roman" w:eastAsia="方正黑体简体" w:cs="Times New Roman"/>
          <w:b/>
          <w:bCs/>
          <w:snapToGrid/>
          <w:color w:val="000000" w:themeColor="text1"/>
          <w:spacing w:val="0"/>
          <w:w w:val="100"/>
          <w:kern w:val="21"/>
          <w:sz w:val="32"/>
          <w:szCs w:val="32"/>
        </w:rPr>
        <w:t>四、生态环境概况</w:t>
      </w:r>
      <w:bookmarkEnd w:id="35"/>
      <w:bookmarkEnd w:id="3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bookmarkStart w:id="37" w:name="_Toc26386"/>
      <w:bookmarkStart w:id="38" w:name="_Toc99132348"/>
      <w:r>
        <w:rPr>
          <w:rFonts w:hint="default" w:ascii="Times New Roman" w:hAnsi="Times New Roman" w:eastAsia="方正楷体简体" w:cs="Times New Roman"/>
          <w:b/>
          <w:bCs/>
          <w:snapToGrid/>
          <w:color w:val="000000" w:themeColor="text1"/>
          <w:spacing w:val="0"/>
          <w:w w:val="100"/>
          <w:kern w:val="21"/>
          <w:sz w:val="32"/>
          <w:szCs w:val="32"/>
          <w:lang w:eastAsia="zh-CN"/>
        </w:rPr>
        <w:t>（一）空气环境质量</w:t>
      </w:r>
      <w:bookmarkEnd w:id="37"/>
      <w:bookmarkEnd w:id="3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2020年，济宁高新区二氧化硫年均浓度为15微克/立方米、二氧化氮年均浓度为34 微克/立方米、PM</w:t>
      </w:r>
      <w:r>
        <w:rPr>
          <w:rFonts w:hint="default" w:ascii="Times New Roman" w:hAnsi="Times New Roman" w:eastAsia="方正仿宋简体" w:cs="Times New Roman"/>
          <w:b/>
          <w:bCs/>
          <w:snapToGrid/>
          <w:color w:val="000000" w:themeColor="text1"/>
          <w:spacing w:val="0"/>
          <w:w w:val="100"/>
          <w:kern w:val="21"/>
          <w:sz w:val="32"/>
          <w:szCs w:val="32"/>
          <w:vertAlign w:val="subscript"/>
        </w:rPr>
        <w:t>10</w:t>
      </w:r>
      <w:r>
        <w:rPr>
          <w:rFonts w:hint="default" w:ascii="Times New Roman" w:hAnsi="Times New Roman" w:eastAsia="方正仿宋简体" w:cs="Times New Roman"/>
          <w:b/>
          <w:bCs/>
          <w:snapToGrid/>
          <w:color w:val="000000" w:themeColor="text1"/>
          <w:spacing w:val="0"/>
          <w:w w:val="100"/>
          <w:kern w:val="21"/>
          <w:sz w:val="32"/>
          <w:szCs w:val="32"/>
        </w:rPr>
        <w:t xml:space="preserve"> 年均浓度为74微克/立方米、PM</w:t>
      </w:r>
      <w:r>
        <w:rPr>
          <w:rFonts w:hint="default" w:ascii="Times New Roman" w:hAnsi="Times New Roman" w:eastAsia="方正仿宋简体" w:cs="Times New Roman"/>
          <w:b/>
          <w:bCs/>
          <w:snapToGrid/>
          <w:color w:val="000000" w:themeColor="text1"/>
          <w:spacing w:val="0"/>
          <w:w w:val="100"/>
          <w:kern w:val="21"/>
          <w:sz w:val="32"/>
          <w:szCs w:val="32"/>
          <w:vertAlign w:val="subscript"/>
        </w:rPr>
        <w:t>2.5</w:t>
      </w:r>
      <w:r>
        <w:rPr>
          <w:rFonts w:hint="default" w:ascii="Times New Roman" w:hAnsi="Times New Roman" w:eastAsia="方正仿宋简体" w:cs="Times New Roman"/>
          <w:b/>
          <w:bCs/>
          <w:snapToGrid/>
          <w:color w:val="000000" w:themeColor="text1"/>
          <w:spacing w:val="0"/>
          <w:w w:val="100"/>
          <w:kern w:val="21"/>
          <w:sz w:val="32"/>
          <w:szCs w:val="32"/>
        </w:rPr>
        <w:t>年均浓度为52微克/立方米、一氧化碳</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CO）95 百分数浓度为1.6毫克/立方米、臭氧</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O</w:t>
      </w:r>
      <w:r>
        <w:rPr>
          <w:rFonts w:hint="default" w:ascii="Times New Roman" w:hAnsi="Times New Roman" w:eastAsia="方正仿宋简体" w:cs="Times New Roman"/>
          <w:b/>
          <w:bCs/>
          <w:snapToGrid/>
          <w:color w:val="000000" w:themeColor="text1"/>
          <w:spacing w:val="0"/>
          <w:w w:val="100"/>
          <w:kern w:val="21"/>
          <w:sz w:val="32"/>
          <w:szCs w:val="32"/>
          <w:vertAlign w:val="subscript"/>
        </w:rPr>
        <w:t>3</w:t>
      </w:r>
      <w:r>
        <w:rPr>
          <w:rFonts w:hint="default" w:ascii="Times New Roman" w:hAnsi="Times New Roman" w:eastAsia="方正仿宋简体" w:cs="Times New Roman"/>
          <w:b/>
          <w:bCs/>
          <w:snapToGrid/>
          <w:color w:val="000000" w:themeColor="text1"/>
          <w:spacing w:val="0"/>
          <w:w w:val="100"/>
          <w:kern w:val="21"/>
          <w:sz w:val="32"/>
          <w:szCs w:val="32"/>
        </w:rPr>
        <w:t>）90百分数浓度为183微克/立方米，其中二氧化硫年均值、二氧化氮年均值、一氧化碳</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CO）95百分数浓度达标，PM</w:t>
      </w:r>
      <w:r>
        <w:rPr>
          <w:rFonts w:hint="default" w:ascii="Times New Roman" w:hAnsi="Times New Roman" w:eastAsia="方正仿宋简体" w:cs="Times New Roman"/>
          <w:b/>
          <w:bCs/>
          <w:snapToGrid/>
          <w:color w:val="000000" w:themeColor="text1"/>
          <w:spacing w:val="0"/>
          <w:w w:val="100"/>
          <w:kern w:val="21"/>
          <w:sz w:val="32"/>
          <w:szCs w:val="32"/>
          <w:vertAlign w:val="subscript"/>
        </w:rPr>
        <w:t>10</w:t>
      </w:r>
      <w:r>
        <w:rPr>
          <w:rFonts w:hint="default" w:ascii="Times New Roman" w:hAnsi="Times New Roman" w:eastAsia="方正仿宋简体" w:cs="Times New Roman"/>
          <w:b/>
          <w:bCs/>
          <w:snapToGrid/>
          <w:color w:val="000000" w:themeColor="text1"/>
          <w:spacing w:val="0"/>
          <w:w w:val="100"/>
          <w:kern w:val="21"/>
          <w:sz w:val="32"/>
          <w:szCs w:val="32"/>
        </w:rPr>
        <w:t>、PM</w:t>
      </w:r>
      <w:r>
        <w:rPr>
          <w:rFonts w:hint="default" w:ascii="Times New Roman" w:hAnsi="Times New Roman" w:eastAsia="方正仿宋简体" w:cs="Times New Roman"/>
          <w:b/>
          <w:bCs/>
          <w:snapToGrid/>
          <w:color w:val="000000" w:themeColor="text1"/>
          <w:spacing w:val="0"/>
          <w:w w:val="100"/>
          <w:kern w:val="21"/>
          <w:sz w:val="32"/>
          <w:szCs w:val="32"/>
          <w:vertAlign w:val="subscript"/>
        </w:rPr>
        <w:t>2.5</w:t>
      </w:r>
      <w:r>
        <w:rPr>
          <w:rFonts w:hint="default" w:ascii="Times New Roman" w:hAnsi="Times New Roman" w:eastAsia="方正仿宋简体" w:cs="Times New Roman"/>
          <w:b/>
          <w:bCs/>
          <w:snapToGrid/>
          <w:color w:val="000000" w:themeColor="text1"/>
          <w:spacing w:val="0"/>
          <w:w w:val="100"/>
          <w:kern w:val="21"/>
          <w:sz w:val="32"/>
          <w:szCs w:val="32"/>
        </w:rPr>
        <w:t>、臭氧</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O</w:t>
      </w:r>
      <w:r>
        <w:rPr>
          <w:rFonts w:hint="default" w:ascii="Times New Roman" w:hAnsi="Times New Roman" w:eastAsia="方正仿宋简体" w:cs="Times New Roman"/>
          <w:b/>
          <w:bCs/>
          <w:snapToGrid/>
          <w:color w:val="000000" w:themeColor="text1"/>
          <w:spacing w:val="0"/>
          <w:w w:val="100"/>
          <w:kern w:val="21"/>
          <w:sz w:val="32"/>
          <w:szCs w:val="32"/>
          <w:vertAlign w:val="subscript"/>
        </w:rPr>
        <w:t>3</w:t>
      </w:r>
      <w:r>
        <w:rPr>
          <w:rFonts w:hint="default" w:ascii="Times New Roman" w:hAnsi="Times New Roman" w:eastAsia="方正仿宋简体" w:cs="Times New Roman"/>
          <w:b/>
          <w:bCs/>
          <w:snapToGrid/>
          <w:color w:val="000000" w:themeColor="text1"/>
          <w:spacing w:val="0"/>
          <w:w w:val="100"/>
          <w:kern w:val="21"/>
          <w:sz w:val="32"/>
          <w:szCs w:val="32"/>
        </w:rPr>
        <w:t>）90百分数浓度超标；空气优良天数231天，优良率63.1%。</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2021年，济宁高新区二氧化硫年均浓度为13ug/m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 xml:space="preserve"> ，二氧化氮年均浓度为32ug/m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，可吸入颗粒物</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PM</w:t>
      </w:r>
      <w:r>
        <w:rPr>
          <w:rFonts w:hint="default" w:ascii="Times New Roman" w:hAnsi="Times New Roman" w:eastAsia="方正仿宋简体" w:cs="Times New Roman"/>
          <w:b/>
          <w:bCs/>
          <w:snapToGrid/>
          <w:color w:val="000000" w:themeColor="text1"/>
          <w:spacing w:val="0"/>
          <w:w w:val="100"/>
          <w:kern w:val="21"/>
          <w:sz w:val="32"/>
          <w:szCs w:val="32"/>
          <w:vertAlign w:val="subscript"/>
        </w:rPr>
        <w:t>10</w:t>
      </w:r>
      <w:r>
        <w:rPr>
          <w:rFonts w:hint="default" w:ascii="Times New Roman" w:hAnsi="Times New Roman" w:eastAsia="方正仿宋简体" w:cs="Times New Roman"/>
          <w:b/>
          <w:bCs/>
          <w:snapToGrid/>
          <w:color w:val="000000" w:themeColor="text1"/>
          <w:spacing w:val="0"/>
          <w:w w:val="100"/>
          <w:kern w:val="21"/>
          <w:sz w:val="32"/>
          <w:szCs w:val="32"/>
        </w:rPr>
        <w:t>）年均浓度为 76ug/m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，细颗粒物</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PM</w:t>
      </w:r>
      <w:r>
        <w:rPr>
          <w:rFonts w:hint="default" w:ascii="Times New Roman" w:hAnsi="Times New Roman" w:eastAsia="方正仿宋简体" w:cs="Times New Roman"/>
          <w:b/>
          <w:bCs/>
          <w:snapToGrid/>
          <w:color w:val="000000" w:themeColor="text1"/>
          <w:spacing w:val="0"/>
          <w:w w:val="100"/>
          <w:kern w:val="21"/>
          <w:sz w:val="32"/>
          <w:szCs w:val="32"/>
          <w:vertAlign w:val="subscript"/>
        </w:rPr>
        <w:t>2.5</w:t>
      </w:r>
      <w:r>
        <w:rPr>
          <w:rFonts w:hint="default" w:ascii="Times New Roman" w:hAnsi="Times New Roman" w:eastAsia="方正仿宋简体" w:cs="Times New Roman"/>
          <w:b/>
          <w:bCs/>
          <w:snapToGrid/>
          <w:color w:val="000000" w:themeColor="text1"/>
          <w:spacing w:val="0"/>
          <w:w w:val="100"/>
          <w:kern w:val="21"/>
          <w:sz w:val="32"/>
          <w:szCs w:val="32"/>
        </w:rPr>
        <w:t>）年均浓度为44ug/m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。二氧化硫、二氧化氮年均浓度均达到了国家空气质量二级标准。与上年相比，二氧化硫、氮氧化物、细颗粒物浓度均有所下降。空气质量优良天数253天，占总天数的69.5%。</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bookmarkStart w:id="39" w:name="_Toc99132349"/>
      <w:bookmarkStart w:id="40" w:name="_Toc22087"/>
      <w:r>
        <w:rPr>
          <w:rFonts w:hint="default" w:ascii="Times New Roman" w:hAnsi="Times New Roman" w:eastAsia="方正楷体简体" w:cs="Times New Roman"/>
          <w:b/>
          <w:bCs/>
          <w:snapToGrid/>
          <w:color w:val="000000" w:themeColor="text1"/>
          <w:spacing w:val="0"/>
          <w:w w:val="100"/>
          <w:kern w:val="21"/>
          <w:sz w:val="32"/>
          <w:szCs w:val="32"/>
          <w:lang w:eastAsia="zh-CN"/>
        </w:rPr>
        <w:t>（二）水环境质量</w:t>
      </w:r>
      <w:bookmarkEnd w:id="39"/>
      <w:bookmarkEnd w:id="40"/>
    </w:p>
    <w:p>
      <w:pPr>
        <w:pStyle w:val="74"/>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41" w:name="_Toc31004"/>
      <w:bookmarkStart w:id="42" w:name="_Toc99132350"/>
      <w:r>
        <w:rPr>
          <w:rFonts w:hint="default" w:ascii="Times New Roman" w:hAnsi="Times New Roman" w:eastAsia="方正仿宋简体" w:cs="Times New Roman"/>
          <w:b/>
          <w:bCs/>
          <w:snapToGrid/>
          <w:color w:val="000000" w:themeColor="text1"/>
          <w:spacing w:val="0"/>
          <w:w w:val="100"/>
          <w:kern w:val="21"/>
          <w:sz w:val="32"/>
          <w:szCs w:val="32"/>
        </w:rPr>
        <w:t>济宁高新区水生态环境稳定改善，国控地表水断面水质达到地表水Ⅲ类，省、市控地表水断面水质达到地表水Ⅳ类，城市集中式饮用水水源水质稳定达到Ⅲ类标准。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r>
        <w:rPr>
          <w:rFonts w:hint="default" w:ascii="Times New Roman" w:hAnsi="Times New Roman" w:eastAsia="方正楷体简体" w:cs="Times New Roman"/>
          <w:b/>
          <w:bCs/>
          <w:snapToGrid/>
          <w:color w:val="000000" w:themeColor="text1"/>
          <w:spacing w:val="0"/>
          <w:w w:val="100"/>
          <w:kern w:val="21"/>
          <w:sz w:val="32"/>
          <w:szCs w:val="32"/>
          <w:lang w:eastAsia="zh-CN"/>
        </w:rPr>
        <w:t>（三）土壤环境质量</w:t>
      </w:r>
      <w:bookmarkEnd w:id="41"/>
      <w:bookmarkEnd w:id="4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43" w:name="_Toc11251"/>
      <w:bookmarkStart w:id="44" w:name="_Toc99132351"/>
      <w:r>
        <w:rPr>
          <w:rFonts w:hint="default" w:ascii="Times New Roman" w:hAnsi="Times New Roman" w:eastAsia="方正仿宋简体" w:cs="Times New Roman"/>
          <w:b/>
          <w:bCs/>
          <w:snapToGrid/>
          <w:color w:val="000000" w:themeColor="text1"/>
          <w:spacing w:val="0"/>
          <w:w w:val="100"/>
          <w:kern w:val="21"/>
          <w:sz w:val="32"/>
          <w:szCs w:val="32"/>
        </w:rPr>
        <w:t>配合市级开展重点行业企业用地调查。督导调度各土壤重点监管企业开展隐患排查、自行监测、年度报告等相关工作。督导新增土壤重点监管企业建设地下水监测井。土壤环境质量总体保持稳定，土壤环境风险得到基本管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r>
        <w:rPr>
          <w:rFonts w:hint="default" w:ascii="Times New Roman" w:hAnsi="Times New Roman" w:eastAsia="方正楷体简体" w:cs="Times New Roman"/>
          <w:b/>
          <w:bCs/>
          <w:snapToGrid/>
          <w:color w:val="000000" w:themeColor="text1"/>
          <w:spacing w:val="0"/>
          <w:w w:val="100"/>
          <w:kern w:val="21"/>
          <w:sz w:val="32"/>
          <w:szCs w:val="32"/>
          <w:lang w:eastAsia="zh-CN"/>
        </w:rPr>
        <w:t>（四）现存环境问题分析</w:t>
      </w:r>
      <w:bookmarkEnd w:id="43"/>
      <w:bookmarkEnd w:id="4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一是区域生态功能弱，生态环境压力较大。受长期采煤破坏及地表塌陷影响，区域生态环境功能弱化，不能有效支持新业态发展。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二是工业产业的大力发展，环境质量改善任务艰巨。济宁高新区工业企业众多，工业污染治理仍存在薄弱环节，污染物排放总量较大，VOCs全过程管控水平有待提高，源头替代进展较慢。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三是农村生态环境治理需强化攻坚。农村生活污水治理任务重。畜禽养殖粪污处理处置设施建设运行不规范，畜禽养殖污染防治要求和责任不明确。农业农村生态环境监测网络不完善，镇街基层环境人员专业能力不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四是新领域环境污染治理需要积极应对。随着经济社会快速发展，环境污染的复合型和治理的复杂性将不断提高，与此同时，环境风险防范的形势依旧严峻，新化学物质等新型污染物防治可能带来新的环境问题不容忽视，需要深入研究，系统治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bookmarkStart w:id="45" w:name="_Toc99132352"/>
      <w:bookmarkStart w:id="46" w:name="_Toc15197"/>
      <w:r>
        <w:rPr>
          <w:rFonts w:hint="default" w:ascii="Times New Roman" w:hAnsi="Times New Roman" w:eastAsia="方正黑体简体" w:cs="Times New Roman"/>
          <w:b/>
          <w:bCs/>
          <w:snapToGrid/>
          <w:color w:val="000000" w:themeColor="text1"/>
          <w:spacing w:val="0"/>
          <w:w w:val="100"/>
          <w:kern w:val="21"/>
          <w:sz w:val="32"/>
          <w:szCs w:val="32"/>
        </w:rPr>
        <w:t>五、畜禽养殖污染防治现状</w:t>
      </w:r>
      <w:bookmarkEnd w:id="45"/>
      <w:bookmarkEnd w:id="4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bookmarkStart w:id="47" w:name="_Toc99132353"/>
      <w:bookmarkStart w:id="48" w:name="_Toc26497"/>
      <w:r>
        <w:rPr>
          <w:rFonts w:hint="default" w:ascii="Times New Roman" w:hAnsi="Times New Roman" w:eastAsia="方正楷体简体" w:cs="Times New Roman"/>
          <w:b/>
          <w:bCs/>
          <w:snapToGrid/>
          <w:color w:val="000000" w:themeColor="text1"/>
          <w:spacing w:val="0"/>
          <w:w w:val="100"/>
          <w:kern w:val="21"/>
          <w:sz w:val="32"/>
          <w:szCs w:val="32"/>
          <w:lang w:eastAsia="zh-CN"/>
        </w:rPr>
        <w:t>（一）畜禽养殖现状</w:t>
      </w:r>
      <w:bookmarkEnd w:id="47"/>
      <w:bookmarkEnd w:id="48"/>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1.</w:t>
      </w:r>
      <w:r>
        <w:rPr>
          <w:rFonts w:hint="default" w:ascii="Times New Roman" w:hAnsi="Times New Roman" w:eastAsia="方正仿宋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仿宋简体" w:cs="Times New Roman"/>
          <w:b/>
          <w:bCs/>
          <w:snapToGrid/>
          <w:color w:val="000000" w:themeColor="text1"/>
          <w:spacing w:val="0"/>
          <w:w w:val="100"/>
          <w:kern w:val="21"/>
          <w:sz w:val="32"/>
          <w:szCs w:val="32"/>
        </w:rPr>
        <w:t>畜禽养殖类型及数量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1）畜禽养殖量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49" w:name="_Hlk118050737"/>
      <w:r>
        <w:rPr>
          <w:rFonts w:hint="default" w:ascii="Times New Roman" w:hAnsi="Times New Roman" w:eastAsia="方正仿宋简体" w:cs="Times New Roman"/>
          <w:b/>
          <w:bCs/>
          <w:snapToGrid/>
          <w:color w:val="000000" w:themeColor="text1"/>
          <w:spacing w:val="0"/>
          <w:w w:val="100"/>
          <w:kern w:val="21"/>
          <w:sz w:val="32"/>
          <w:szCs w:val="32"/>
        </w:rPr>
        <w:t>2020年济宁高新区畜牧业总产值2646万元，较2019年同比增长24.3%。根据山东省目前执行的规模养殖场标准，济宁高新区目前辖区内无规模化养殖场，专业户45户，散养户9户。</w:t>
      </w:r>
      <w:bookmarkEnd w:id="49"/>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default" w:ascii="Times New Roman" w:hAnsi="Times New Roman" w:eastAsia="方正仿宋简体" w:cs="Times New Roman"/>
          <w:b/>
          <w:bCs/>
          <w:snapToGrid/>
          <w:color w:val="000000" w:themeColor="text1"/>
          <w:spacing w:val="0"/>
          <w:w w:val="100"/>
          <w:kern w:val="21"/>
          <w:sz w:val="32"/>
        </w:rPr>
      </w:pPr>
      <w:r>
        <w:rPr>
          <w:rFonts w:hint="default" w:ascii="Times New Roman" w:hAnsi="Times New Roman" w:eastAsia="方正仿宋简体" w:cs="Times New Roman"/>
          <w:b/>
          <w:bCs/>
          <w:snapToGrid/>
          <w:color w:val="000000" w:themeColor="text1"/>
          <w:spacing w:val="0"/>
          <w:w w:val="100"/>
          <w:kern w:val="21"/>
          <w:sz w:val="32"/>
          <w:szCs w:val="32"/>
        </w:rPr>
        <w:t xml:space="preserve">表1 </w:t>
      </w:r>
      <w:r>
        <w:rPr>
          <w:rFonts w:hint="default" w:ascii="Times New Roman" w:hAnsi="Times New Roman" w:eastAsia="方正仿宋简体" w:cs="Times New Roman"/>
          <w:b/>
          <w:bCs/>
          <w:snapToGrid/>
          <w:color w:val="000000" w:themeColor="text1"/>
          <w:spacing w:val="0"/>
          <w:w w:val="100"/>
          <w:kern w:val="21"/>
          <w:sz w:val="32"/>
          <w:szCs w:val="30"/>
        </w:rPr>
        <w:t>2020年度</w:t>
      </w:r>
      <w:r>
        <w:rPr>
          <w:rFonts w:hint="default" w:ascii="Times New Roman" w:hAnsi="Times New Roman" w:eastAsia="方正仿宋简体" w:cs="Times New Roman"/>
          <w:b/>
          <w:bCs/>
          <w:snapToGrid/>
          <w:color w:val="000000" w:themeColor="text1"/>
          <w:spacing w:val="0"/>
          <w:w w:val="100"/>
          <w:kern w:val="21"/>
          <w:sz w:val="32"/>
          <w:szCs w:val="32"/>
        </w:rPr>
        <w:t>济宁高新区畜禽养殖户类型统计表</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单位：家）</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1418"/>
        <w:gridCol w:w="1418"/>
        <w:gridCol w:w="1418"/>
        <w:gridCol w:w="1418"/>
        <w:gridCol w:w="14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养殖规模</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生猪</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肉牛</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肉羊</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肉鸡</w:t>
            </w:r>
          </w:p>
        </w:tc>
        <w:tc>
          <w:tcPr>
            <w:tcW w:w="1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专业户</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28</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w:t>
            </w:r>
          </w:p>
        </w:tc>
        <w:tc>
          <w:tcPr>
            <w:tcW w:w="1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散养户</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6</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总计</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31</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14</w:t>
            </w:r>
          </w:p>
        </w:tc>
        <w:tc>
          <w:tcPr>
            <w:tcW w:w="14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w:t>
            </w:r>
          </w:p>
        </w:tc>
        <w:tc>
          <w:tcPr>
            <w:tcW w:w="1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54</w:t>
            </w: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从表1可以看出，济宁高新区专业户45家，占比83.3%，散养户9家，占比 16.7%；从畜禽养殖的类型来看，生猪养殖户最多，为31家，占比57.4%，其次分别为肉羊、肉牛、肉鸡，分别为14、8、1家，占比25.9%、14.8%、1.9%。</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2）各街道畜禽养殖情况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济宁高新区各街道畜禽规模以下养殖户养殖类型统计情况见表2。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b/>
          <w:bCs/>
          <w:snapToGrid/>
          <w:color w:val="000000" w:themeColor="text1"/>
          <w:spacing w:val="0"/>
          <w:w w:val="100"/>
          <w:kern w:val="21"/>
          <w:sz w:val="32"/>
          <w:szCs w:val="30"/>
        </w:rPr>
      </w:pPr>
      <w:r>
        <w:rPr>
          <w:rFonts w:hint="default" w:ascii="Times New Roman" w:hAnsi="Times New Roman" w:eastAsia="方正仿宋简体" w:cs="Times New Roman"/>
          <w:b/>
          <w:bCs/>
          <w:snapToGrid/>
          <w:color w:val="000000" w:themeColor="text1"/>
          <w:spacing w:val="0"/>
          <w:w w:val="100"/>
          <w:kern w:val="21"/>
          <w:sz w:val="32"/>
          <w:szCs w:val="30"/>
        </w:rPr>
        <w:t>表2 2020年度</w:t>
      </w:r>
      <w:r>
        <w:rPr>
          <w:rFonts w:hint="default" w:ascii="Times New Roman" w:hAnsi="Times New Roman" w:eastAsia="方正仿宋简体" w:cs="Times New Roman"/>
          <w:b/>
          <w:bCs/>
          <w:snapToGrid/>
          <w:color w:val="000000" w:themeColor="text1"/>
          <w:spacing w:val="0"/>
          <w:w w:val="100"/>
          <w:kern w:val="21"/>
          <w:sz w:val="32"/>
          <w:szCs w:val="32"/>
        </w:rPr>
        <w:t>济宁</w:t>
      </w:r>
      <w:r>
        <w:rPr>
          <w:rFonts w:hint="default" w:ascii="Times New Roman" w:hAnsi="Times New Roman" w:eastAsia="方正仿宋简体" w:cs="Times New Roman"/>
          <w:b/>
          <w:bCs/>
          <w:snapToGrid/>
          <w:color w:val="000000" w:themeColor="text1"/>
          <w:spacing w:val="0"/>
          <w:w w:val="100"/>
          <w:kern w:val="21"/>
          <w:sz w:val="32"/>
          <w:szCs w:val="30"/>
        </w:rPr>
        <w:t>高新区各街道畜禽养殖户养殖类型统计表</w:t>
      </w:r>
    </w:p>
    <w:tbl>
      <w:tblPr>
        <w:tblStyle w:val="22"/>
        <w:tblW w:w="88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33"/>
        <w:gridCol w:w="1460"/>
        <w:gridCol w:w="1359"/>
        <w:gridCol w:w="1326"/>
        <w:gridCol w:w="1390"/>
        <w:gridCol w:w="13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0" w:hRule="atLeast"/>
          <w:tblHeader/>
          <w:jc w:val="center"/>
        </w:trPr>
        <w:tc>
          <w:tcPr>
            <w:tcW w:w="1933"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镇街</w:t>
            </w:r>
          </w:p>
        </w:tc>
        <w:tc>
          <w:tcPr>
            <w:tcW w:w="14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生猪</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肉牛</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肉羊</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肉鸡</w:t>
            </w:r>
          </w:p>
        </w:tc>
        <w:tc>
          <w:tcPr>
            <w:tcW w:w="139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黄屯街道</w:t>
            </w:r>
          </w:p>
        </w:tc>
        <w:tc>
          <w:tcPr>
            <w:tcW w:w="146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w:t>
            </w:r>
          </w:p>
        </w:tc>
        <w:tc>
          <w:tcPr>
            <w:tcW w:w="1359"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2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6</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接庄街道</w:t>
            </w:r>
          </w:p>
        </w:tc>
        <w:tc>
          <w:tcPr>
            <w:tcW w:w="146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9</w:t>
            </w:r>
          </w:p>
        </w:tc>
        <w:tc>
          <w:tcPr>
            <w:tcW w:w="1359"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2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王因街道</w:t>
            </w:r>
          </w:p>
        </w:tc>
        <w:tc>
          <w:tcPr>
            <w:tcW w:w="146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18</w:t>
            </w:r>
          </w:p>
        </w:tc>
        <w:tc>
          <w:tcPr>
            <w:tcW w:w="1359"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w:t>
            </w:r>
          </w:p>
        </w:tc>
        <w:tc>
          <w:tcPr>
            <w:tcW w:w="132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6</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洸河街道</w:t>
            </w:r>
          </w:p>
        </w:tc>
        <w:tc>
          <w:tcPr>
            <w:tcW w:w="146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59"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2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柳行街道</w:t>
            </w:r>
          </w:p>
        </w:tc>
        <w:tc>
          <w:tcPr>
            <w:tcW w:w="146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59"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2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总计</w:t>
            </w:r>
          </w:p>
        </w:tc>
        <w:tc>
          <w:tcPr>
            <w:tcW w:w="146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31</w:t>
            </w:r>
          </w:p>
        </w:tc>
        <w:tc>
          <w:tcPr>
            <w:tcW w:w="1359"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w:t>
            </w:r>
          </w:p>
        </w:tc>
        <w:tc>
          <w:tcPr>
            <w:tcW w:w="132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14</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w:t>
            </w:r>
          </w:p>
        </w:tc>
        <w:tc>
          <w:tcPr>
            <w:tcW w:w="1390"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54</w:t>
            </w: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从表2可以看出，济宁高新区共有畜禽养殖户54家，洸河街道和柳行街道无养殖户，涉及的三个街道中王因街道 33家，占比最大，其次为接庄街道11家；畜禽养殖场中以生猪养殖类型最多，共 31家，其次为肉羊14家。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全区畜禽养殖户54家，生猪存栏1987头，牛存栏174头，羊</w:t>
      </w:r>
      <w:r>
        <w:rPr>
          <w:rFonts w:hint="default" w:ascii="Times New Roman" w:hAnsi="Times New Roman" w:eastAsia="方正仿宋简体" w:cs="Times New Roman"/>
          <w:b/>
          <w:bCs/>
          <w:snapToGrid/>
          <w:color w:val="000000" w:themeColor="text1"/>
          <w:spacing w:val="-6"/>
          <w:w w:val="100"/>
          <w:kern w:val="21"/>
          <w:sz w:val="32"/>
          <w:szCs w:val="32"/>
        </w:rPr>
        <w:t>存栏909只，活家禽存栏14000只。各街道畜禽养殖情况见表</w:t>
      </w:r>
      <w:r>
        <w:rPr>
          <w:rFonts w:hint="default" w:ascii="Times New Roman" w:hAnsi="Times New Roman" w:eastAsia="方正仿宋简体" w:cs="Times New Roman"/>
          <w:b/>
          <w:bCs/>
          <w:snapToGrid/>
          <w:color w:val="000000" w:themeColor="text1"/>
          <w:spacing w:val="0"/>
          <w:w w:val="100"/>
          <w:kern w:val="21"/>
          <w:sz w:val="32"/>
          <w:szCs w:val="32"/>
        </w:rPr>
        <w:t>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50" w:name="_Toc7515"/>
      <w:r>
        <w:rPr>
          <w:rFonts w:hint="default" w:ascii="Times New Roman" w:hAnsi="Times New Roman" w:eastAsia="方正仿宋简体" w:cs="Times New Roman"/>
          <w:b/>
          <w:bCs/>
          <w:snapToGrid/>
          <w:color w:val="000000" w:themeColor="text1"/>
          <w:spacing w:val="0"/>
          <w:w w:val="100"/>
          <w:kern w:val="21"/>
          <w:sz w:val="32"/>
          <w:szCs w:val="32"/>
        </w:rPr>
        <w:t>表3</w:t>
      </w:r>
      <w:r>
        <w:rPr>
          <w:rFonts w:hint="eastAsia" w:eastAsia="方正仿宋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仿宋简体" w:cs="Times New Roman"/>
          <w:b/>
          <w:bCs/>
          <w:snapToGrid/>
          <w:color w:val="000000" w:themeColor="text1"/>
          <w:spacing w:val="0"/>
          <w:w w:val="100"/>
          <w:kern w:val="21"/>
          <w:sz w:val="32"/>
          <w:szCs w:val="32"/>
        </w:rPr>
        <w:t>济宁高新区畜禽养殖户总体情况</w:t>
      </w:r>
    </w:p>
    <w:tbl>
      <w:tblPr>
        <w:tblStyle w:val="22"/>
        <w:tblW w:w="97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1401"/>
        <w:gridCol w:w="917"/>
        <w:gridCol w:w="917"/>
        <w:gridCol w:w="917"/>
        <w:gridCol w:w="917"/>
        <w:gridCol w:w="917"/>
        <w:gridCol w:w="917"/>
        <w:gridCol w:w="917"/>
        <w:gridCol w:w="917"/>
        <w:gridCol w:w="10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457" w:hRule="atLeast"/>
          <w:jc w:val="center"/>
        </w:trPr>
        <w:tc>
          <w:tcPr>
            <w:tcW w:w="140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街道</w:t>
            </w:r>
          </w:p>
        </w:tc>
        <w:tc>
          <w:tcPr>
            <w:tcW w:w="8345" w:type="dxa"/>
            <w:gridSpan w:val="9"/>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存栏量</w:t>
            </w:r>
            <w:r>
              <w:rPr>
                <w:rFonts w:hint="default" w:ascii="Times New Roman" w:hAnsi="Times New Roman" w:eastAsia="方正仿宋简体" w:cs="Times New Roman"/>
                <w:b/>
                <w:bCs/>
                <w:snapToGrid/>
                <w:color w:val="000000" w:themeColor="text1"/>
                <w:spacing w:val="0"/>
                <w:w w:val="100"/>
                <w:kern w:val="21"/>
                <w:sz w:val="28"/>
                <w:szCs w:val="28"/>
                <w:lang w:eastAsia="zh-CN"/>
              </w:rPr>
              <w:t>（</w:t>
            </w:r>
            <w:r>
              <w:rPr>
                <w:rFonts w:hint="default" w:ascii="Times New Roman" w:hAnsi="Times New Roman" w:eastAsia="方正仿宋简体" w:cs="Times New Roman"/>
                <w:b/>
                <w:bCs/>
                <w:snapToGrid/>
                <w:color w:val="000000" w:themeColor="text1"/>
                <w:spacing w:val="0"/>
                <w:w w:val="100"/>
                <w:kern w:val="21"/>
                <w:sz w:val="28"/>
                <w:szCs w:val="28"/>
              </w:rPr>
              <w:t>头、只）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03" w:hRule="atLeast"/>
          <w:jc w:val="center"/>
        </w:trPr>
        <w:tc>
          <w:tcPr>
            <w:tcW w:w="14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p>
        </w:tc>
        <w:tc>
          <w:tcPr>
            <w:tcW w:w="18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生猪</w:t>
            </w:r>
          </w:p>
        </w:tc>
        <w:tc>
          <w:tcPr>
            <w:tcW w:w="18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肉羊</w:t>
            </w:r>
          </w:p>
        </w:tc>
        <w:tc>
          <w:tcPr>
            <w:tcW w:w="18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肉牛</w:t>
            </w:r>
          </w:p>
        </w:tc>
        <w:tc>
          <w:tcPr>
            <w:tcW w:w="18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肉鸡</w:t>
            </w:r>
          </w:p>
        </w:tc>
        <w:tc>
          <w:tcPr>
            <w:tcW w:w="1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养殖量</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猪当量</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养殖量</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猪当量</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养殖量</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猪当量</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养殖量</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猪当量</w:t>
            </w:r>
          </w:p>
        </w:tc>
        <w:tc>
          <w:tcPr>
            <w:tcW w:w="1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猪当量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黄屯街道</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245</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245</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311</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103.7</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348.7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接庄街道</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587</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587</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135</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45</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w:t>
            </w:r>
          </w:p>
        </w:tc>
        <w:tc>
          <w:tcPr>
            <w:tcW w:w="1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632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51" w:hRule="atLeast"/>
          <w:jc w:val="center"/>
        </w:trPr>
        <w:tc>
          <w:tcPr>
            <w:tcW w:w="14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王因街道</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1155</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1155</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463</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154.3</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174</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870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14000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233.3</w:t>
            </w:r>
          </w:p>
        </w:tc>
        <w:tc>
          <w:tcPr>
            <w:tcW w:w="1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2412.6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45" w:hRule="atLeast"/>
          <w:jc w:val="center"/>
        </w:trPr>
        <w:tc>
          <w:tcPr>
            <w:tcW w:w="14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总计</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1987</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1987</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909</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303</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174</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870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14000</w:t>
            </w:r>
          </w:p>
        </w:tc>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233.3</w:t>
            </w:r>
          </w:p>
        </w:tc>
        <w:tc>
          <w:tcPr>
            <w:tcW w:w="1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3393.3</w:t>
            </w: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由上表可以看出，各街道分布中，黄屯街道养殖量最小，王因街道养殖量最大。猪存栏量中，王因街道占比最高；牛存栏量中，全部为王因街道；羊存栏量中，王因街道占比最高；活家禽存栏量中，全部为王因街道。</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r>
        <w:rPr>
          <w:rFonts w:hint="default" w:ascii="Times New Roman" w:hAnsi="Times New Roman" w:eastAsia="方正楷体简体" w:cs="Times New Roman"/>
          <w:b/>
          <w:bCs/>
          <w:snapToGrid/>
          <w:color w:val="000000" w:themeColor="text1"/>
          <w:spacing w:val="0"/>
          <w:w w:val="100"/>
          <w:kern w:val="21"/>
          <w:sz w:val="32"/>
          <w:szCs w:val="32"/>
          <w:lang w:eastAsia="zh-CN"/>
        </w:rPr>
        <w:t>（二）污染防治现状</w:t>
      </w:r>
      <w:bookmarkEnd w:id="50"/>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1.</w:t>
      </w:r>
      <w:r>
        <w:rPr>
          <w:rFonts w:hint="default" w:ascii="Times New Roman" w:hAnsi="Times New Roman" w:eastAsia="方正仿宋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仿宋简体" w:cs="Times New Roman"/>
          <w:b/>
          <w:bCs/>
          <w:snapToGrid/>
          <w:color w:val="000000" w:themeColor="text1"/>
          <w:spacing w:val="0"/>
          <w:w w:val="100"/>
          <w:kern w:val="21"/>
          <w:sz w:val="32"/>
          <w:szCs w:val="32"/>
        </w:rPr>
        <w:t>畜禽粪污产生情况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辖区内养殖户中根据养殖种类的不同采用的清粪方式也不同，养牛户、养鸡户、养羊户清粪方式均为干清粪方式，即采用人工或机械方式从畜禽舍地面收集全部或大部分的固体粪便，地面残余粪尿用少量水冲洗，从而使固体和液体废弃物分离的粪便清理方式。绝大多数养猪场采用干清粪和水冲粪结合的方式，水冲粪即粪尿污水混合进入粪沟，少数采用干清粪方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rPr>
      </w:pPr>
      <w:r>
        <w:rPr>
          <w:rFonts w:hint="default" w:ascii="Times New Roman" w:hAnsi="Times New Roman" w:eastAsia="方正仿宋简体" w:cs="Times New Roman"/>
          <w:b/>
          <w:bCs/>
          <w:snapToGrid/>
          <w:color w:val="000000" w:themeColor="text1"/>
          <w:spacing w:val="0"/>
          <w:w w:val="100"/>
          <w:kern w:val="21"/>
          <w:sz w:val="32"/>
          <w:szCs w:val="32"/>
        </w:rPr>
        <w:t>根据《畜禽养殖业污染物排放标准》</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GB18596</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2001）中表3、表4</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畜禽养殖业每日最高允许排水量）和《畜禽养殖业污染治理工程技术规范》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HJ497</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2009）中附录 A</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畜禽养殖废水水质和粪污产生量），计算高新区畜禽养殖粪污产生量以及 COD、NH</w:t>
      </w:r>
      <w:r>
        <w:rPr>
          <w:rFonts w:hint="default" w:ascii="Times New Roman" w:hAnsi="Times New Roman" w:eastAsia="方正仿宋简体" w:cs="Times New Roman"/>
          <w:b/>
          <w:bCs/>
          <w:snapToGrid/>
          <w:color w:val="000000" w:themeColor="text1"/>
          <w:spacing w:val="0"/>
          <w:w w:val="100"/>
          <w:kern w:val="21"/>
          <w:sz w:val="32"/>
          <w:szCs w:val="32"/>
          <w:vertAlign w:val="subscript"/>
        </w:rPr>
        <w:t>3</w:t>
      </w:r>
      <w:r>
        <w:rPr>
          <w:rFonts w:hint="default" w:ascii="Times New Roman" w:hAnsi="Times New Roman" w:eastAsia="方正仿宋简体" w:cs="Times New Roman"/>
          <w:b/>
          <w:bCs/>
          <w:snapToGrid/>
          <w:color w:val="000000" w:themeColor="text1"/>
          <w:spacing w:val="0"/>
          <w:w w:val="100"/>
          <w:kern w:val="21"/>
          <w:sz w:val="32"/>
          <w:szCs w:val="32"/>
        </w:rPr>
        <w:t>–N、TN、TP等主要污染物产生量。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2020年，济宁高新区畜禽养殖BOD</w:t>
      </w:r>
      <w:r>
        <w:rPr>
          <w:rFonts w:hint="default" w:ascii="Times New Roman" w:hAnsi="Times New Roman" w:eastAsia="方正仿宋简体" w:cs="Times New Roman"/>
          <w:b/>
          <w:bCs/>
          <w:snapToGrid/>
          <w:color w:val="000000" w:themeColor="text1"/>
          <w:spacing w:val="0"/>
          <w:w w:val="100"/>
          <w:kern w:val="21"/>
          <w:sz w:val="32"/>
          <w:szCs w:val="32"/>
          <w:vertAlign w:val="subscript"/>
        </w:rPr>
        <w:t>5</w:t>
      </w:r>
      <w:r>
        <w:rPr>
          <w:rFonts w:hint="default" w:ascii="Times New Roman" w:hAnsi="Times New Roman" w:eastAsia="方正仿宋简体" w:cs="Times New Roman"/>
          <w:b/>
          <w:bCs/>
          <w:snapToGrid/>
          <w:color w:val="000000" w:themeColor="text1"/>
          <w:spacing w:val="0"/>
          <w:w w:val="100"/>
          <w:kern w:val="21"/>
          <w:sz w:val="32"/>
          <w:szCs w:val="32"/>
        </w:rPr>
        <w:t>、COD、NH</w:t>
      </w:r>
      <w:r>
        <w:rPr>
          <w:rFonts w:hint="default" w:ascii="Times New Roman" w:hAnsi="Times New Roman" w:eastAsia="方正仿宋简体" w:cs="Times New Roman"/>
          <w:b/>
          <w:bCs/>
          <w:snapToGrid/>
          <w:color w:val="000000" w:themeColor="text1"/>
          <w:spacing w:val="0"/>
          <w:w w:val="100"/>
          <w:kern w:val="21"/>
          <w:sz w:val="32"/>
          <w:szCs w:val="32"/>
          <w:vertAlign w:val="subscript"/>
        </w:rPr>
        <w:t>3</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N、TN、TP产生量分别为124.8吨、174吨、15.53吨、36.4吨和11.4吨。</w:t>
      </w:r>
      <w:bookmarkStart w:id="51" w:name="_Hlk118051032"/>
      <w:r>
        <w:rPr>
          <w:rFonts w:hint="default" w:ascii="Times New Roman" w:hAnsi="Times New Roman" w:eastAsia="方正仿宋简体" w:cs="Times New Roman"/>
          <w:b/>
          <w:bCs/>
          <w:snapToGrid/>
          <w:color w:val="000000" w:themeColor="text1"/>
          <w:spacing w:val="0"/>
          <w:w w:val="100"/>
          <w:kern w:val="21"/>
          <w:sz w:val="32"/>
          <w:szCs w:val="32"/>
        </w:rPr>
        <w:t>畜禽养殖粪尿产生总量为7223吨，其中粪4195吨、尿3028吨。粪污利用量为6645吨，粪污综合利用率为92%。对于畜禽养殖粪尿产生量，分品种看，猪为3843吨，占53.2%；牛为1905吨，占26.4%；羊为862吨，占11.9%；家禽为613吨，占8.5%。可见，对于畜禽养殖粪尿产生量，猪和牛占比较大，二者之和为79.6%，为畜禽养殖行业污染治理的重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eastAsia" w:eastAsia="方正仿宋简体" w:cs="Times New Roman"/>
          <w:b/>
          <w:bCs/>
          <w:snapToGrid/>
          <w:color w:val="000000" w:themeColor="text1"/>
          <w:spacing w:val="0"/>
          <w:w w:val="100"/>
          <w:kern w:val="21"/>
          <w:sz w:val="32"/>
          <w:szCs w:val="32"/>
          <w:lang w:val="en-US" w:eastAsia="zh-CN"/>
        </w:rPr>
        <w:t xml:space="preserve">2. </w:t>
      </w:r>
      <w:r>
        <w:rPr>
          <w:rFonts w:hint="default" w:ascii="Times New Roman" w:hAnsi="Times New Roman" w:eastAsia="方正仿宋简体" w:cs="Times New Roman"/>
          <w:b/>
          <w:bCs/>
          <w:snapToGrid/>
          <w:color w:val="000000" w:themeColor="text1"/>
          <w:spacing w:val="0"/>
          <w:w w:val="100"/>
          <w:kern w:val="21"/>
          <w:sz w:val="32"/>
          <w:szCs w:val="32"/>
        </w:rPr>
        <w:t>畜禽养殖污染治理现状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rPr>
      </w:pPr>
      <w:r>
        <w:rPr>
          <w:rFonts w:hint="default" w:ascii="Times New Roman" w:hAnsi="Times New Roman" w:eastAsia="方正仿宋简体" w:cs="Times New Roman"/>
          <w:b/>
          <w:bCs/>
          <w:snapToGrid/>
          <w:color w:val="000000" w:themeColor="text1"/>
          <w:spacing w:val="0"/>
          <w:w w:val="100"/>
          <w:kern w:val="21"/>
          <w:sz w:val="32"/>
          <w:szCs w:val="32"/>
        </w:rPr>
        <w:t>济宁高新区辖区内54家养殖户，均配套建有粪污收集或处理设施，畜禽粪污处理设施装备配套率达到 100%。畜禽养殖户禽粪污产生量为7223吨，主要采用堆肥、直接还田等利用方式，综合利用率达 92%。</w:t>
      </w:r>
    </w:p>
    <w:bookmarkEnd w:id="51"/>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eastAsia" w:ascii="Times New Roman" w:hAnsi="Times New Roman" w:eastAsia="方正仿宋简体" w:cs="Times New Roman"/>
          <w:b/>
          <w:bCs/>
          <w:snapToGrid/>
          <w:color w:val="000000" w:themeColor="text1"/>
          <w:spacing w:val="0"/>
          <w:w w:val="100"/>
          <w:kern w:val="21"/>
          <w:sz w:val="32"/>
          <w:szCs w:val="32"/>
          <w:lang w:val="en-US" w:eastAsia="zh-CN"/>
        </w:rPr>
        <w:t xml:space="preserve">3. </w:t>
      </w:r>
      <w:r>
        <w:rPr>
          <w:rFonts w:hint="default" w:ascii="Times New Roman" w:hAnsi="Times New Roman" w:eastAsia="方正仿宋简体" w:cs="Times New Roman"/>
          <w:b/>
          <w:bCs/>
          <w:snapToGrid/>
          <w:color w:val="000000" w:themeColor="text1"/>
          <w:spacing w:val="0"/>
          <w:w w:val="100"/>
          <w:kern w:val="21"/>
          <w:sz w:val="32"/>
          <w:szCs w:val="32"/>
        </w:rPr>
        <w:t>粪污处理利用情况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52" w:name="_Hlk118051071"/>
      <w:r>
        <w:rPr>
          <w:rFonts w:hint="default" w:ascii="Times New Roman" w:hAnsi="Times New Roman" w:eastAsia="方正仿宋简体" w:cs="Times New Roman"/>
          <w:b/>
          <w:bCs/>
          <w:snapToGrid/>
          <w:color w:val="000000" w:themeColor="text1"/>
          <w:spacing w:val="0"/>
          <w:w w:val="100"/>
          <w:kern w:val="21"/>
          <w:sz w:val="32"/>
          <w:szCs w:val="32"/>
        </w:rPr>
        <w:t>近年来，济宁高新区把畜禽养殖污染治理摆上重要议程，逐步加大工作力度，强化规划布局，推广适宜模式，取得了较好效果。2020年，全区粪污利用量为6645吨，粪污综合利用率达到92%。</w:t>
      </w:r>
      <w:bookmarkEnd w:id="52"/>
      <w:r>
        <w:rPr>
          <w:rFonts w:hint="default" w:ascii="Times New Roman" w:hAnsi="Times New Roman" w:eastAsia="方正仿宋简体" w:cs="Times New Roman"/>
          <w:b/>
          <w:bCs/>
          <w:snapToGrid/>
          <w:color w:val="000000" w:themeColor="text1"/>
          <w:spacing w:val="0"/>
          <w:w w:val="100"/>
          <w:kern w:val="21"/>
          <w:sz w:val="32"/>
          <w:szCs w:val="32"/>
        </w:rPr>
        <w:t>一是推进标准化养殖，规范养殖户养殖行为。加大对畜禽养殖污染防治的扶持力度，提升养殖污染防治水平，推动第三方治理等社会化运营模式健康发展。二是完善资源化利用政策配套。加快推进种养结合、优化布局、农牧循环，围绕源头减量、过程控制、末端利用等环节，加大培训力度，推广适宜模式，促进畜禽粪污就近就地低成本还田利用。三是严格规范病死畜禽无害化处理。进一步落实无害化处理的主体责任，整合优化处理能力。健全病死畜禽无害化处理与保险联动机制。加强无害化处理监管，落实部门监管职责，规范无害化处理监管措施和程序，提高信息化监管能力。四是统筹推进畜牧业发展和环境保护，加快畜牧业转型升级和绿色发展。要统筹兼顾生产生态两大目标，以粪污综合利用为核心强化畜禽养殖污染治理，促进畜禽养殖业生产与环境保护协调发展，加强源头治理，科学解决畜禽养殖业发展带来的环境污染问题，推动畜禽养殖业的转型升级和持续发展。</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eastAsia" w:ascii="Times New Roman" w:hAnsi="Times New Roman" w:eastAsia="方正仿宋简体" w:cs="Times New Roman"/>
          <w:b/>
          <w:bCs/>
          <w:snapToGrid/>
          <w:color w:val="000000" w:themeColor="text1"/>
          <w:spacing w:val="0"/>
          <w:w w:val="100"/>
          <w:kern w:val="21"/>
          <w:sz w:val="32"/>
          <w:szCs w:val="32"/>
          <w:lang w:val="en-US" w:eastAsia="zh-CN"/>
        </w:rPr>
        <w:t xml:space="preserve">4. </w:t>
      </w:r>
      <w:r>
        <w:rPr>
          <w:rFonts w:hint="default" w:ascii="Times New Roman" w:hAnsi="Times New Roman" w:eastAsia="方正仿宋简体" w:cs="Times New Roman"/>
          <w:b/>
          <w:bCs/>
          <w:snapToGrid/>
          <w:color w:val="000000" w:themeColor="text1"/>
          <w:spacing w:val="0"/>
          <w:w w:val="100"/>
          <w:kern w:val="21"/>
          <w:sz w:val="32"/>
          <w:szCs w:val="32"/>
        </w:rPr>
        <w:t>禁养区划定情况及综合整治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根据生态环境部、农业农村部《关于进一步规范畜禽养殖禁养区划定和管理促进生猪生产发展的通知》要求，济宁市生态环境局高新区分局联合济宁高新区</w:t>
      </w:r>
      <w:r>
        <w:rPr>
          <w:rFonts w:hint="eastAsia" w:eastAsia="方正仿宋简体" w:cs="Times New Roman"/>
          <w:b/>
          <w:bCs/>
          <w:snapToGrid/>
          <w:color w:val="000000" w:themeColor="text1"/>
          <w:spacing w:val="0"/>
          <w:w w:val="100"/>
          <w:kern w:val="21"/>
          <w:sz w:val="32"/>
          <w:szCs w:val="32"/>
          <w:lang w:val="en-US" w:eastAsia="zh-CN"/>
        </w:rPr>
        <w:t>发展软环境保障局（</w:t>
      </w:r>
      <w:r>
        <w:rPr>
          <w:rFonts w:hint="default" w:ascii="Times New Roman" w:hAnsi="Times New Roman" w:eastAsia="方正仿宋简体" w:cs="Times New Roman"/>
          <w:b/>
          <w:bCs/>
          <w:snapToGrid/>
          <w:color w:val="000000" w:themeColor="text1"/>
          <w:spacing w:val="0"/>
          <w:w w:val="100"/>
          <w:kern w:val="21"/>
          <w:sz w:val="32"/>
          <w:szCs w:val="32"/>
        </w:rPr>
        <w:t>城乡统筹</w:t>
      </w:r>
      <w:r>
        <w:rPr>
          <w:rFonts w:hint="eastAsia" w:eastAsia="方正仿宋简体" w:cs="Times New Roman"/>
          <w:b/>
          <w:bCs/>
          <w:snapToGrid/>
          <w:color w:val="000000" w:themeColor="text1"/>
          <w:spacing w:val="0"/>
          <w:w w:val="100"/>
          <w:kern w:val="21"/>
          <w:sz w:val="32"/>
          <w:szCs w:val="32"/>
          <w:lang w:val="en-US" w:eastAsia="zh-CN"/>
        </w:rPr>
        <w:t>）</w:t>
      </w:r>
      <w:r>
        <w:rPr>
          <w:rFonts w:hint="default" w:ascii="Times New Roman" w:hAnsi="Times New Roman" w:eastAsia="方正仿宋简体" w:cs="Times New Roman"/>
          <w:b/>
          <w:bCs/>
          <w:snapToGrid/>
          <w:color w:val="000000" w:themeColor="text1"/>
          <w:spacing w:val="0"/>
          <w:w w:val="100"/>
          <w:kern w:val="21"/>
          <w:sz w:val="32"/>
          <w:szCs w:val="32"/>
        </w:rPr>
        <w:t>共同开展济宁高新区畜禽养殖禁养区优化工作。在前期排查的基础上，严格依据《中华人民共和国畜牧法》《畜禽规模养殖污染防治条例》《中华人民共和国动物防疫法》《中华人民共和国城乡规划法》《中华人民共和国文物保护法》《基本农田保护条例》《山东省南水北调工程沿线区域水污染防治条例》等文件规定划定养殖禁养区，严禁超范围划定。济宁高新技术产业开发区管理委员会办公室于2020年2月发布《济宁高新区畜禽养殖禁养区优化方案》，畜禽养殖禁养区范围如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1）城北水源地一级保护区</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高新水厂）。为以单井或以外围井的外接多边形，分别向外径距离为130米的圆形或多边形区域。如在本方案执行期间，有饮用水水源保护区撤销或新增的，与之相应禁养区范围亦取消或新增。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贾村水源地一级保护区。王回庄井为以水源井泵房范围为界；其他井以单井中心或以外围井的外接多边形，分别向外径距离为162米的圆形或多边形区域。如在本方案执行期间，有饮用水水源保护区撤销或新增的，与之相应禁养区范围亦取消或新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53" w:name="OLE_LINK2"/>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3）农村集中供水工程和饮用水源井</w:t>
      </w:r>
      <w:bookmarkEnd w:id="53"/>
      <w:r>
        <w:rPr>
          <w:rFonts w:hint="default" w:ascii="Times New Roman" w:hAnsi="Times New Roman" w:eastAsia="方正仿宋简体" w:cs="Times New Roman"/>
          <w:b/>
          <w:bCs/>
          <w:snapToGrid/>
          <w:color w:val="000000" w:themeColor="text1"/>
          <w:spacing w:val="0"/>
          <w:w w:val="100"/>
          <w:kern w:val="21"/>
          <w:sz w:val="32"/>
          <w:szCs w:val="32"/>
        </w:rPr>
        <w:t>。农村饮用水水源地半径50米以内。如在本方案执行期间，有饮用水水源保护区撤销或新增的，与之相应禁养区范围亦取消或新增。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4）城市建设区、街道办事处驻地和文化教育科学研究区等人口集中区域。城市建成区纳入禁养区，具体边界调整东外环以西的高新区所属范围；东外环以东范围：西至东外环，东至西浦路，南至济邹路，北至任城大道东延；镇街驻地及居民区：仅指各街道驻地建成区纳入禁养区；文化教育科学研究区：区域内所有学校、幼儿园区域纳入禁养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5）法律法规规定的其它禁止建设养殖场的区域。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2020年，根据《关于落实国家、省进一步规范畜禽养殖禁养区管理工作的紧急通知》，我区进一步厘清了畜禽养殖空间管控范围，对全区禁养区范围进行了优化调整，全区现有禁养区共计10处，总面积95.17平方公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rPr>
      </w:pPr>
      <w:r>
        <w:rPr>
          <w:rFonts w:hint="default" w:ascii="Times New Roman" w:hAnsi="Times New Roman" w:eastAsia="方正仿宋简体" w:cs="Times New Roman"/>
          <w:b/>
          <w:bCs/>
          <w:snapToGrid/>
          <w:color w:val="000000" w:themeColor="text1"/>
          <w:spacing w:val="0"/>
          <w:w w:val="100"/>
          <w:kern w:val="21"/>
          <w:sz w:val="32"/>
          <w:szCs w:val="32"/>
        </w:rPr>
        <w:t>根据禁养区划定方案，各街道进行了禁养区专项整治工作，目前全部完成禁养区内综合整治工作，禁养区综合整治率达到 100%。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bookmarkStart w:id="54" w:name="_Toc12461"/>
      <w:r>
        <w:rPr>
          <w:rFonts w:hint="default" w:ascii="Times New Roman" w:hAnsi="Times New Roman" w:eastAsia="方正楷体简体" w:cs="Times New Roman"/>
          <w:b/>
          <w:bCs/>
          <w:snapToGrid/>
          <w:color w:val="000000" w:themeColor="text1"/>
          <w:spacing w:val="0"/>
          <w:w w:val="100"/>
          <w:kern w:val="21"/>
          <w:sz w:val="32"/>
          <w:szCs w:val="32"/>
          <w:lang w:eastAsia="zh-CN"/>
        </w:rPr>
        <w:t>（三）种养结合现状</w:t>
      </w:r>
      <w:bookmarkEnd w:id="5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济宁高新区现有种植</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耕地、种植园地）总面积为245924.61亩，粮食播种面积达到210706.31亩，总产量达到121139.37吨。经济作物播种面积达到35218.3亩，其中油料播种面积33415.3亩、总产量8356.23吨，蔬菜及食用菌播种面积46834亩、总产量152579.816吨。从作物类型和占比来看，济宁高新区主要以种植粮食作物为主，种植经济作物和蔬菜的占比很小。现有耕地可承载猪当量为344800头，各街道耕地可承载猪当量的阈值为275840。</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济宁高新区畜禽养殖猪当量总量为 3393.3头，其中王因街道畜禽养殖猪当量总量最大，猪当量总量为 2412.6 头；接庄街道畜禽养殖猪当量总量第二，猪当量总量为 632 头；黄屯街道畜禽养殖猪当量总量第三，猪当量总量为 348.7头。</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从济宁高新区现有耕地可承载猪当量和高新区畜禽养殖猪当量总量来看，全区产生的畜禽粪污均可被现有耕地完全消纳。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lang w:eastAsia="zh-CN"/>
        </w:rPr>
      </w:pPr>
      <w:bookmarkStart w:id="55" w:name="_Toc27911"/>
      <w:r>
        <w:rPr>
          <w:rFonts w:hint="default" w:ascii="Times New Roman" w:hAnsi="Times New Roman" w:eastAsia="方正楷体简体" w:cs="Times New Roman"/>
          <w:b/>
          <w:bCs/>
          <w:snapToGrid/>
          <w:color w:val="000000" w:themeColor="text1"/>
          <w:spacing w:val="0"/>
          <w:w w:val="100"/>
          <w:kern w:val="21"/>
          <w:sz w:val="32"/>
          <w:szCs w:val="32"/>
          <w:lang w:eastAsia="zh-CN"/>
        </w:rPr>
        <w:t>（四）存在的问题</w:t>
      </w:r>
      <w:bookmarkEnd w:id="55"/>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畜禽养殖发展规模较低，以养殖户和养殖散户为主，无规模化养殖场。养殖人员文化程度不高，部分养殖户存在生产粗放、防疫条件差、标准化程度低等问题；配建的粪污处理设施简陋、标准低，而当前畜禽养殖整体行情不佳，粪污处理设施和除臭设备投资较大，养殖业主很难独立承担治理污染的费用，畜禽养殖产生的异味对周边环境影响较大。</w:t>
      </w:r>
    </w:p>
    <w:p>
      <w:pPr>
        <w:pStyle w:val="6"/>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环保意识不强，粪污设施简陋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区域内养殖户以中小散户居多，大部分建设在村庄附近，个别在村内，从业人员以农村劳动力为主，文化程度不高，法律意识不强，环保意识较差，部分畜禽养殖户只追求经济效益，建设粪污处理设施简陋，与粪污产生量不配套。</w:t>
      </w:r>
    </w:p>
    <w:p>
      <w:pPr>
        <w:pStyle w:val="6"/>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left="0" w:leftChars="0"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资金短缺，养殖户治污难度大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养殖业受疫病及市场价格波动的影响，粪污处理设施和除臭设备投资大，中小养殖业主普遍缺乏投入治污设施的积极性，各级财政在畜禽污染治理上的投入较少，远不能满足粪污处理资金需求。</w:t>
      </w:r>
    </w:p>
    <w:p>
      <w:pPr>
        <w:pStyle w:val="6"/>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left="0" w:leftChars="0"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畜禽养殖粪污无害化处理不规范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养殖专业户污染防治设施配套率已达到100%，粪污处理设施正常运行，粪污无害化处理方式大部分采用堆肥方式，但堆肥处理程序不规范等问题。部分养殖户对技术细节掌握不到位，堆肥时间不够，致使粪污没有腐熟充分，未达到有效杀灭有害微生物与寄生虫卵的目的，不能发挥应有肥力，且运输过程中存在疫病扩散风险。</w:t>
      </w:r>
    </w:p>
    <w:p>
      <w:pPr>
        <w:pStyle w:val="6"/>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left="0" w:leftChars="0"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运行情况掌握不及时</w:t>
      </w:r>
    </w:p>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56" w:name="_Toc22076"/>
      <w:bookmarkStart w:id="57" w:name="_Toc99132315"/>
      <w:r>
        <w:rPr>
          <w:rFonts w:hint="default" w:ascii="Times New Roman" w:hAnsi="Times New Roman" w:eastAsia="方正仿宋简体" w:cs="Times New Roman"/>
          <w:b/>
          <w:bCs/>
          <w:snapToGrid/>
          <w:color w:val="000000" w:themeColor="text1"/>
          <w:spacing w:val="0"/>
          <w:w w:val="100"/>
          <w:kern w:val="21"/>
          <w:sz w:val="32"/>
          <w:szCs w:val="32"/>
        </w:rPr>
        <w:t>目前畜禽养殖户尚未对污水、粪便和恶臭进行定期监测，也未定期向环境保护行政主管部门报告污水处理设施和粪便处理设施的运行情况。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小标宋简体" w:cs="Times New Roman"/>
          <w:b/>
          <w:bCs/>
          <w:snapToGrid/>
          <w:color w:val="000000" w:themeColor="text1"/>
          <w:spacing w:val="0"/>
          <w:w w:val="100"/>
          <w:kern w:val="21"/>
          <w:sz w:val="32"/>
          <w:szCs w:val="36"/>
        </w:rPr>
      </w:pPr>
      <w:bookmarkStart w:id="58" w:name="_Toc14899"/>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hint="default" w:ascii="方正小标宋简体" w:hAnsi="方正小标宋简体" w:eastAsia="方正小标宋简体" w:cs="方正小标宋简体"/>
          <w:b/>
          <w:bCs/>
          <w:snapToGrid/>
          <w:color w:val="000000" w:themeColor="text1"/>
          <w:spacing w:val="0"/>
          <w:w w:val="100"/>
          <w:kern w:val="21"/>
          <w:sz w:val="32"/>
          <w:szCs w:val="32"/>
        </w:rPr>
      </w:pPr>
      <w:r>
        <w:rPr>
          <w:rFonts w:hint="default" w:ascii="方正小标宋简体" w:hAnsi="方正小标宋简体" w:eastAsia="方正小标宋简体" w:cs="方正小标宋简体"/>
          <w:b/>
          <w:bCs/>
          <w:snapToGrid/>
          <w:color w:val="000000" w:themeColor="text1"/>
          <w:spacing w:val="0"/>
          <w:w w:val="100"/>
          <w:kern w:val="21"/>
          <w:sz w:val="32"/>
          <w:szCs w:val="32"/>
        </w:rPr>
        <w:t>第三章  规划目标与指标</w:t>
      </w:r>
      <w:bookmarkEnd w:id="5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59" w:name="_Toc2157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一、规划目标与指标</w:t>
      </w:r>
      <w:bookmarkEnd w:id="59"/>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rPr>
      </w:pPr>
      <w:r>
        <w:rPr>
          <w:rFonts w:hint="default" w:ascii="Times New Roman" w:hAnsi="Times New Roman" w:eastAsia="方正楷体简体" w:cs="Times New Roman"/>
          <w:b/>
          <w:bCs/>
          <w:snapToGrid/>
          <w:color w:val="000000" w:themeColor="text1"/>
          <w:spacing w:val="0"/>
          <w:w w:val="100"/>
          <w:kern w:val="21"/>
          <w:sz w:val="32"/>
          <w:szCs w:val="32"/>
        </w:rPr>
        <w:t>1.</w:t>
      </w:r>
      <w:r>
        <w:rPr>
          <w:rFonts w:hint="default" w:ascii="Times New Roman" w:hAnsi="Times New Roman" w:eastAsia="方正楷体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楷体简体" w:cs="Times New Roman"/>
          <w:b/>
          <w:bCs/>
          <w:snapToGrid/>
          <w:color w:val="000000" w:themeColor="text1"/>
          <w:spacing w:val="0"/>
          <w:w w:val="100"/>
          <w:kern w:val="21"/>
          <w:sz w:val="32"/>
          <w:szCs w:val="32"/>
        </w:rPr>
        <w:t>规划目标</w:t>
      </w:r>
    </w:p>
    <w:p>
      <w:pPr>
        <w:pStyle w:val="19"/>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到2025年，建立起空间布局合理、种养结合紧密、粪污高效利用、污染治理能力大幅提升、污染排放有效控制的畜牧业发展与污染防治格局。建立起权责清晰、约束有力的畜禽养殖粪污资源化利用制度，全区畜禽粪污综合利用率达到93%以上，养殖专业户粪污处理设施配套率达到100%。</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rPr>
      </w:pPr>
      <w:r>
        <w:rPr>
          <w:rFonts w:hint="eastAsia" w:ascii="Times New Roman" w:hAnsi="Times New Roman" w:eastAsia="方正楷体简体" w:cs="Times New Roman"/>
          <w:b/>
          <w:bCs/>
          <w:snapToGrid/>
          <w:color w:val="000000" w:themeColor="text1"/>
          <w:spacing w:val="0"/>
          <w:w w:val="100"/>
          <w:kern w:val="21"/>
          <w:sz w:val="32"/>
          <w:szCs w:val="32"/>
          <w:lang w:val="en-US" w:eastAsia="zh-CN"/>
        </w:rPr>
        <w:t xml:space="preserve">2. </w:t>
      </w:r>
      <w:r>
        <w:rPr>
          <w:rFonts w:hint="default" w:ascii="Times New Roman" w:hAnsi="Times New Roman" w:eastAsia="方正楷体简体" w:cs="Times New Roman"/>
          <w:b/>
          <w:bCs/>
          <w:snapToGrid/>
          <w:color w:val="000000" w:themeColor="text1"/>
          <w:spacing w:val="0"/>
          <w:w w:val="100"/>
          <w:kern w:val="21"/>
          <w:sz w:val="32"/>
          <w:szCs w:val="32"/>
        </w:rPr>
        <w:t>规划指标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28"/>
        </w:rPr>
      </w:pPr>
      <w:r>
        <w:rPr>
          <w:rFonts w:hint="default" w:ascii="Times New Roman" w:hAnsi="Times New Roman" w:eastAsia="方正仿宋简体" w:cs="Times New Roman"/>
          <w:b/>
          <w:bCs/>
          <w:snapToGrid/>
          <w:color w:val="000000" w:themeColor="text1"/>
          <w:spacing w:val="0"/>
          <w:w w:val="100"/>
          <w:kern w:val="21"/>
          <w:sz w:val="32"/>
          <w:szCs w:val="32"/>
        </w:rPr>
        <w:t>济宁高新区畜禽养殖污染防治规划指标体系见表4。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表4 济宁高新区畜禽养殖污染防治规划指标体系</w:t>
      </w:r>
    </w:p>
    <w:p>
      <w:pPr>
        <w:pStyle w:val="16"/>
        <w:rPr>
          <w:rFonts w:hint="default"/>
        </w:rPr>
      </w:pPr>
    </w:p>
    <w:tbl>
      <w:tblPr>
        <w:tblStyle w:val="22"/>
        <w:tblW w:w="88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2"/>
        <w:gridCol w:w="3216"/>
        <w:gridCol w:w="1063"/>
        <w:gridCol w:w="2110"/>
        <w:gridCol w:w="15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0" w:hRule="exact"/>
          <w:tblHeader/>
          <w:jc w:val="center"/>
        </w:trPr>
        <w:tc>
          <w:tcPr>
            <w:tcW w:w="902"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bookmarkStart w:id="60" w:name="_Hlk118059419" w:colFirst="0" w:colLast="5"/>
            <w:r>
              <w:rPr>
                <w:rFonts w:hint="default" w:ascii="Times New Roman" w:hAnsi="Times New Roman" w:eastAsia="方正仿宋简体" w:cs="Times New Roman"/>
                <w:b/>
                <w:bCs/>
                <w:snapToGrid/>
                <w:color w:val="000000" w:themeColor="text1"/>
                <w:spacing w:val="0"/>
                <w:w w:val="100"/>
                <w:kern w:val="21"/>
                <w:sz w:val="28"/>
                <w:szCs w:val="28"/>
              </w:rPr>
              <w:t>序号</w:t>
            </w:r>
          </w:p>
        </w:tc>
        <w:tc>
          <w:tcPr>
            <w:tcW w:w="321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指  标</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现状值</w:t>
            </w:r>
          </w:p>
        </w:tc>
        <w:tc>
          <w:tcPr>
            <w:tcW w:w="211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2025年目标值</w:t>
            </w:r>
          </w:p>
        </w:tc>
        <w:tc>
          <w:tcPr>
            <w:tcW w:w="154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指标属性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02"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w:t>
            </w:r>
          </w:p>
        </w:tc>
        <w:tc>
          <w:tcPr>
            <w:tcW w:w="321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畜禽粪污综合利用率</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92%</w:t>
            </w:r>
          </w:p>
        </w:tc>
        <w:tc>
          <w:tcPr>
            <w:tcW w:w="211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93%以上</w:t>
            </w:r>
          </w:p>
        </w:tc>
        <w:tc>
          <w:tcPr>
            <w:tcW w:w="154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4" w:hRule="atLeast"/>
          <w:jc w:val="center"/>
        </w:trPr>
        <w:tc>
          <w:tcPr>
            <w:tcW w:w="902"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w:t>
            </w:r>
          </w:p>
        </w:tc>
        <w:tc>
          <w:tcPr>
            <w:tcW w:w="321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畜禽养殖专业户粪污处理设施装备配套率</w:t>
            </w:r>
          </w:p>
        </w:tc>
        <w:tc>
          <w:tcPr>
            <w:tcW w:w="10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100%</w:t>
            </w:r>
          </w:p>
        </w:tc>
        <w:tc>
          <w:tcPr>
            <w:tcW w:w="211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100%</w:t>
            </w:r>
          </w:p>
        </w:tc>
        <w:tc>
          <w:tcPr>
            <w:tcW w:w="154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约束性</w:t>
            </w:r>
          </w:p>
        </w:tc>
      </w:tr>
      <w:bookmarkEnd w:id="60"/>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黑体简体" w:cs="Times New Roman"/>
          <w:b/>
          <w:bCs/>
          <w:snapToGrid/>
          <w:color w:val="000000" w:themeColor="text1"/>
          <w:spacing w:val="0"/>
          <w:w w:val="100"/>
          <w:kern w:val="21"/>
          <w:sz w:val="32"/>
          <w:szCs w:val="32"/>
        </w:rPr>
      </w:pPr>
      <w:bookmarkStart w:id="61" w:name="_Toc17085"/>
      <w:r>
        <w:rPr>
          <w:rFonts w:hint="default" w:ascii="Times New Roman" w:hAnsi="Times New Roman" w:eastAsia="方正黑体简体" w:cs="Times New Roman"/>
          <w:b/>
          <w:bCs/>
          <w:snapToGrid/>
          <w:color w:val="000000" w:themeColor="text1"/>
          <w:spacing w:val="0"/>
          <w:w w:val="100"/>
          <w:kern w:val="21"/>
          <w:sz w:val="32"/>
          <w:szCs w:val="32"/>
        </w:rPr>
        <w:t>二、畜禽养殖环境承载力分析</w:t>
      </w:r>
      <w:bookmarkEnd w:id="61"/>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rPr>
      </w:pPr>
      <w:r>
        <w:rPr>
          <w:rFonts w:hint="default" w:ascii="Times New Roman" w:hAnsi="Times New Roman" w:eastAsia="方正楷体简体" w:cs="Times New Roman"/>
          <w:b/>
          <w:bCs/>
          <w:snapToGrid/>
          <w:color w:val="000000" w:themeColor="text1"/>
          <w:spacing w:val="0"/>
          <w:w w:val="100"/>
          <w:kern w:val="21"/>
          <w:sz w:val="32"/>
          <w:szCs w:val="32"/>
        </w:rPr>
        <w:t>1.</w:t>
      </w:r>
      <w:r>
        <w:rPr>
          <w:rFonts w:hint="default" w:ascii="Times New Roman" w:hAnsi="Times New Roman" w:eastAsia="方正楷体简体" w:cs="Times New Roman"/>
          <w:b/>
          <w:bCs/>
          <w:snapToGrid/>
          <w:color w:val="000000" w:themeColor="text1"/>
          <w:spacing w:val="0"/>
          <w:w w:val="100"/>
          <w:kern w:val="21"/>
          <w:sz w:val="32"/>
          <w:szCs w:val="32"/>
          <w:lang w:val="en-US" w:eastAsia="zh-CN"/>
        </w:rPr>
        <w:t xml:space="preserve"> </w:t>
      </w:r>
      <w:r>
        <w:rPr>
          <w:rFonts w:hint="default" w:ascii="Times New Roman" w:hAnsi="Times New Roman" w:eastAsia="方正楷体简体" w:cs="Times New Roman"/>
          <w:b/>
          <w:bCs/>
          <w:snapToGrid/>
          <w:color w:val="000000" w:themeColor="text1"/>
          <w:spacing w:val="0"/>
          <w:w w:val="100"/>
          <w:kern w:val="21"/>
          <w:sz w:val="32"/>
          <w:szCs w:val="32"/>
        </w:rPr>
        <w:t>畜禽粪污土地承载力测算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济宁高新区农用地总计15286.16公顷，其中：耕地10167.58公顷、园地306.78公顷、林地3437.61公顷，草地162.66公顷。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根据《畜禽粪污土地承载力测算技术指南》提供相关参数，在</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固体粪便堆肥外供+肥水就地利用</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条件下，耕地系数选取以磷为基础的玉米种植承载量，即1.9猪当量/亩；园地选取以氮为基础苹果种植承载量，即1.5猪当量/亩；林地选取以氮为基础杨树种植承载量，即0.9猪当量/亩，草地选取以氮为基础苜蓿种植承载量，即0.7猪当量/亩。经计算，高新区总可承载猪当量为34.48万头。综合考虑禁养区及耕地空间分布差异，理论承载量按照总可承载猪当量的80%计，为27.58万头猪当量。济宁高新区目前畜禽养殖核算猪当量3393.3头，占可承载猪当量的1.23%，土地承载力充足。因此，从全区范围的土地承载力来看，能够满足大力发展畜禽养殖业的需求，现有耕地能够全部消纳畜禽养殖所产生的全部粪污量。</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表5 济宁高新区养殖规模土地承载能力分析</w:t>
      </w:r>
    </w:p>
    <w:tbl>
      <w:tblPr>
        <w:tblStyle w:val="22"/>
        <w:tblW w:w="88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3"/>
        <w:gridCol w:w="1341"/>
        <w:gridCol w:w="1400"/>
        <w:gridCol w:w="1538"/>
        <w:gridCol w:w="1563"/>
        <w:gridCol w:w="16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2" w:hRule="exact"/>
          <w:tblHeader/>
          <w:jc w:val="center"/>
        </w:trPr>
        <w:tc>
          <w:tcPr>
            <w:tcW w:w="135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地类名称</w:t>
            </w:r>
          </w:p>
        </w:tc>
        <w:tc>
          <w:tcPr>
            <w:tcW w:w="134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面积</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lang w:eastAsia="zh-CN"/>
              </w:rPr>
              <w:t>（</w:t>
            </w:r>
            <w:r>
              <w:rPr>
                <w:rFonts w:hint="default" w:ascii="Times New Roman" w:hAnsi="Times New Roman" w:eastAsia="方正仿宋简体" w:cs="Times New Roman"/>
                <w:b/>
                <w:bCs/>
                <w:snapToGrid/>
                <w:color w:val="000000" w:themeColor="text1"/>
                <w:spacing w:val="0"/>
                <w:w w:val="100"/>
                <w:kern w:val="21"/>
                <w:sz w:val="28"/>
                <w:szCs w:val="28"/>
              </w:rPr>
              <w:t>公顷）</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可承载猪当量</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lang w:eastAsia="zh-CN"/>
              </w:rPr>
              <w:t>（</w:t>
            </w:r>
            <w:r>
              <w:rPr>
                <w:rFonts w:hint="default" w:ascii="Times New Roman" w:hAnsi="Times New Roman" w:eastAsia="方正仿宋简体" w:cs="Times New Roman"/>
                <w:b/>
                <w:bCs/>
                <w:snapToGrid/>
                <w:color w:val="000000" w:themeColor="text1"/>
                <w:spacing w:val="0"/>
                <w:w w:val="100"/>
                <w:kern w:val="21"/>
                <w:sz w:val="28"/>
                <w:szCs w:val="28"/>
              </w:rPr>
              <w:t>万头）</w:t>
            </w:r>
          </w:p>
        </w:tc>
        <w:tc>
          <w:tcPr>
            <w:tcW w:w="153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总可承载猪当量</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lang w:eastAsia="zh-CN"/>
              </w:rPr>
              <w:t>（</w:t>
            </w:r>
            <w:r>
              <w:rPr>
                <w:rFonts w:hint="default" w:ascii="Times New Roman" w:hAnsi="Times New Roman" w:eastAsia="方正仿宋简体" w:cs="Times New Roman"/>
                <w:b/>
                <w:bCs/>
                <w:snapToGrid/>
                <w:color w:val="000000" w:themeColor="text1"/>
                <w:spacing w:val="0"/>
                <w:w w:val="100"/>
                <w:kern w:val="21"/>
                <w:sz w:val="28"/>
                <w:szCs w:val="28"/>
              </w:rPr>
              <w:t>万头）</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土地可承载猪当量的阈值</w:t>
            </w:r>
            <w:r>
              <w:rPr>
                <w:rFonts w:hint="default" w:ascii="Times New Roman" w:hAnsi="Times New Roman" w:eastAsia="方正仿宋简体" w:cs="Times New Roman"/>
                <w:b/>
                <w:bCs/>
                <w:snapToGrid/>
                <w:color w:val="000000" w:themeColor="text1"/>
                <w:spacing w:val="0"/>
                <w:w w:val="100"/>
                <w:kern w:val="21"/>
                <w:sz w:val="28"/>
                <w:szCs w:val="28"/>
                <w:lang w:eastAsia="zh-CN"/>
              </w:rPr>
              <w:t>（</w:t>
            </w:r>
            <w:r>
              <w:rPr>
                <w:rFonts w:hint="default" w:ascii="Times New Roman" w:hAnsi="Times New Roman" w:eastAsia="方正仿宋简体" w:cs="Times New Roman"/>
                <w:b/>
                <w:bCs/>
                <w:snapToGrid/>
                <w:color w:val="000000" w:themeColor="text1"/>
                <w:spacing w:val="0"/>
                <w:w w:val="100"/>
                <w:kern w:val="21"/>
                <w:sz w:val="28"/>
                <w:szCs w:val="28"/>
              </w:rPr>
              <w:t>80%）</w:t>
            </w:r>
          </w:p>
        </w:tc>
        <w:tc>
          <w:tcPr>
            <w:tcW w:w="16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核算的实际总猪当量</w:t>
            </w:r>
            <w:r>
              <w:rPr>
                <w:rFonts w:hint="default" w:ascii="Times New Roman" w:hAnsi="Times New Roman" w:eastAsia="方正仿宋简体" w:cs="Times New Roman"/>
                <w:b/>
                <w:bCs/>
                <w:snapToGrid/>
                <w:color w:val="000000" w:themeColor="text1"/>
                <w:spacing w:val="0"/>
                <w:w w:val="100"/>
                <w:kern w:val="21"/>
                <w:sz w:val="28"/>
                <w:szCs w:val="28"/>
                <w:lang w:eastAsia="zh-CN"/>
              </w:rPr>
              <w:t>（</w:t>
            </w:r>
            <w:r>
              <w:rPr>
                <w:rFonts w:hint="default" w:ascii="Times New Roman" w:hAnsi="Times New Roman" w:eastAsia="方正仿宋简体" w:cs="Times New Roman"/>
                <w:b/>
                <w:bCs/>
                <w:snapToGrid/>
                <w:color w:val="000000" w:themeColor="text1"/>
                <w:spacing w:val="0"/>
                <w:w w:val="100"/>
                <w:kern w:val="21"/>
                <w:sz w:val="28"/>
                <w:szCs w:val="28"/>
              </w:rPr>
              <w:t>万头）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耕地</w:t>
            </w:r>
          </w:p>
        </w:tc>
        <w:tc>
          <w:tcPr>
            <w:tcW w:w="134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10167.58</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28.98</w:t>
            </w:r>
          </w:p>
        </w:tc>
        <w:tc>
          <w:tcPr>
            <w:tcW w:w="1538"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34.48</w:t>
            </w:r>
          </w:p>
        </w:tc>
        <w:tc>
          <w:tcPr>
            <w:tcW w:w="1563"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27.58</w:t>
            </w:r>
          </w:p>
        </w:tc>
        <w:tc>
          <w:tcPr>
            <w:tcW w:w="1639"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0.33933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园地</w:t>
            </w:r>
          </w:p>
        </w:tc>
        <w:tc>
          <w:tcPr>
            <w:tcW w:w="134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306.78</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0.69</w:t>
            </w:r>
          </w:p>
        </w:tc>
        <w:tc>
          <w:tcPr>
            <w:tcW w:w="153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简体" w:cs="Times New Roman"/>
                <w:b/>
                <w:bCs/>
                <w:snapToGrid/>
                <w:color w:val="000000" w:themeColor="text1"/>
                <w:spacing w:val="0"/>
                <w:w w:val="100"/>
                <w:kern w:val="21"/>
                <w:sz w:val="30"/>
                <w:szCs w:val="30"/>
              </w:rPr>
            </w:pPr>
          </w:p>
        </w:tc>
        <w:tc>
          <w:tcPr>
            <w:tcW w:w="156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简体" w:cs="Times New Roman"/>
                <w:b/>
                <w:bCs/>
                <w:snapToGrid/>
                <w:color w:val="000000" w:themeColor="text1"/>
                <w:spacing w:val="0"/>
                <w:w w:val="100"/>
                <w:kern w:val="21"/>
                <w:sz w:val="30"/>
                <w:szCs w:val="30"/>
              </w:rPr>
            </w:pPr>
          </w:p>
        </w:tc>
        <w:tc>
          <w:tcPr>
            <w:tcW w:w="1639"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简体" w:cs="Times New Roman"/>
                <w:b/>
                <w:bCs/>
                <w:snapToGrid/>
                <w:color w:val="000000" w:themeColor="text1"/>
                <w:spacing w:val="0"/>
                <w:w w:val="100"/>
                <w:kern w:val="21"/>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草地</w:t>
            </w:r>
          </w:p>
        </w:tc>
        <w:tc>
          <w:tcPr>
            <w:tcW w:w="134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162.66</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0.17</w:t>
            </w:r>
          </w:p>
        </w:tc>
        <w:tc>
          <w:tcPr>
            <w:tcW w:w="153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简体" w:cs="Times New Roman"/>
                <w:b/>
                <w:bCs/>
                <w:snapToGrid/>
                <w:color w:val="000000" w:themeColor="text1"/>
                <w:spacing w:val="0"/>
                <w:w w:val="100"/>
                <w:kern w:val="21"/>
                <w:sz w:val="30"/>
                <w:szCs w:val="30"/>
              </w:rPr>
            </w:pPr>
          </w:p>
        </w:tc>
        <w:tc>
          <w:tcPr>
            <w:tcW w:w="156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简体" w:cs="Times New Roman"/>
                <w:b/>
                <w:bCs/>
                <w:snapToGrid/>
                <w:color w:val="000000" w:themeColor="text1"/>
                <w:spacing w:val="0"/>
                <w:w w:val="100"/>
                <w:kern w:val="21"/>
                <w:sz w:val="30"/>
                <w:szCs w:val="30"/>
              </w:rPr>
            </w:pPr>
          </w:p>
        </w:tc>
        <w:tc>
          <w:tcPr>
            <w:tcW w:w="1639"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简体" w:cs="Times New Roman"/>
                <w:b/>
                <w:bCs/>
                <w:snapToGrid/>
                <w:color w:val="000000" w:themeColor="text1"/>
                <w:spacing w:val="0"/>
                <w:w w:val="100"/>
                <w:kern w:val="21"/>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135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林地</w:t>
            </w:r>
          </w:p>
        </w:tc>
        <w:tc>
          <w:tcPr>
            <w:tcW w:w="134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3437.61</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4.64</w:t>
            </w:r>
          </w:p>
        </w:tc>
        <w:tc>
          <w:tcPr>
            <w:tcW w:w="153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简体" w:cs="Times New Roman"/>
                <w:b/>
                <w:bCs/>
                <w:snapToGrid/>
                <w:color w:val="000000" w:themeColor="text1"/>
                <w:spacing w:val="0"/>
                <w:w w:val="100"/>
                <w:kern w:val="21"/>
                <w:sz w:val="30"/>
                <w:szCs w:val="30"/>
              </w:rPr>
            </w:pPr>
          </w:p>
        </w:tc>
        <w:tc>
          <w:tcPr>
            <w:tcW w:w="156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简体" w:cs="Times New Roman"/>
                <w:b/>
                <w:bCs/>
                <w:snapToGrid/>
                <w:color w:val="000000" w:themeColor="text1"/>
                <w:spacing w:val="0"/>
                <w:w w:val="100"/>
                <w:kern w:val="21"/>
                <w:sz w:val="30"/>
                <w:szCs w:val="30"/>
              </w:rPr>
            </w:pPr>
          </w:p>
        </w:tc>
        <w:tc>
          <w:tcPr>
            <w:tcW w:w="1639"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方正仿宋简体" w:cs="Times New Roman"/>
                <w:b/>
                <w:bCs/>
                <w:snapToGrid/>
                <w:color w:val="000000" w:themeColor="text1"/>
                <w:spacing w:val="0"/>
                <w:w w:val="100"/>
                <w:kern w:val="21"/>
                <w:sz w:val="30"/>
                <w:szCs w:val="30"/>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按照各街道各类农林用地面积核算可承载猪当量，并与当前养殖量对比。根据计算结果，济宁高新区各街道可承载猪当量与现状猪当量比例占最大的为黄屯街道，说明济宁高新区各街道的耕地能够全部消纳辖区内畜禽养殖产生的全部粪污量，畜禽粪污综合利用空间十分广阔。</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表6 济宁高新区各街道土地承载力与承载现状对比情况</w:t>
      </w:r>
    </w:p>
    <w:tbl>
      <w:tblPr>
        <w:tblStyle w:val="22"/>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4"/>
        <w:gridCol w:w="1699"/>
        <w:gridCol w:w="1746"/>
        <w:gridCol w:w="1044"/>
        <w:gridCol w:w="1462"/>
        <w:gridCol w:w="12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0" w:hRule="atLeast"/>
          <w:tblHeader/>
          <w:jc w:val="center"/>
        </w:trPr>
        <w:tc>
          <w:tcPr>
            <w:tcW w:w="1534"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区域</w:t>
            </w:r>
          </w:p>
        </w:tc>
        <w:tc>
          <w:tcPr>
            <w:tcW w:w="169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现状猪当量A</w:t>
            </w:r>
            <w:r>
              <w:rPr>
                <w:rFonts w:hint="default" w:ascii="Times New Roman" w:hAnsi="Times New Roman" w:eastAsia="方正仿宋简体" w:cs="Times New Roman"/>
                <w:b/>
                <w:bCs/>
                <w:snapToGrid/>
                <w:color w:val="000000" w:themeColor="text1"/>
                <w:spacing w:val="0"/>
                <w:w w:val="100"/>
                <w:kern w:val="21"/>
                <w:sz w:val="28"/>
                <w:szCs w:val="28"/>
                <w:lang w:eastAsia="zh-CN"/>
              </w:rPr>
              <w:t>（</w:t>
            </w:r>
            <w:r>
              <w:rPr>
                <w:rFonts w:hint="default" w:ascii="Times New Roman" w:hAnsi="Times New Roman" w:eastAsia="方正仿宋简体" w:cs="Times New Roman"/>
                <w:b/>
                <w:bCs/>
                <w:snapToGrid/>
                <w:color w:val="000000" w:themeColor="text1"/>
                <w:spacing w:val="0"/>
                <w:w w:val="100"/>
                <w:kern w:val="21"/>
                <w:sz w:val="28"/>
                <w:szCs w:val="28"/>
              </w:rPr>
              <w:t>头）</w:t>
            </w:r>
          </w:p>
        </w:tc>
        <w:tc>
          <w:tcPr>
            <w:tcW w:w="174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可承载猪当量R</w:t>
            </w:r>
            <w:r>
              <w:rPr>
                <w:rFonts w:hint="default" w:ascii="Times New Roman" w:hAnsi="Times New Roman" w:eastAsia="方正仿宋简体" w:cs="Times New Roman"/>
                <w:b/>
                <w:bCs/>
                <w:snapToGrid/>
                <w:color w:val="000000" w:themeColor="text1"/>
                <w:spacing w:val="0"/>
                <w:w w:val="100"/>
                <w:kern w:val="21"/>
                <w:sz w:val="28"/>
                <w:szCs w:val="28"/>
                <w:lang w:eastAsia="zh-CN"/>
              </w:rPr>
              <w:t>（</w:t>
            </w:r>
            <w:r>
              <w:rPr>
                <w:rFonts w:hint="default" w:ascii="Times New Roman" w:hAnsi="Times New Roman" w:eastAsia="方正仿宋简体" w:cs="Times New Roman"/>
                <w:b/>
                <w:bCs/>
                <w:snapToGrid/>
                <w:color w:val="000000" w:themeColor="text1"/>
                <w:spacing w:val="0"/>
                <w:w w:val="100"/>
                <w:kern w:val="21"/>
                <w:sz w:val="28"/>
                <w:szCs w:val="28"/>
              </w:rPr>
              <w:t>头）</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R/A</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阈值</w:t>
            </w:r>
            <w:r>
              <w:rPr>
                <w:rFonts w:hint="default" w:ascii="Times New Roman" w:hAnsi="Times New Roman" w:eastAsia="方正仿宋简体" w:cs="Times New Roman"/>
                <w:b/>
                <w:bCs/>
                <w:snapToGrid/>
                <w:color w:val="000000" w:themeColor="text1"/>
                <w:spacing w:val="0"/>
                <w:w w:val="100"/>
                <w:kern w:val="21"/>
                <w:sz w:val="28"/>
                <w:szCs w:val="28"/>
                <w:lang w:eastAsia="zh-CN"/>
              </w:rPr>
              <w:t>（</w:t>
            </w:r>
            <w:r>
              <w:rPr>
                <w:rFonts w:hint="default" w:ascii="Times New Roman" w:hAnsi="Times New Roman" w:eastAsia="方正仿宋简体" w:cs="Times New Roman"/>
                <w:b/>
                <w:bCs/>
                <w:snapToGrid/>
                <w:color w:val="000000" w:themeColor="text1"/>
                <w:spacing w:val="0"/>
                <w:w w:val="100"/>
                <w:kern w:val="21"/>
                <w:sz w:val="28"/>
                <w:szCs w:val="28"/>
              </w:rPr>
              <w:t>以可承载80%计）</w:t>
            </w:r>
          </w:p>
        </w:tc>
        <w:tc>
          <w:tcPr>
            <w:tcW w:w="120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是否总量超载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exact"/>
          <w:jc w:val="center"/>
        </w:trPr>
        <w:tc>
          <w:tcPr>
            <w:tcW w:w="153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黄屯街道</w:t>
            </w:r>
          </w:p>
        </w:tc>
        <w:tc>
          <w:tcPr>
            <w:tcW w:w="1699"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348.7</w:t>
            </w:r>
          </w:p>
        </w:tc>
        <w:tc>
          <w:tcPr>
            <w:tcW w:w="174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72416</w:t>
            </w:r>
          </w:p>
        </w:tc>
        <w:tc>
          <w:tcPr>
            <w:tcW w:w="1044"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207.67</w:t>
            </w:r>
          </w:p>
        </w:tc>
        <w:tc>
          <w:tcPr>
            <w:tcW w:w="1462"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57933</w:t>
            </w:r>
          </w:p>
        </w:tc>
        <w:tc>
          <w:tcPr>
            <w:tcW w:w="120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 w:hRule="exact"/>
          <w:jc w:val="center"/>
        </w:trPr>
        <w:tc>
          <w:tcPr>
            <w:tcW w:w="153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接庄街道</w:t>
            </w:r>
          </w:p>
        </w:tc>
        <w:tc>
          <w:tcPr>
            <w:tcW w:w="1699"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632</w:t>
            </w:r>
          </w:p>
        </w:tc>
        <w:tc>
          <w:tcPr>
            <w:tcW w:w="174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108130</w:t>
            </w:r>
          </w:p>
        </w:tc>
        <w:tc>
          <w:tcPr>
            <w:tcW w:w="1044"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171.09</w:t>
            </w:r>
          </w:p>
        </w:tc>
        <w:tc>
          <w:tcPr>
            <w:tcW w:w="1462"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86504</w:t>
            </w:r>
          </w:p>
        </w:tc>
        <w:tc>
          <w:tcPr>
            <w:tcW w:w="120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 w:hRule="exact"/>
          <w:jc w:val="center"/>
        </w:trPr>
        <w:tc>
          <w:tcPr>
            <w:tcW w:w="153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王因街道</w:t>
            </w:r>
          </w:p>
        </w:tc>
        <w:tc>
          <w:tcPr>
            <w:tcW w:w="1699"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2412.6</w:t>
            </w:r>
          </w:p>
        </w:tc>
        <w:tc>
          <w:tcPr>
            <w:tcW w:w="174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134742</w:t>
            </w:r>
          </w:p>
        </w:tc>
        <w:tc>
          <w:tcPr>
            <w:tcW w:w="1044"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55.85</w:t>
            </w:r>
          </w:p>
        </w:tc>
        <w:tc>
          <w:tcPr>
            <w:tcW w:w="1462"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107794</w:t>
            </w:r>
          </w:p>
        </w:tc>
        <w:tc>
          <w:tcPr>
            <w:tcW w:w="1206" w:type="dxa"/>
            <w:noWrap/>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否</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rPr>
      </w:pPr>
      <w:r>
        <w:rPr>
          <w:rFonts w:hint="default" w:ascii="Times New Roman" w:hAnsi="Times New Roman" w:eastAsia="方正楷体简体" w:cs="Times New Roman"/>
          <w:b/>
          <w:bCs/>
          <w:snapToGrid/>
          <w:color w:val="000000" w:themeColor="text1"/>
          <w:spacing w:val="0"/>
          <w:w w:val="100"/>
          <w:kern w:val="21"/>
          <w:sz w:val="32"/>
          <w:szCs w:val="32"/>
          <w:lang w:val="en-US" w:eastAsia="zh-CN"/>
        </w:rPr>
        <w:t xml:space="preserve">2. </w:t>
      </w:r>
      <w:r>
        <w:rPr>
          <w:rFonts w:hint="default" w:ascii="Times New Roman" w:hAnsi="Times New Roman" w:eastAsia="方正楷体简体" w:cs="Times New Roman"/>
          <w:b/>
          <w:bCs/>
          <w:snapToGrid/>
          <w:color w:val="000000" w:themeColor="text1"/>
          <w:spacing w:val="0"/>
          <w:w w:val="100"/>
          <w:kern w:val="21"/>
          <w:sz w:val="32"/>
          <w:szCs w:val="32"/>
        </w:rPr>
        <w:t>水资源承载力测算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区内多年平均水资源总量为7594万立方米，地表水资源量为2099万立方米，地下水可开采量为5895万立方米。根据《山东省农业用水定额》</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DB37/T 3772—2019）中的畜牧业基本用水定额，一个猪当量用水量为7m</w:t>
      </w:r>
      <w:r>
        <w:rPr>
          <w:rFonts w:hint="default" w:ascii="Times New Roman" w:hAnsi="Times New Roman" w:eastAsia="方正仿宋简体" w:cs="Times New Roman"/>
          <w:b/>
          <w:bCs/>
          <w:snapToGrid/>
          <w:color w:val="000000" w:themeColor="text1"/>
          <w:spacing w:val="0"/>
          <w:w w:val="100"/>
          <w:kern w:val="21"/>
          <w:sz w:val="32"/>
          <w:szCs w:val="32"/>
          <w:vertAlign w:val="superscript"/>
        </w:rPr>
        <w:t>3</w:t>
      </w:r>
      <w:r>
        <w:rPr>
          <w:rFonts w:hint="default" w:ascii="Times New Roman" w:hAnsi="Times New Roman" w:eastAsia="方正仿宋简体" w:cs="Times New Roman"/>
          <w:b/>
          <w:bCs/>
          <w:snapToGrid/>
          <w:color w:val="000000" w:themeColor="text1"/>
          <w:spacing w:val="0"/>
          <w:w w:val="100"/>
          <w:kern w:val="21"/>
          <w:sz w:val="32"/>
          <w:szCs w:val="32"/>
        </w:rPr>
        <w:t>/头•年。按照最大承载量上限34.48万头猪当量计算，年总用水量为241.64万立方米，占济宁高新区水资源总量的3.18%。可见，高新区水资源承载力能够满足畜禽养殖发展需要，畜禽养殖行业发展重点应考虑土地承载能力。同时，考虑到存在区域性缺水和季节性缺水，部分区域时空分布不均，发展过程中应尽可能采取节水措施以降低水资源消耗。</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rPr>
          <w:rFonts w:hint="default" w:ascii="Times New Roman" w:hAnsi="Times New Roman" w:eastAsia="方正楷体简体" w:cs="Times New Roman"/>
          <w:b/>
          <w:bCs/>
          <w:snapToGrid/>
          <w:color w:val="000000" w:themeColor="text1"/>
          <w:spacing w:val="0"/>
          <w:w w:val="100"/>
          <w:kern w:val="21"/>
          <w:sz w:val="32"/>
          <w:szCs w:val="32"/>
        </w:rPr>
      </w:pPr>
      <w:r>
        <w:rPr>
          <w:rFonts w:hint="eastAsia" w:ascii="Times New Roman" w:hAnsi="Times New Roman" w:eastAsia="方正楷体简体" w:cs="Times New Roman"/>
          <w:b/>
          <w:bCs/>
          <w:snapToGrid/>
          <w:color w:val="000000" w:themeColor="text1"/>
          <w:spacing w:val="0"/>
          <w:w w:val="100"/>
          <w:kern w:val="21"/>
          <w:sz w:val="32"/>
          <w:szCs w:val="32"/>
          <w:lang w:val="en-US" w:eastAsia="zh-CN"/>
        </w:rPr>
        <w:t xml:space="preserve">2. </w:t>
      </w:r>
      <w:r>
        <w:rPr>
          <w:rFonts w:hint="default" w:ascii="Times New Roman" w:hAnsi="Times New Roman" w:eastAsia="方正楷体简体" w:cs="Times New Roman"/>
          <w:b/>
          <w:bCs/>
          <w:snapToGrid/>
          <w:color w:val="000000" w:themeColor="text1"/>
          <w:spacing w:val="0"/>
          <w:w w:val="100"/>
          <w:kern w:val="21"/>
          <w:sz w:val="32"/>
          <w:szCs w:val="32"/>
        </w:rPr>
        <w:t>水环境承载力测算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济宁高新区设置水质监测断面的河流为洸府河和蓼河。共设置2个河流水质镇域监测断面。依据《水环境承载力评价办法</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试行）》，统计2020年济宁高新区区主要河流水质达标情况，计算得到主要河流环境承载力，水环境承载力指数越大，表明区域水环境系统对社会经济系统支持能力越强。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表7 主要河流现状水环境承载力评价</w:t>
      </w:r>
    </w:p>
    <w:tbl>
      <w:tblPr>
        <w:tblStyle w:val="22"/>
        <w:tblW w:w="52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122"/>
        <w:gridCol w:w="637"/>
        <w:gridCol w:w="1304"/>
        <w:gridCol w:w="659"/>
        <w:gridCol w:w="677"/>
        <w:gridCol w:w="716"/>
        <w:gridCol w:w="673"/>
        <w:gridCol w:w="934"/>
        <w:gridCol w:w="649"/>
        <w:gridCol w:w="857"/>
        <w:gridCol w:w="6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39" w:type="pct"/>
            <w:vMerge w:val="restar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序号</w:t>
            </w:r>
          </w:p>
        </w:tc>
        <w:tc>
          <w:tcPr>
            <w:tcW w:w="598" w:type="pct"/>
            <w:vMerge w:val="restar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河流名称</w:t>
            </w:r>
          </w:p>
        </w:tc>
        <w:tc>
          <w:tcPr>
            <w:tcW w:w="339" w:type="pct"/>
            <w:vMerge w:val="restar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断面级别</w:t>
            </w:r>
          </w:p>
        </w:tc>
        <w:tc>
          <w:tcPr>
            <w:tcW w:w="695" w:type="pct"/>
            <w:vMerge w:val="restar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断面名称</w:t>
            </w:r>
          </w:p>
        </w:tc>
        <w:tc>
          <w:tcPr>
            <w:tcW w:w="1453" w:type="pct"/>
            <w:gridSpan w:val="4"/>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水质时间达标率</w:t>
            </w:r>
          </w:p>
        </w:tc>
        <w:tc>
          <w:tcPr>
            <w:tcW w:w="844" w:type="pct"/>
            <w:gridSpan w:val="2"/>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水质空间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达标率</w:t>
            </w:r>
          </w:p>
        </w:tc>
        <w:tc>
          <w:tcPr>
            <w:tcW w:w="457"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承载力指数</w:t>
            </w:r>
          </w:p>
        </w:tc>
        <w:tc>
          <w:tcPr>
            <w:tcW w:w="372" w:type="pct"/>
            <w:vMerge w:val="restar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239" w:type="pct"/>
            <w:vMerge w:val="continue"/>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p>
        </w:tc>
        <w:tc>
          <w:tcPr>
            <w:tcW w:w="598" w:type="pct"/>
            <w:vMerge w:val="continue"/>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p>
        </w:tc>
        <w:tc>
          <w:tcPr>
            <w:tcW w:w="339" w:type="pct"/>
            <w:vMerge w:val="continue"/>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p>
        </w:tc>
        <w:tc>
          <w:tcPr>
            <w:tcW w:w="695" w:type="pct"/>
            <w:vMerge w:val="continue"/>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p>
        </w:tc>
        <w:tc>
          <w:tcPr>
            <w:tcW w:w="351"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达标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次数</w:t>
            </w:r>
          </w:p>
        </w:tc>
        <w:tc>
          <w:tcPr>
            <w:tcW w:w="361"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监测次数</w:t>
            </w:r>
          </w:p>
        </w:tc>
        <w:tc>
          <w:tcPr>
            <w:tcW w:w="382"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Ci</w:t>
            </w:r>
          </w:p>
        </w:tc>
        <w:tc>
          <w:tcPr>
            <w:tcW w:w="358"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A1</w:t>
            </w:r>
          </w:p>
        </w:tc>
        <w:tc>
          <w:tcPr>
            <w:tcW w:w="498"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年均值达标</w:t>
            </w:r>
          </w:p>
        </w:tc>
        <w:tc>
          <w:tcPr>
            <w:tcW w:w="346"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A2</w:t>
            </w:r>
          </w:p>
        </w:tc>
        <w:tc>
          <w:tcPr>
            <w:tcW w:w="457"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Rc</w:t>
            </w:r>
          </w:p>
        </w:tc>
        <w:tc>
          <w:tcPr>
            <w:tcW w:w="372" w:type="pct"/>
            <w:vMerge w:val="continue"/>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239"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w:t>
            </w:r>
          </w:p>
        </w:tc>
        <w:tc>
          <w:tcPr>
            <w:tcW w:w="598"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洸府河</w:t>
            </w:r>
          </w:p>
        </w:tc>
        <w:tc>
          <w:tcPr>
            <w:tcW w:w="339"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国控</w:t>
            </w:r>
          </w:p>
        </w:tc>
        <w:tc>
          <w:tcPr>
            <w:tcW w:w="695"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洸府河</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东石佛</w:t>
            </w:r>
          </w:p>
        </w:tc>
        <w:tc>
          <w:tcPr>
            <w:tcW w:w="351"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w:t>
            </w:r>
          </w:p>
        </w:tc>
        <w:tc>
          <w:tcPr>
            <w:tcW w:w="361"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12</w:t>
            </w:r>
          </w:p>
        </w:tc>
        <w:tc>
          <w:tcPr>
            <w:tcW w:w="382"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83.33%</w:t>
            </w:r>
          </w:p>
        </w:tc>
        <w:tc>
          <w:tcPr>
            <w:tcW w:w="358"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83.33%</w:t>
            </w:r>
          </w:p>
        </w:tc>
        <w:tc>
          <w:tcPr>
            <w:tcW w:w="498"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100%</w:t>
            </w:r>
          </w:p>
        </w:tc>
        <w:tc>
          <w:tcPr>
            <w:tcW w:w="346"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100%</w:t>
            </w:r>
          </w:p>
        </w:tc>
        <w:tc>
          <w:tcPr>
            <w:tcW w:w="457"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91.67%</w:t>
            </w:r>
          </w:p>
        </w:tc>
        <w:tc>
          <w:tcPr>
            <w:tcW w:w="372"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未超载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39"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w:t>
            </w:r>
          </w:p>
        </w:tc>
        <w:tc>
          <w:tcPr>
            <w:tcW w:w="598"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蓼河</w:t>
            </w:r>
          </w:p>
        </w:tc>
        <w:tc>
          <w:tcPr>
            <w:tcW w:w="339"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省控</w:t>
            </w:r>
          </w:p>
        </w:tc>
        <w:tc>
          <w:tcPr>
            <w:tcW w:w="695"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蓼河东</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外环桥</w:t>
            </w:r>
          </w:p>
        </w:tc>
        <w:tc>
          <w:tcPr>
            <w:tcW w:w="351"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w:t>
            </w:r>
          </w:p>
        </w:tc>
        <w:tc>
          <w:tcPr>
            <w:tcW w:w="361"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11</w:t>
            </w:r>
          </w:p>
        </w:tc>
        <w:tc>
          <w:tcPr>
            <w:tcW w:w="382"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90.91%</w:t>
            </w:r>
          </w:p>
        </w:tc>
        <w:tc>
          <w:tcPr>
            <w:tcW w:w="358"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85.66%</w:t>
            </w:r>
          </w:p>
        </w:tc>
        <w:tc>
          <w:tcPr>
            <w:tcW w:w="498"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100%</w:t>
            </w:r>
          </w:p>
        </w:tc>
        <w:tc>
          <w:tcPr>
            <w:tcW w:w="346"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100%</w:t>
            </w:r>
          </w:p>
        </w:tc>
        <w:tc>
          <w:tcPr>
            <w:tcW w:w="457"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92.83</w:t>
            </w:r>
          </w:p>
        </w:tc>
        <w:tc>
          <w:tcPr>
            <w:tcW w:w="372" w:type="pct"/>
            <w:tcBorders>
              <w:tl2br w:val="nil"/>
              <w:tr2bl w:val="nil"/>
            </w:tcBorders>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未超载</w:t>
            </w: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24"/>
        </w:rPr>
      </w:pPr>
      <w:r>
        <w:rPr>
          <w:rFonts w:hint="default" w:ascii="Times New Roman" w:hAnsi="Times New Roman" w:eastAsia="方正仿宋简体" w:cs="Times New Roman"/>
          <w:b/>
          <w:bCs/>
          <w:snapToGrid/>
          <w:color w:val="000000" w:themeColor="text1"/>
          <w:spacing w:val="0"/>
          <w:w w:val="100"/>
          <w:kern w:val="21"/>
          <w:sz w:val="32"/>
          <w:szCs w:val="24"/>
        </w:rPr>
        <w:t>注：1.评价结果包括市本级和行政区域内县级行政单元。</w:t>
      </w:r>
    </w:p>
    <w:p>
      <w:pPr>
        <w:keepNext w:val="0"/>
        <w:keepLines w:val="0"/>
        <w:pageBreakBefore w:val="0"/>
        <w:widowControl w:val="0"/>
        <w:kinsoku/>
        <w:wordWrap/>
        <w:overflowPunct/>
        <w:topLinePunct w:val="0"/>
        <w:autoSpaceDE/>
        <w:autoSpaceDN/>
        <w:bidi w:val="0"/>
        <w:adjustRightInd/>
        <w:snapToGrid/>
        <w:spacing w:line="560" w:lineRule="exact"/>
        <w:ind w:firstLine="1285" w:firstLineChars="400"/>
        <w:jc w:val="both"/>
        <w:textAlignment w:val="auto"/>
        <w:rPr>
          <w:rFonts w:hint="default" w:ascii="Times New Roman" w:hAnsi="Times New Roman" w:eastAsia="方正仿宋简体" w:cs="Times New Roman"/>
          <w:b/>
          <w:bCs/>
          <w:snapToGrid/>
          <w:color w:val="000000" w:themeColor="text1"/>
          <w:spacing w:val="0"/>
          <w:w w:val="100"/>
          <w:kern w:val="21"/>
          <w:sz w:val="32"/>
        </w:rPr>
      </w:pPr>
      <w:r>
        <w:rPr>
          <w:rFonts w:hint="default" w:ascii="Times New Roman" w:hAnsi="Times New Roman" w:eastAsia="方正仿宋简体" w:cs="Times New Roman"/>
          <w:b/>
          <w:bCs/>
          <w:snapToGrid/>
          <w:color w:val="000000" w:themeColor="text1"/>
          <w:spacing w:val="0"/>
          <w:w w:val="100"/>
          <w:kern w:val="21"/>
          <w:sz w:val="32"/>
          <w:szCs w:val="24"/>
        </w:rPr>
        <w:t>2.承载状态：填写</w:t>
      </w:r>
      <w:r>
        <w:rPr>
          <w:rFonts w:hint="eastAsia" w:eastAsia="方正仿宋简体" w:cs="Times New Roman"/>
          <w:b/>
          <w:bCs/>
          <w:snapToGrid/>
          <w:color w:val="000000" w:themeColor="text1"/>
          <w:spacing w:val="0"/>
          <w:w w:val="100"/>
          <w:kern w:val="21"/>
          <w:sz w:val="32"/>
          <w:szCs w:val="24"/>
          <w:lang w:eastAsia="zh-CN"/>
        </w:rPr>
        <w:t>“</w:t>
      </w:r>
      <w:r>
        <w:rPr>
          <w:rFonts w:hint="default" w:ascii="Times New Roman" w:hAnsi="Times New Roman" w:eastAsia="方正仿宋简体" w:cs="Times New Roman"/>
          <w:b/>
          <w:bCs/>
          <w:snapToGrid/>
          <w:color w:val="000000" w:themeColor="text1"/>
          <w:spacing w:val="0"/>
          <w:w w:val="100"/>
          <w:kern w:val="21"/>
          <w:sz w:val="32"/>
          <w:szCs w:val="24"/>
        </w:rPr>
        <w:t>超载</w:t>
      </w:r>
      <w:r>
        <w:rPr>
          <w:rFonts w:hint="eastAsia" w:eastAsia="方正仿宋简体" w:cs="Times New Roman"/>
          <w:b/>
          <w:bCs/>
          <w:snapToGrid/>
          <w:color w:val="000000" w:themeColor="text1"/>
          <w:spacing w:val="0"/>
          <w:w w:val="100"/>
          <w:kern w:val="21"/>
          <w:sz w:val="32"/>
          <w:szCs w:val="24"/>
          <w:lang w:eastAsia="zh-CN"/>
        </w:rPr>
        <w:t>”“</w:t>
      </w:r>
      <w:r>
        <w:rPr>
          <w:rFonts w:hint="default" w:ascii="Times New Roman" w:hAnsi="Times New Roman" w:eastAsia="方正仿宋简体" w:cs="Times New Roman"/>
          <w:b/>
          <w:bCs/>
          <w:snapToGrid/>
          <w:color w:val="000000" w:themeColor="text1"/>
          <w:spacing w:val="0"/>
          <w:w w:val="100"/>
          <w:kern w:val="21"/>
          <w:sz w:val="32"/>
          <w:szCs w:val="24"/>
        </w:rPr>
        <w:t>临界超载</w:t>
      </w:r>
      <w:r>
        <w:rPr>
          <w:rFonts w:hint="eastAsia" w:eastAsia="方正仿宋简体" w:cs="Times New Roman"/>
          <w:b/>
          <w:bCs/>
          <w:snapToGrid/>
          <w:color w:val="000000" w:themeColor="text1"/>
          <w:spacing w:val="0"/>
          <w:w w:val="100"/>
          <w:kern w:val="21"/>
          <w:sz w:val="32"/>
          <w:szCs w:val="24"/>
          <w:lang w:eastAsia="zh-CN"/>
        </w:rPr>
        <w:t>”“</w:t>
      </w:r>
      <w:r>
        <w:rPr>
          <w:rFonts w:hint="default" w:ascii="Times New Roman" w:hAnsi="Times New Roman" w:eastAsia="方正仿宋简体" w:cs="Times New Roman"/>
          <w:b/>
          <w:bCs/>
          <w:snapToGrid/>
          <w:color w:val="000000" w:themeColor="text1"/>
          <w:spacing w:val="0"/>
          <w:w w:val="100"/>
          <w:kern w:val="21"/>
          <w:sz w:val="32"/>
          <w:szCs w:val="24"/>
        </w:rPr>
        <w:t>未超载</w:t>
      </w:r>
      <w:r>
        <w:rPr>
          <w:rFonts w:hint="eastAsia" w:eastAsia="方正仿宋简体" w:cs="Times New Roman"/>
          <w:b/>
          <w:bCs/>
          <w:snapToGrid/>
          <w:color w:val="000000" w:themeColor="text1"/>
          <w:spacing w:val="0"/>
          <w:w w:val="100"/>
          <w:kern w:val="21"/>
          <w:sz w:val="32"/>
          <w:szCs w:val="24"/>
          <w:lang w:eastAsia="zh-CN"/>
        </w:rPr>
        <w:t>”</w:t>
      </w:r>
      <w:r>
        <w:rPr>
          <w:rFonts w:hint="default" w:ascii="Times New Roman" w:hAnsi="Times New Roman" w:eastAsia="方正仿宋简体" w:cs="Times New Roman"/>
          <w:b/>
          <w:bCs/>
          <w:snapToGrid/>
          <w:color w:val="000000" w:themeColor="text1"/>
          <w:spacing w:val="0"/>
          <w:w w:val="100"/>
          <w:kern w:val="21"/>
          <w:sz w:val="32"/>
          <w:szCs w:val="24"/>
        </w:rPr>
        <w:t>，当Rc＜70%时，为超载状态；当70%≤Rc＜90%时，为临界超载状态；当Rc≥90%时，为未超载状态。</w:t>
      </w:r>
    </w:p>
    <w:p>
      <w:pPr>
        <w:pStyle w:val="76"/>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由评价结果可知，济宁高新区水环境处于未超载状态。</w:t>
      </w:r>
    </w:p>
    <w:bookmarkEnd w:id="56"/>
    <w:bookmarkEnd w:id="57"/>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仿宋_GB2312" w:cs="Times New Roman"/>
          <w:b/>
          <w:bCs/>
          <w:snapToGrid/>
          <w:color w:val="000000" w:themeColor="text1"/>
          <w:spacing w:val="0"/>
          <w:w w:val="100"/>
          <w:kern w:val="21"/>
          <w:sz w:val="32"/>
          <w:szCs w:val="36"/>
        </w:rPr>
      </w:pPr>
      <w:bookmarkStart w:id="62" w:name="_Toc120973238"/>
      <w:bookmarkStart w:id="63" w:name="_Toc30723"/>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hint="default" w:ascii="方正小标宋简体" w:hAnsi="方正小标宋简体" w:eastAsia="方正小标宋简体" w:cs="方正小标宋简体"/>
          <w:b/>
          <w:bCs/>
          <w:snapToGrid/>
          <w:color w:val="000000" w:themeColor="text1"/>
          <w:spacing w:val="0"/>
          <w:w w:val="100"/>
          <w:kern w:val="21"/>
          <w:sz w:val="32"/>
          <w:szCs w:val="32"/>
        </w:rPr>
      </w:pPr>
      <w:r>
        <w:rPr>
          <w:rFonts w:hint="default" w:ascii="方正小标宋简体" w:hAnsi="方正小标宋简体" w:eastAsia="方正小标宋简体" w:cs="方正小标宋简体"/>
          <w:b/>
          <w:bCs/>
          <w:snapToGrid/>
          <w:color w:val="000000" w:themeColor="text1"/>
          <w:spacing w:val="0"/>
          <w:w w:val="100"/>
          <w:kern w:val="21"/>
          <w:sz w:val="32"/>
          <w:szCs w:val="32"/>
        </w:rPr>
        <w:t>第四章  主要任务</w:t>
      </w:r>
      <w:bookmarkEnd w:id="62"/>
      <w:bookmarkEnd w:id="63"/>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仿宋_GB2312" w:cs="Times New Roman"/>
          <w:b/>
          <w:bCs/>
          <w:snapToGrid/>
          <w:color w:val="000000" w:themeColor="text1"/>
          <w:spacing w:val="0"/>
          <w:w w:val="100"/>
          <w:kern w:val="21"/>
          <w:sz w:val="32"/>
          <w:szCs w:val="32"/>
        </w:rPr>
      </w:pPr>
      <w:bookmarkStart w:id="64" w:name="_Toc24645"/>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一、坚持分区管控，优化养殖空间布局</w:t>
      </w:r>
    </w:p>
    <w:bookmarkEnd w:id="64"/>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65" w:name="_Toc16914"/>
      <w:r>
        <w:rPr>
          <w:rFonts w:hint="default" w:ascii="Times New Roman" w:hAnsi="Times New Roman" w:eastAsia="方正仿宋简体" w:cs="Times New Roman"/>
          <w:b/>
          <w:bCs/>
          <w:snapToGrid/>
          <w:color w:val="000000" w:themeColor="text1"/>
          <w:spacing w:val="0"/>
          <w:w w:val="100"/>
          <w:kern w:val="21"/>
          <w:sz w:val="32"/>
          <w:szCs w:val="32"/>
        </w:rPr>
        <w:t>加强畜禽养殖禁养区管理。根据济宁高新区畜禽养殖禁养区优化方案、</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三线一单</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生态环境分区管控方案、水环境分区管控方案等进一步优化养殖业布局。严格落实畜禽养殖禁养区管理规定。结合饮用水水源保护区调整、区域环境容量、调整畜禽养殖业结构、布局和规模的需要，组织开展实地勘察、核定边界。加强对禁养区内已关闭搬迁的畜禽养殖场和养殖户的巡查和监管，严防禁养区内畜禽养殖</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反弹</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和</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复养</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现象发生。禁止在畜禽养殖禁养区新建畜禽养殖场和散养户，加大对禁养区内违法养殖行为的查处力度。</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3"/>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严格畜禽养殖业环境准入。依法开展畜牧业发展规划的环境影响评价，确保畜禽养殖产业发展符合区域环境功能定位和环境保护要求。新建畜禽养殖场选址应位于畜禽养殖非禁养区，须符合城镇总体规划、土地利用总体规划、畜牧业发展规划、生态环境功能区划和环境保护规划，且尽量设在敏感区常年主导风向的下风向或侧风向，养殖场场界与敏感区之间距离应满足其大气环境防护距离和卫生防护距离。新建或改扩建畜禽养殖场，应配备粪污收集、贮存、处理、利用设施，并配套与养殖规模和处理工艺相适应的粪污消纳用地，落实环境影响评价制度。畜禽养殖污染防治设施要落实</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 xml:space="preserve"> 三同时</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 xml:space="preserve"> 制度，加强建设项目工程监理，严格项目验收，确保综合利用和污染防治效果。</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二、落实主体责任，完善污染防治设施建设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落实养殖场户主体责任。养殖场户应当切实履行粪污利用和污染防治主体责任，采取措施对畜禽粪污进行科学处理和资源化利用，防止污染环境。从事畜禽养殖要严格落实《中华人民共和国固体废物污染环境防治法》《中华人民共和国水污染防治法》、国务院《畜禽规模养殖污染防治条例》要求，建设粪污无害化处理和资源化利用设施并确保其正常运行。对畜禽养殖污染防治设施配套不到位，粪污未经无害化处理直接还田或向环境排放，不符合国家和地方排放标准的，畜牧兽医部门要加强技术指导和服务，生态环境部门要依法查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完善畜禽粪污处理设施。根据《畜禽养殖场</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户）粪污处理设施建设技术指南》，指导畜禽养殖场</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户）科学建设粪污资源化利用设施，提高设施装备配套和整体建设水平。粪污暂存池容积要与养殖量、暂存周期匹配。堆</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沤）肥设施发酵容积要与养殖量、发酵周期匹配。委托第三方处理机构或外销给种植户、家庭农场等无害化处理畜禽粪污后综合利用的，须与受委托方或购买方签订粪污委托处理</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购销）协议或合同。严禁以委托或外销等名义，转移畜禽粪污形成二次污染。委托第三方处理的，应按照转运时间间隔建设粪污暂存设施并定期清运。粪污运输时，应采取有效措施防止跑、冒、滴、漏。畜禽粪污自行土地利用的，应配备并使用与养殖规模相匹配的粪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消纳用地。</w:t>
      </w:r>
    </w:p>
    <w:bookmarkEnd w:id="65"/>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三、坚持绿色发展，提升畜禽粪污资源化利用水平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推广清洁技术模式。针对不同养殖规模、畜种和现有条件因场施策，实行</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一场一策</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推广应用科学合理、经济有效的畜禽粪污处理方式。在源头减量上，推广干清粪、雨污分流、固液分离等技术模式，控制养殖污水产生量。在过程控制上，推广发酵床、添加益生菌等技术模式，加速畜禽粪污无害化处理。在末端利用上，推广全量收集还田、水肥一体化、能源化、基质化、清洁回用等技术模式。淘汰全程水冲粪清粪方式。严格规范兽药、饲料添加剂的生产和使用，严厉打击生产企业违法违规使用兽用抗菌药物的行为。倡导养殖户通过喷洒微生物菌剂、增设水帘、物理吸附等过程控臭，密闭收集处理、机械过滤、臭气收集等末端除臭，改善畜禽养殖周边空气环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规范畜禽粪便无害化处理。按照《畜禽粪便还田技术规范》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GB/T 25246</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2010）》《畜禽粪便无害化卫生要求</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GB7959</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2012）》《畜禽粪便无害化处理技术规范</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GB/T 36195</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2018）》有关要求，采用粪污堆沤就近还田模式的，堆体温度维持50℃以上的时间不少于7天，或45℃以上的时间不少于14天，堆体周围不应有活的蛆、蛹或新羽化的成蝇，确保达到无害化处理利用要求后施用。规模以下养殖户自行处理畜禽粪污的，应配备与养殖规模相匹配的粪污消纳土地，采用堆积腐熟发酵等形式达到无害化要求后就地就近还田。配套土地面积不足，无法就地就近换田利用的，应委托第三方社会化服务组织代为实现粪污资源化利用，并及时记录有关信息。</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四、畅通种养结合路径，提高种养结合机械化水平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畅通种养结合路径。实施《十四五全国畜禽粪肥利用种养结合建设规划》，畅通农业内部资源循环。推行液体粪肥机械化施用，培育粪肥还田社会化服务组织，推行养殖场</w:t>
      </w:r>
      <w:r>
        <w:rPr>
          <w:rFonts w:hint="default" w:ascii="Times New Roman" w:hAnsi="Times New Roman"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户）付费处理、种植户付费用肥，建立多方利益联结机制。建立畜禽粪肥和沼气等终端产品使用政策支持体系，推动形成粪污收集、贮存、处理、运输、利用市场机制，提高终端产品竞争力。开展试点示范，因地制宜推广堆沤肥还田、液体粪污贮存还田等技术模式，推动粪肥低成本还田利用，提高粪肥还田效率。统筹考虑种养布局和规模，降低粪肥加工、运输成本。形成可复制可推广的养殖场户、服务组织和种植主体紧密衔接的绿色循环农业发展模式。解决粪污收集及储运能力与农作物季节性施肥不对称的问题及养殖场粪便、液肥到种植基地</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最后一公里</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的输送问题。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提高种养结合机械化水平。认真贯彻落实《关于加快推进畜牧业机械化发展的意见》，探索种养结合机械化模式，推广循环农业模式，促进畜禽养殖废弃物利用，着力补齐畜牧业机械化短板。大力发展畜禽标准化养殖，加快推进饲草料收获加工、种畜禽性能测定、精准饲喂、智能环控、畜产品采集、畜禽屠宰加工、卫生防疫、病死畜禽处理、粪污处理利用、养殖异味消除等环节全过程机械化。落实畜禽种类成套设备补贴政策，提高畜牧装备成套设备供给能力，推进主要畜种养殖各环节机械化均衡发展。</w:t>
      </w:r>
      <w:bookmarkStart w:id="66" w:name="_Toc25954"/>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bookmarkStart w:id="67" w:name="_Toc11872"/>
      <w:r>
        <w:rPr>
          <w:rFonts w:hint="default" w:ascii="Times New Roman" w:hAnsi="Times New Roman" w:eastAsia="方正黑体简体" w:cs="Times New Roman"/>
          <w:b/>
          <w:bCs/>
          <w:snapToGrid/>
          <w:color w:val="000000" w:themeColor="text1"/>
          <w:spacing w:val="0"/>
          <w:w w:val="100"/>
          <w:kern w:val="21"/>
          <w:sz w:val="32"/>
          <w:szCs w:val="32"/>
        </w:rPr>
        <w:t>五、强化生态环境监管</w:t>
      </w:r>
      <w:bookmarkEnd w:id="67"/>
      <w:r>
        <w:rPr>
          <w:rFonts w:hint="default" w:ascii="Times New Roman" w:hAnsi="Times New Roman" w:eastAsia="方正黑体简体" w:cs="Times New Roman"/>
          <w:b/>
          <w:bCs/>
          <w:snapToGrid/>
          <w:color w:val="000000" w:themeColor="text1"/>
          <w:spacing w:val="0"/>
          <w:w w:val="100"/>
          <w:kern w:val="21"/>
          <w:sz w:val="32"/>
          <w:szCs w:val="32"/>
        </w:rPr>
        <w:t>，推进台账制度实施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68" w:name="_Toc20231"/>
      <w:r>
        <w:rPr>
          <w:rFonts w:hint="default" w:ascii="Times New Roman" w:hAnsi="Times New Roman" w:eastAsia="方正仿宋简体" w:cs="Times New Roman"/>
          <w:b/>
          <w:bCs/>
          <w:snapToGrid/>
          <w:color w:val="000000" w:themeColor="text1"/>
          <w:spacing w:val="0"/>
          <w:w w:val="100"/>
          <w:kern w:val="21"/>
          <w:sz w:val="32"/>
          <w:szCs w:val="32"/>
        </w:rPr>
        <w:t>加强跟踪服务，强化生态环境监管。落实街道属地管理责任、养殖业主主体责任、畜牧兽医部门行业主管责任、生态环境部门监管责任，加强畜禽养殖粪污资源化利用考核。以街道为主体，强化日常巡查监管，建立区乡村三级联动的畜禽养殖污染防治监管体系。畜牧兽医部门加强对畜禽养殖户的跟踪服务指导，生态环境部门加强对畜禽养殖户的监督，把畜禽粪污资源化利用计划和台账作为技术指导、执法监管的重要依据。生态环境部门要依法加强畜禽养殖污染执法监管，加大部门间协同配合，联合开展检查，及时发现问题及时进行解决，坚决防止问题反复反弹，确保工作取得实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完善台账管理制度。鼓励畜禽养殖户配备视频监控设施，记录粪污处理、运输和资源化利用等情况，防止粪污偷运偷排。畜牧兽医部门指导养殖专业户将畜禽粪污资源化利用情况作为养殖档案的重要内容，建立畜禽粪污资源化利用台账，及时准确记录有关信息，确保畜禽粪污去向可追溯。委托第三方代为实现粪污资源化利用的要及时准确记录有关信息。进一步畅通部门协作机制，加强信息共享、典型培树、宣传培训，指导养殖户准确理解填报要求和指标含义。</w:t>
      </w:r>
    </w:p>
    <w:bookmarkEnd w:id="66"/>
    <w:bookmarkEnd w:id="68"/>
    <w:p>
      <w:pPr>
        <w:pStyle w:val="2"/>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default" w:ascii="Times New Roman" w:hAnsi="Times New Roman" w:eastAsia="仿宋_GB2312" w:cs="Times New Roman"/>
          <w:b/>
          <w:bCs/>
          <w:snapToGrid/>
          <w:color w:val="000000" w:themeColor="text1"/>
          <w:spacing w:val="0"/>
          <w:w w:val="100"/>
          <w:kern w:val="21"/>
          <w:sz w:val="32"/>
          <w:szCs w:val="36"/>
        </w:rPr>
      </w:pPr>
      <w:bookmarkStart w:id="69" w:name="_Toc3375"/>
      <w:bookmarkStart w:id="70" w:name="_Toc120973240"/>
    </w:p>
    <w:p>
      <w:pPr>
        <w:keepNext w:val="0"/>
        <w:keepLines w:val="0"/>
        <w:pageBreakBefore w:val="0"/>
        <w:widowControl w:val="0"/>
        <w:kinsoku/>
        <w:wordWrap/>
        <w:overflowPunct/>
        <w:topLinePunct w:val="0"/>
        <w:autoSpaceDE/>
        <w:autoSpaceDN/>
        <w:bidi w:val="0"/>
        <w:adjustRightInd/>
        <w:snapToGrid/>
        <w:spacing w:line="560" w:lineRule="exact"/>
        <w:ind w:left="0" w:leftChars="0" w:right="0"/>
        <w:jc w:val="center"/>
        <w:textAlignment w:val="auto"/>
        <w:rPr>
          <w:rFonts w:hint="default" w:ascii="方正小标宋简体" w:hAnsi="方正小标宋简体" w:eastAsia="方正小标宋简体" w:cs="方正小标宋简体"/>
          <w:b/>
          <w:bCs/>
          <w:snapToGrid/>
          <w:color w:val="000000" w:themeColor="text1"/>
          <w:spacing w:val="0"/>
          <w:w w:val="100"/>
          <w:kern w:val="21"/>
          <w:sz w:val="32"/>
          <w:szCs w:val="32"/>
        </w:rPr>
      </w:pPr>
      <w:r>
        <w:rPr>
          <w:rFonts w:hint="default" w:ascii="方正小标宋简体" w:hAnsi="方正小标宋简体" w:eastAsia="方正小标宋简体" w:cs="方正小标宋简体"/>
          <w:b/>
          <w:bCs/>
          <w:snapToGrid/>
          <w:color w:val="000000" w:themeColor="text1"/>
          <w:spacing w:val="0"/>
          <w:w w:val="100"/>
          <w:kern w:val="21"/>
          <w:sz w:val="32"/>
          <w:szCs w:val="32"/>
        </w:rPr>
        <w:t>第五章  保障措施</w:t>
      </w:r>
      <w:bookmarkEnd w:id="69"/>
      <w:bookmarkEnd w:id="70"/>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黑体" w:cs="Times New Roman"/>
          <w:b/>
          <w:bCs/>
          <w:snapToGrid/>
          <w:color w:val="000000" w:themeColor="text1"/>
          <w:spacing w:val="0"/>
          <w:w w:val="100"/>
          <w:kern w:val="21"/>
          <w:sz w:val="32"/>
          <w:szCs w:val="32"/>
        </w:rPr>
      </w:pPr>
      <w:bookmarkStart w:id="71" w:name="_Toc12519"/>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一、加强领导，</w:t>
      </w:r>
      <w:bookmarkEnd w:id="71"/>
      <w:r>
        <w:rPr>
          <w:rFonts w:hint="default" w:ascii="Times New Roman" w:hAnsi="Times New Roman" w:eastAsia="方正黑体简体" w:cs="Times New Roman"/>
          <w:b/>
          <w:bCs/>
          <w:snapToGrid/>
          <w:color w:val="000000" w:themeColor="text1"/>
          <w:spacing w:val="0"/>
          <w:w w:val="100"/>
          <w:kern w:val="21"/>
          <w:sz w:val="32"/>
          <w:szCs w:val="32"/>
        </w:rPr>
        <w:t>落实责任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加强对畜禽养殖污染防治工作的组织领导，加强污染防治工作协调，建立有效的部门沟通协作机制，按照部门职责分工，分解落实畜禽养殖污染防治任务，实现资源和信息共享，形成部门合力，保障畜禽养殖管理工作的顺利进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bookmarkStart w:id="72" w:name="_Toc28475"/>
      <w:r>
        <w:rPr>
          <w:rFonts w:hint="default" w:ascii="Times New Roman" w:hAnsi="Times New Roman" w:eastAsia="方正仿宋简体" w:cs="Times New Roman"/>
          <w:b/>
          <w:bCs/>
          <w:snapToGrid/>
          <w:color w:val="000000" w:themeColor="text1"/>
          <w:spacing w:val="0"/>
          <w:w w:val="100"/>
          <w:kern w:val="21"/>
          <w:sz w:val="32"/>
          <w:szCs w:val="32"/>
        </w:rPr>
        <w:t>济宁高新区</w:t>
      </w:r>
      <w:r>
        <w:rPr>
          <w:rFonts w:hint="eastAsia" w:eastAsia="方正仿宋简体" w:cs="Times New Roman"/>
          <w:b/>
          <w:bCs/>
          <w:snapToGrid/>
          <w:color w:val="000000" w:themeColor="text1"/>
          <w:spacing w:val="0"/>
          <w:w w:val="100"/>
          <w:kern w:val="21"/>
          <w:sz w:val="32"/>
          <w:szCs w:val="32"/>
          <w:lang w:val="en-US" w:eastAsia="zh-CN"/>
        </w:rPr>
        <w:t>发展软环境保障局（</w:t>
      </w:r>
      <w:r>
        <w:rPr>
          <w:rFonts w:hint="default" w:ascii="Times New Roman" w:hAnsi="Times New Roman" w:eastAsia="方正仿宋简体" w:cs="Times New Roman"/>
          <w:b/>
          <w:bCs/>
          <w:snapToGrid/>
          <w:color w:val="000000" w:themeColor="text1"/>
          <w:spacing w:val="0"/>
          <w:w w:val="100"/>
          <w:kern w:val="21"/>
          <w:sz w:val="32"/>
          <w:szCs w:val="32"/>
        </w:rPr>
        <w:t>城乡统筹</w:t>
      </w:r>
      <w:r>
        <w:rPr>
          <w:rFonts w:hint="eastAsia" w:eastAsia="方正仿宋简体" w:cs="Times New Roman"/>
          <w:b/>
          <w:bCs/>
          <w:snapToGrid/>
          <w:color w:val="000000" w:themeColor="text1"/>
          <w:spacing w:val="0"/>
          <w:w w:val="100"/>
          <w:kern w:val="21"/>
          <w:sz w:val="32"/>
          <w:szCs w:val="32"/>
          <w:lang w:val="en-US" w:eastAsia="zh-CN"/>
        </w:rPr>
        <w:t>）</w:t>
      </w:r>
      <w:r>
        <w:rPr>
          <w:rFonts w:hint="default" w:ascii="Times New Roman" w:hAnsi="Times New Roman" w:eastAsia="方正仿宋简体" w:cs="Times New Roman"/>
          <w:b/>
          <w:bCs/>
          <w:snapToGrid/>
          <w:color w:val="000000" w:themeColor="text1"/>
          <w:spacing w:val="0"/>
          <w:w w:val="100"/>
          <w:kern w:val="21"/>
          <w:sz w:val="32"/>
          <w:szCs w:val="32"/>
        </w:rPr>
        <w:t>负责畜禽养殖废弃物综合利用的指导和服务；指导各街道开展畜禽养殖粪污处理设施的建设；开展养殖生产、粪污处理的培训指导，改进养殖工艺和设备，加快设施设备升级。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济宁市生态环境局高新区分局负责畜禽养殖污染防治的统一监督管理；负责指导、监督污染处理设施建设，加强环境污染治理设施执行</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三同时</w:t>
      </w:r>
      <w:r>
        <w:rPr>
          <w:rFonts w:hint="eastAsia" w:eastAsia="方正仿宋简体" w:cs="Times New Roman"/>
          <w:b/>
          <w:bCs/>
          <w:snapToGrid/>
          <w:color w:val="000000" w:themeColor="text1"/>
          <w:spacing w:val="0"/>
          <w:w w:val="100"/>
          <w:kern w:val="21"/>
          <w:sz w:val="32"/>
          <w:szCs w:val="32"/>
          <w:lang w:eastAsia="zh-CN"/>
        </w:rPr>
        <w:t>”</w:t>
      </w:r>
      <w:r>
        <w:rPr>
          <w:rFonts w:hint="default" w:ascii="Times New Roman" w:hAnsi="Times New Roman" w:eastAsia="方正仿宋简体" w:cs="Times New Roman"/>
          <w:b/>
          <w:bCs/>
          <w:snapToGrid/>
          <w:color w:val="000000" w:themeColor="text1"/>
          <w:spacing w:val="0"/>
          <w:w w:val="100"/>
          <w:kern w:val="21"/>
          <w:sz w:val="32"/>
          <w:szCs w:val="32"/>
        </w:rPr>
        <w:t>的监督检查。</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各街道要落实好属地监管责任，做到守土有责、守土尽责，组织人员加大日常巡查指导频次，压实养殖场户主体责任，做到治污设施应建尽建，确保已建粪污处理设施正常运行，并建立完善粪污处理台账；及时现问题及时清理整治，坚决杜绝粪污偷排直排、漏填堆积等问题发生。</w:t>
      </w:r>
    </w:p>
    <w:bookmarkEnd w:id="72"/>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二、统筹协调，积极指导</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加快畜禽粪污资源化利用先进工艺、技术和装备研发，着力破除粪污资源化利用过程中的技术和成本障碍。鼓励养殖户全量收集和利用畜禽粪污，根据实际情况选择合理的输送和施用方式。结合本地实际，推行经济高效的粪污资源化利用技术模式，积极推广全量机械化施用，逐步改进粪肥施用方式。</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三、明确职责，强化考核</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突出工作重点，明确治理任务及进度，各街道、各有关部门要按照职责分工，切实履职到位，做好畜禽养殖污染防治工作。通过多部门联合监督、专项监督和日常性监督等多种监管方式加大畜禽养殖污染日常监督和执法管理，并将</w:t>
      </w:r>
      <w:bookmarkStart w:id="73" w:name="_Toc28922"/>
      <w:r>
        <w:rPr>
          <w:rFonts w:hint="default" w:ascii="Times New Roman" w:hAnsi="Times New Roman" w:eastAsia="方正仿宋简体" w:cs="Times New Roman"/>
          <w:b/>
          <w:bCs/>
          <w:snapToGrid/>
          <w:color w:val="000000" w:themeColor="text1"/>
          <w:spacing w:val="0"/>
          <w:w w:val="100"/>
          <w:kern w:val="21"/>
          <w:sz w:val="32"/>
          <w:szCs w:val="32"/>
        </w:rPr>
        <w:t>畜禽粪污资源化利用和污染整治工作纳入年底作考核，定期通报工作进展，即时发现问题即时进行交办，限期整改到位，确保任务落实到位。</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四、完善政策，加大扶持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pPr>
      <w:r>
        <w:rPr>
          <w:rFonts w:hint="default" w:ascii="Times New Roman" w:hAnsi="Times New Roman" w:eastAsia="方正仿宋简体" w:cs="Times New Roman"/>
          <w:b/>
          <w:bCs/>
          <w:snapToGrid/>
          <w:color w:val="000000" w:themeColor="text1"/>
          <w:spacing w:val="0"/>
          <w:w w:val="100"/>
          <w:kern w:val="21"/>
          <w:sz w:val="32"/>
          <w:szCs w:val="32"/>
        </w:rPr>
        <w:t>统筹运用现有的环保和涉农财政政策，加强资金整合，逐步建立各级财政、企业、社会多元化投入机制。优先制定和实施废弃物资源化利用、污染治理设施建设和运营，环境监测收费等优惠和扶持措施。加大对技术研发的投入和政策支持。</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jc w:val="both"/>
        <w:textAlignment w:val="auto"/>
        <w:outlineLvl w:val="1"/>
        <w:rPr>
          <w:rFonts w:hint="default" w:ascii="Times New Roman" w:hAnsi="Times New Roman" w:eastAsia="方正黑体简体" w:cs="Times New Roman"/>
          <w:b/>
          <w:bCs/>
          <w:snapToGrid/>
          <w:color w:val="000000" w:themeColor="text1"/>
          <w:spacing w:val="0"/>
          <w:w w:val="100"/>
          <w:kern w:val="21"/>
          <w:sz w:val="32"/>
          <w:szCs w:val="32"/>
        </w:rPr>
      </w:pPr>
      <w:r>
        <w:rPr>
          <w:rFonts w:hint="default" w:ascii="Times New Roman" w:hAnsi="Times New Roman" w:eastAsia="方正黑体简体" w:cs="Times New Roman"/>
          <w:b/>
          <w:bCs/>
          <w:snapToGrid/>
          <w:color w:val="000000" w:themeColor="text1"/>
          <w:spacing w:val="0"/>
          <w:w w:val="100"/>
          <w:kern w:val="21"/>
          <w:sz w:val="32"/>
          <w:szCs w:val="32"/>
        </w:rPr>
        <w:t>五、</w:t>
      </w:r>
      <w:bookmarkEnd w:id="73"/>
      <w:bookmarkStart w:id="74" w:name="_Toc9950"/>
      <w:r>
        <w:rPr>
          <w:rFonts w:hint="default" w:ascii="Times New Roman" w:hAnsi="Times New Roman" w:eastAsia="方正黑体简体" w:cs="Times New Roman"/>
          <w:b/>
          <w:bCs/>
          <w:snapToGrid/>
          <w:color w:val="000000" w:themeColor="text1"/>
          <w:spacing w:val="0"/>
          <w:w w:val="100"/>
          <w:kern w:val="21"/>
          <w:sz w:val="32"/>
          <w:szCs w:val="32"/>
        </w:rPr>
        <w:t>加强宣传，</w:t>
      </w:r>
      <w:bookmarkEnd w:id="74"/>
      <w:r>
        <w:rPr>
          <w:rFonts w:hint="default" w:ascii="Times New Roman" w:hAnsi="Times New Roman" w:eastAsia="方正黑体简体" w:cs="Times New Roman"/>
          <w:b/>
          <w:bCs/>
          <w:snapToGrid/>
          <w:color w:val="000000" w:themeColor="text1"/>
          <w:spacing w:val="0"/>
          <w:w w:val="100"/>
          <w:kern w:val="21"/>
          <w:sz w:val="32"/>
          <w:szCs w:val="32"/>
        </w:rPr>
        <w:t>公众参与</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简体" w:cs="Times New Roman"/>
          <w:b/>
          <w:bCs/>
          <w:snapToGrid/>
          <w:color w:val="000000" w:themeColor="text1"/>
          <w:spacing w:val="0"/>
          <w:w w:val="100"/>
          <w:kern w:val="21"/>
          <w:sz w:val="32"/>
          <w:szCs w:val="32"/>
        </w:rPr>
        <w:sectPr>
          <w:headerReference r:id="rId3" w:type="default"/>
          <w:footerReference r:id="rId4" w:type="default"/>
          <w:pgSz w:w="11906" w:h="16838"/>
          <w:pgMar w:top="2098" w:right="1474" w:bottom="1984" w:left="1587" w:header="850" w:footer="1587" w:gutter="0"/>
          <w:pgNumType w:fmt="numberInDash"/>
          <w:cols w:space="0" w:num="1"/>
          <w:docGrid w:type="lines" w:linePitch="312" w:charSpace="0"/>
        </w:sectPr>
      </w:pPr>
      <w:r>
        <w:rPr>
          <w:rFonts w:hint="default" w:ascii="Times New Roman" w:hAnsi="Times New Roman" w:eastAsia="方正仿宋简体" w:cs="Times New Roman"/>
          <w:b/>
          <w:bCs/>
          <w:snapToGrid/>
          <w:color w:val="000000" w:themeColor="text1"/>
          <w:spacing w:val="0"/>
          <w:w w:val="100"/>
          <w:kern w:val="21"/>
          <w:sz w:val="32"/>
          <w:szCs w:val="32"/>
        </w:rPr>
        <w:t>各级各有关部门要充分利用电视、报刊、网络等多种媒体加强法律法规宣传，增强畜禽养殖从业人员的法律意识、责任意识、环保意识，营造全社会推动畜禽养殖废弃物资源化利用的良好氛围。开辟公众参与生态保护的有效途径，推动环境信息及时公开，为公众参与环境监督提供必要的条件。</w:t>
      </w:r>
    </w:p>
    <w:p>
      <w:pPr>
        <w:pStyle w:val="2"/>
        <w:keepNext w:val="0"/>
        <w:keepLines w:val="0"/>
        <w:overflowPunct w:val="0"/>
        <w:snapToGrid w:val="0"/>
        <w:spacing w:beforeLines="0" w:afterLines="0" w:line="560" w:lineRule="exact"/>
        <w:jc w:val="left"/>
        <w:rPr>
          <w:rFonts w:ascii="宋体" w:hAnsi="宋体" w:eastAsia="宋体" w:cs="宋体"/>
          <w:b/>
          <w:bCs/>
          <w:snapToGrid/>
          <w:color w:val="000000" w:themeColor="text1"/>
          <w:spacing w:val="0"/>
          <w:w w:val="100"/>
          <w:kern w:val="21"/>
        </w:rPr>
      </w:pPr>
      <w:bookmarkStart w:id="75" w:name="_Toc4197"/>
      <w:bookmarkStart w:id="76" w:name="_Toc120973241"/>
      <w:r>
        <w:rPr>
          <w:rFonts w:hint="default" w:ascii="Times New Roman" w:hAnsi="Times New Roman" w:eastAsia="方正黑体简体" w:cs="Times New Roman"/>
          <w:b/>
          <w:bCs/>
          <w:snapToGrid/>
          <w:color w:val="000000" w:themeColor="text1"/>
          <w:spacing w:val="0"/>
          <w:w w:val="100"/>
          <w:kern w:val="21"/>
          <w:sz w:val="32"/>
          <w:szCs w:val="32"/>
        </w:rPr>
        <w:t>附表1</w:t>
      </w:r>
      <w:bookmarkEnd w:id="75"/>
      <w:bookmarkEnd w:id="76"/>
      <w:bookmarkStart w:id="77" w:name="_Toc120973244"/>
      <w:bookmarkStart w:id="78" w:name="_Toc27528"/>
    </w:p>
    <w:p>
      <w:pPr>
        <w:pStyle w:val="2"/>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方正小标宋简体" w:cs="Times New Roman"/>
          <w:b/>
          <w:bCs/>
          <w:snapToGrid/>
          <w:color w:val="000000" w:themeColor="text1"/>
          <w:spacing w:val="0"/>
          <w:w w:val="100"/>
          <w:kern w:val="21"/>
          <w:sz w:val="44"/>
          <w:szCs w:val="44"/>
        </w:rPr>
      </w:pPr>
      <w:r>
        <w:rPr>
          <w:rFonts w:hint="eastAsia" w:ascii="Times New Roman" w:hAnsi="Times New Roman" w:eastAsia="方正小标宋简体" w:cs="Times New Roman"/>
          <w:b/>
          <w:bCs/>
          <w:snapToGrid/>
          <w:color w:val="000000" w:themeColor="text1"/>
          <w:spacing w:val="0"/>
          <w:w w:val="100"/>
          <w:kern w:val="21"/>
          <w:sz w:val="44"/>
          <w:szCs w:val="44"/>
        </w:rPr>
        <w:t>2020年济宁高新区畜禽养殖户粪污处理设施配建情况调查表</w:t>
      </w:r>
      <w:bookmarkEnd w:id="77"/>
      <w:bookmarkEnd w:id="78"/>
    </w:p>
    <w:tbl>
      <w:tblPr>
        <w:tblStyle w:val="22"/>
        <w:tblW w:w="136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353"/>
        <w:gridCol w:w="1115"/>
        <w:gridCol w:w="1455"/>
        <w:gridCol w:w="461"/>
        <w:gridCol w:w="763"/>
        <w:gridCol w:w="756"/>
        <w:gridCol w:w="626"/>
        <w:gridCol w:w="626"/>
        <w:gridCol w:w="626"/>
        <w:gridCol w:w="730"/>
        <w:gridCol w:w="551"/>
        <w:gridCol w:w="669"/>
        <w:gridCol w:w="548"/>
        <w:gridCol w:w="518"/>
        <w:gridCol w:w="463"/>
        <w:gridCol w:w="663"/>
        <w:gridCol w:w="857"/>
        <w:gridCol w:w="733"/>
        <w:gridCol w:w="474"/>
        <w:gridCol w:w="6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8" w:hRule="atLeast"/>
          <w:tblHeader/>
          <w:jc w:val="center"/>
        </w:trPr>
        <w:tc>
          <w:tcPr>
            <w:tcW w:w="353" w:type="dxa"/>
            <w:vMerge w:val="restart"/>
            <w:noWrap/>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序号</w:t>
            </w:r>
          </w:p>
        </w:tc>
        <w:tc>
          <w:tcPr>
            <w:tcW w:w="1115"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畜禽养殖场户名称</w:t>
            </w:r>
          </w:p>
        </w:tc>
        <w:tc>
          <w:tcPr>
            <w:tcW w:w="1455"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具体地址</w:t>
            </w:r>
          </w:p>
          <w:p>
            <w:pPr>
              <w:widowControl/>
              <w:spacing w:line="240" w:lineRule="exact"/>
              <w:jc w:val="center"/>
              <w:rPr>
                <w:rFonts w:eastAsia="方正黑体简体"/>
                <w:b/>
                <w:bCs/>
                <w:snapToGrid/>
                <w:color w:val="000000" w:themeColor="text1"/>
                <w:spacing w:val="0"/>
                <w:w w:val="100"/>
                <w:kern w:val="21"/>
                <w:sz w:val="15"/>
                <w:szCs w:val="15"/>
              </w:rPr>
            </w:pPr>
            <w:r>
              <w:rPr>
                <w:rFonts w:hint="eastAsia" w:eastAsia="方正黑体简体"/>
                <w:b/>
                <w:bCs/>
                <w:snapToGrid/>
                <w:color w:val="000000" w:themeColor="text1"/>
                <w:spacing w:val="0"/>
                <w:w w:val="100"/>
                <w:kern w:val="21"/>
                <w:sz w:val="15"/>
                <w:szCs w:val="15"/>
                <w:lang w:eastAsia="zh-CN"/>
              </w:rPr>
              <w:t>（</w:t>
            </w:r>
            <w:r>
              <w:rPr>
                <w:rFonts w:eastAsia="方正黑体简体"/>
                <w:b/>
                <w:bCs/>
                <w:snapToGrid/>
                <w:color w:val="000000" w:themeColor="text1"/>
                <w:spacing w:val="0"/>
                <w:w w:val="100"/>
                <w:kern w:val="21"/>
                <w:sz w:val="15"/>
                <w:szCs w:val="15"/>
              </w:rPr>
              <w:t>/街道、村）</w:t>
            </w:r>
          </w:p>
        </w:tc>
        <w:tc>
          <w:tcPr>
            <w:tcW w:w="461"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养殖</w:t>
            </w:r>
          </w:p>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畜种</w:t>
            </w:r>
          </w:p>
        </w:tc>
        <w:tc>
          <w:tcPr>
            <w:tcW w:w="763"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养殖</w:t>
            </w:r>
          </w:p>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类型</w:t>
            </w:r>
          </w:p>
        </w:tc>
        <w:tc>
          <w:tcPr>
            <w:tcW w:w="756"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设计存栏量</w:t>
            </w:r>
            <w:r>
              <w:rPr>
                <w:rFonts w:hint="eastAsia" w:eastAsia="方正黑体简体"/>
                <w:b/>
                <w:bCs/>
                <w:snapToGrid/>
                <w:color w:val="000000" w:themeColor="text1"/>
                <w:spacing w:val="0"/>
                <w:w w:val="100"/>
                <w:kern w:val="21"/>
                <w:sz w:val="15"/>
                <w:szCs w:val="15"/>
                <w:lang w:eastAsia="zh-CN"/>
              </w:rPr>
              <w:t>（</w:t>
            </w:r>
            <w:r>
              <w:rPr>
                <w:rFonts w:eastAsia="方正黑体简体"/>
                <w:b/>
                <w:bCs/>
                <w:snapToGrid/>
                <w:color w:val="000000" w:themeColor="text1"/>
                <w:spacing w:val="0"/>
                <w:w w:val="100"/>
                <w:kern w:val="21"/>
                <w:sz w:val="15"/>
                <w:szCs w:val="15"/>
              </w:rPr>
              <w:t>头、只）</w:t>
            </w:r>
          </w:p>
        </w:tc>
        <w:tc>
          <w:tcPr>
            <w:tcW w:w="2608" w:type="dxa"/>
            <w:gridSpan w:val="4"/>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现有粪污处理设施、设备</w:t>
            </w:r>
          </w:p>
        </w:tc>
        <w:tc>
          <w:tcPr>
            <w:tcW w:w="551"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处理设施是否匹配</w:t>
            </w:r>
          </w:p>
        </w:tc>
        <w:tc>
          <w:tcPr>
            <w:tcW w:w="669"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清粪</w:t>
            </w:r>
          </w:p>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方式</w:t>
            </w:r>
          </w:p>
        </w:tc>
        <w:tc>
          <w:tcPr>
            <w:tcW w:w="548"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粪便处理方式</w:t>
            </w:r>
          </w:p>
        </w:tc>
        <w:tc>
          <w:tcPr>
            <w:tcW w:w="518"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养殖废水去向</w:t>
            </w:r>
          </w:p>
        </w:tc>
        <w:tc>
          <w:tcPr>
            <w:tcW w:w="463"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是否定期自行检测</w:t>
            </w:r>
          </w:p>
        </w:tc>
        <w:tc>
          <w:tcPr>
            <w:tcW w:w="663"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配套粪肥消纳土地面积</w:t>
            </w:r>
            <w:r>
              <w:rPr>
                <w:rFonts w:hint="eastAsia" w:eastAsia="方正黑体简体"/>
                <w:b/>
                <w:bCs/>
                <w:snapToGrid/>
                <w:color w:val="000000" w:themeColor="text1"/>
                <w:spacing w:val="0"/>
                <w:w w:val="100"/>
                <w:kern w:val="21"/>
                <w:sz w:val="15"/>
                <w:szCs w:val="15"/>
                <w:lang w:eastAsia="zh-CN"/>
              </w:rPr>
              <w:t>（</w:t>
            </w:r>
            <w:r>
              <w:rPr>
                <w:rFonts w:eastAsia="方正黑体简体"/>
                <w:b/>
                <w:bCs/>
                <w:snapToGrid/>
                <w:color w:val="000000" w:themeColor="text1"/>
                <w:spacing w:val="0"/>
                <w:w w:val="100"/>
                <w:kern w:val="21"/>
                <w:sz w:val="15"/>
                <w:szCs w:val="15"/>
              </w:rPr>
              <w:t>亩）</w:t>
            </w:r>
          </w:p>
        </w:tc>
        <w:tc>
          <w:tcPr>
            <w:tcW w:w="857"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是否配备氨气等臭气治理设施</w:t>
            </w:r>
          </w:p>
        </w:tc>
        <w:tc>
          <w:tcPr>
            <w:tcW w:w="733"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臭气治理措施工艺</w:t>
            </w:r>
          </w:p>
        </w:tc>
        <w:tc>
          <w:tcPr>
            <w:tcW w:w="474"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粪污去向</w:t>
            </w:r>
          </w:p>
        </w:tc>
        <w:tc>
          <w:tcPr>
            <w:tcW w:w="690" w:type="dxa"/>
            <w:vMerge w:val="restart"/>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畜禽粪便就地利用比例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4" w:hRule="atLeast"/>
          <w:tblHeader/>
          <w:jc w:val="center"/>
        </w:trPr>
        <w:tc>
          <w:tcPr>
            <w:tcW w:w="353" w:type="dxa"/>
            <w:vMerge w:val="continue"/>
            <w:vAlign w:val="center"/>
          </w:tcPr>
          <w:p>
            <w:pPr>
              <w:spacing w:line="240" w:lineRule="exact"/>
              <w:rPr>
                <w:b/>
                <w:bCs/>
                <w:snapToGrid/>
                <w:color w:val="000000" w:themeColor="text1"/>
                <w:spacing w:val="0"/>
                <w:w w:val="100"/>
                <w:kern w:val="21"/>
              </w:rPr>
            </w:pPr>
          </w:p>
        </w:tc>
        <w:tc>
          <w:tcPr>
            <w:tcW w:w="1115" w:type="dxa"/>
            <w:vMerge w:val="continue"/>
            <w:vAlign w:val="center"/>
          </w:tcPr>
          <w:p>
            <w:pPr>
              <w:spacing w:line="240" w:lineRule="exact"/>
              <w:rPr>
                <w:b/>
                <w:bCs/>
                <w:snapToGrid/>
                <w:color w:val="000000" w:themeColor="text1"/>
                <w:spacing w:val="0"/>
                <w:w w:val="100"/>
                <w:kern w:val="21"/>
              </w:rPr>
            </w:pPr>
          </w:p>
        </w:tc>
        <w:tc>
          <w:tcPr>
            <w:tcW w:w="1455" w:type="dxa"/>
            <w:vMerge w:val="continue"/>
            <w:vAlign w:val="center"/>
          </w:tcPr>
          <w:p>
            <w:pPr>
              <w:spacing w:line="240" w:lineRule="exact"/>
              <w:rPr>
                <w:b/>
                <w:bCs/>
                <w:snapToGrid/>
                <w:color w:val="000000" w:themeColor="text1"/>
                <w:spacing w:val="0"/>
                <w:w w:val="100"/>
                <w:kern w:val="21"/>
              </w:rPr>
            </w:pPr>
          </w:p>
        </w:tc>
        <w:tc>
          <w:tcPr>
            <w:tcW w:w="461" w:type="dxa"/>
            <w:vMerge w:val="continue"/>
            <w:vAlign w:val="center"/>
          </w:tcPr>
          <w:p>
            <w:pPr>
              <w:spacing w:line="240" w:lineRule="exact"/>
              <w:rPr>
                <w:b/>
                <w:bCs/>
                <w:snapToGrid/>
                <w:color w:val="000000" w:themeColor="text1"/>
                <w:spacing w:val="0"/>
                <w:w w:val="100"/>
                <w:kern w:val="21"/>
              </w:rPr>
            </w:pPr>
          </w:p>
        </w:tc>
        <w:tc>
          <w:tcPr>
            <w:tcW w:w="763" w:type="dxa"/>
            <w:vMerge w:val="continue"/>
            <w:vAlign w:val="center"/>
          </w:tcPr>
          <w:p>
            <w:pPr>
              <w:spacing w:line="240" w:lineRule="exact"/>
              <w:rPr>
                <w:b/>
                <w:bCs/>
                <w:snapToGrid/>
                <w:color w:val="000000" w:themeColor="text1"/>
                <w:spacing w:val="0"/>
                <w:w w:val="100"/>
                <w:kern w:val="21"/>
              </w:rPr>
            </w:pPr>
          </w:p>
        </w:tc>
        <w:tc>
          <w:tcPr>
            <w:tcW w:w="756" w:type="dxa"/>
            <w:vMerge w:val="continue"/>
            <w:vAlign w:val="center"/>
          </w:tcPr>
          <w:p>
            <w:pPr>
              <w:spacing w:line="240" w:lineRule="exact"/>
              <w:rPr>
                <w:b/>
                <w:bCs/>
                <w:snapToGrid/>
                <w:color w:val="000000" w:themeColor="text1"/>
                <w:spacing w:val="0"/>
                <w:w w:val="100"/>
                <w:kern w:val="21"/>
              </w:rPr>
            </w:pPr>
          </w:p>
        </w:tc>
        <w:tc>
          <w:tcPr>
            <w:tcW w:w="626" w:type="dxa"/>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储粪棚</w:t>
            </w:r>
            <w:r>
              <w:rPr>
                <w:rFonts w:hint="eastAsia" w:eastAsia="方正黑体简体"/>
                <w:b/>
                <w:bCs/>
                <w:snapToGrid/>
                <w:color w:val="000000" w:themeColor="text1"/>
                <w:spacing w:val="0"/>
                <w:w w:val="100"/>
                <w:kern w:val="21"/>
                <w:sz w:val="15"/>
                <w:szCs w:val="15"/>
                <w:lang w:eastAsia="zh-CN"/>
              </w:rPr>
              <w:t>（</w:t>
            </w:r>
            <w:r>
              <w:rPr>
                <w:b/>
                <w:bCs/>
                <w:snapToGrid/>
                <w:color w:val="000000" w:themeColor="text1"/>
                <w:spacing w:val="0"/>
                <w:w w:val="100"/>
                <w:kern w:val="21"/>
                <w:sz w:val="15"/>
                <w:szCs w:val="15"/>
              </w:rPr>
              <w:t>㎡</w:t>
            </w:r>
            <w:r>
              <w:rPr>
                <w:rFonts w:eastAsia="方正黑体简体"/>
                <w:b/>
                <w:bCs/>
                <w:snapToGrid/>
                <w:color w:val="000000" w:themeColor="text1"/>
                <w:spacing w:val="0"/>
                <w:w w:val="100"/>
                <w:kern w:val="21"/>
                <w:sz w:val="15"/>
                <w:szCs w:val="15"/>
              </w:rPr>
              <w:t>）</w:t>
            </w:r>
          </w:p>
        </w:tc>
        <w:tc>
          <w:tcPr>
            <w:tcW w:w="626" w:type="dxa"/>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污水池容积</w:t>
            </w:r>
            <w:r>
              <w:rPr>
                <w:rFonts w:hint="eastAsia" w:eastAsia="方正黑体简体"/>
                <w:b/>
                <w:bCs/>
                <w:snapToGrid/>
                <w:color w:val="000000" w:themeColor="text1"/>
                <w:spacing w:val="0"/>
                <w:w w:val="100"/>
                <w:kern w:val="21"/>
                <w:sz w:val="15"/>
                <w:szCs w:val="15"/>
                <w:lang w:eastAsia="zh-CN"/>
              </w:rPr>
              <w:t>（</w:t>
            </w:r>
            <w:r>
              <w:rPr>
                <w:rFonts w:eastAsia="方正黑体简体"/>
                <w:b/>
                <w:bCs/>
                <w:snapToGrid/>
                <w:color w:val="000000" w:themeColor="text1"/>
                <w:spacing w:val="0"/>
                <w:w w:val="100"/>
                <w:kern w:val="21"/>
                <w:sz w:val="15"/>
                <w:szCs w:val="15"/>
              </w:rPr>
              <w:t>m</w:t>
            </w:r>
            <w:r>
              <w:rPr>
                <w:b/>
                <w:bCs/>
                <w:snapToGrid/>
                <w:color w:val="000000" w:themeColor="text1"/>
                <w:spacing w:val="0"/>
                <w:w w:val="100"/>
                <w:kern w:val="21"/>
                <w:sz w:val="15"/>
                <w:szCs w:val="15"/>
              </w:rPr>
              <w:t>³</w:t>
            </w:r>
            <w:r>
              <w:rPr>
                <w:rFonts w:eastAsia="方正黑体简体"/>
                <w:b/>
                <w:bCs/>
                <w:snapToGrid/>
                <w:color w:val="000000" w:themeColor="text1"/>
                <w:spacing w:val="0"/>
                <w:w w:val="100"/>
                <w:kern w:val="21"/>
                <w:sz w:val="15"/>
                <w:szCs w:val="15"/>
              </w:rPr>
              <w:t>）</w:t>
            </w:r>
          </w:p>
        </w:tc>
        <w:tc>
          <w:tcPr>
            <w:tcW w:w="626" w:type="dxa"/>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沼气池容积</w:t>
            </w:r>
            <w:r>
              <w:rPr>
                <w:rFonts w:hint="eastAsia" w:eastAsia="方正黑体简体"/>
                <w:b/>
                <w:bCs/>
                <w:snapToGrid/>
                <w:color w:val="000000" w:themeColor="text1"/>
                <w:spacing w:val="0"/>
                <w:w w:val="100"/>
                <w:kern w:val="21"/>
                <w:sz w:val="15"/>
                <w:szCs w:val="15"/>
                <w:lang w:eastAsia="zh-CN"/>
              </w:rPr>
              <w:t>（</w:t>
            </w:r>
            <w:r>
              <w:rPr>
                <w:rFonts w:eastAsia="方正黑体简体"/>
                <w:b/>
                <w:bCs/>
                <w:snapToGrid/>
                <w:color w:val="000000" w:themeColor="text1"/>
                <w:spacing w:val="0"/>
                <w:w w:val="100"/>
                <w:kern w:val="21"/>
                <w:sz w:val="15"/>
                <w:szCs w:val="15"/>
              </w:rPr>
              <w:t>m</w:t>
            </w:r>
            <w:r>
              <w:rPr>
                <w:b/>
                <w:bCs/>
                <w:snapToGrid/>
                <w:color w:val="000000" w:themeColor="text1"/>
                <w:spacing w:val="0"/>
                <w:w w:val="100"/>
                <w:kern w:val="21"/>
                <w:sz w:val="15"/>
                <w:szCs w:val="15"/>
              </w:rPr>
              <w:t>³</w:t>
            </w:r>
            <w:r>
              <w:rPr>
                <w:rFonts w:eastAsia="方正黑体简体"/>
                <w:b/>
                <w:bCs/>
                <w:snapToGrid/>
                <w:color w:val="000000" w:themeColor="text1"/>
                <w:spacing w:val="0"/>
                <w:w w:val="100"/>
                <w:kern w:val="21"/>
                <w:sz w:val="15"/>
                <w:szCs w:val="15"/>
              </w:rPr>
              <w:t>）</w:t>
            </w:r>
          </w:p>
        </w:tc>
        <w:tc>
          <w:tcPr>
            <w:tcW w:w="730" w:type="dxa"/>
            <w:vAlign w:val="center"/>
          </w:tcPr>
          <w:p>
            <w:pPr>
              <w:widowControl/>
              <w:spacing w:line="240" w:lineRule="exact"/>
              <w:jc w:val="center"/>
              <w:rPr>
                <w:rFonts w:eastAsia="方正黑体简体"/>
                <w:b/>
                <w:bCs/>
                <w:snapToGrid/>
                <w:color w:val="000000" w:themeColor="text1"/>
                <w:spacing w:val="0"/>
                <w:w w:val="100"/>
                <w:kern w:val="21"/>
                <w:sz w:val="15"/>
                <w:szCs w:val="15"/>
              </w:rPr>
            </w:pPr>
            <w:r>
              <w:rPr>
                <w:rFonts w:eastAsia="方正黑体简体"/>
                <w:b/>
                <w:bCs/>
                <w:snapToGrid/>
                <w:color w:val="000000" w:themeColor="text1"/>
                <w:spacing w:val="0"/>
                <w:w w:val="100"/>
                <w:kern w:val="21"/>
                <w:sz w:val="15"/>
                <w:szCs w:val="15"/>
              </w:rPr>
              <w:t>其他</w:t>
            </w:r>
          </w:p>
        </w:tc>
        <w:tc>
          <w:tcPr>
            <w:tcW w:w="551" w:type="dxa"/>
            <w:vMerge w:val="continue"/>
            <w:vAlign w:val="center"/>
          </w:tcPr>
          <w:p>
            <w:pPr>
              <w:spacing w:line="240" w:lineRule="exact"/>
              <w:rPr>
                <w:b/>
                <w:bCs/>
                <w:snapToGrid/>
                <w:color w:val="000000" w:themeColor="text1"/>
                <w:spacing w:val="0"/>
                <w:w w:val="100"/>
                <w:kern w:val="21"/>
              </w:rPr>
            </w:pPr>
          </w:p>
        </w:tc>
        <w:tc>
          <w:tcPr>
            <w:tcW w:w="669" w:type="dxa"/>
            <w:vMerge w:val="continue"/>
            <w:vAlign w:val="center"/>
          </w:tcPr>
          <w:p>
            <w:pPr>
              <w:spacing w:line="240" w:lineRule="exact"/>
              <w:rPr>
                <w:b/>
                <w:bCs/>
                <w:snapToGrid/>
                <w:color w:val="000000" w:themeColor="text1"/>
                <w:spacing w:val="0"/>
                <w:w w:val="100"/>
                <w:kern w:val="21"/>
              </w:rPr>
            </w:pPr>
          </w:p>
        </w:tc>
        <w:tc>
          <w:tcPr>
            <w:tcW w:w="548" w:type="dxa"/>
            <w:vMerge w:val="continue"/>
            <w:vAlign w:val="center"/>
          </w:tcPr>
          <w:p>
            <w:pPr>
              <w:spacing w:line="240" w:lineRule="exact"/>
              <w:rPr>
                <w:b/>
                <w:bCs/>
                <w:snapToGrid/>
                <w:color w:val="000000" w:themeColor="text1"/>
                <w:spacing w:val="0"/>
                <w:w w:val="100"/>
                <w:kern w:val="21"/>
              </w:rPr>
            </w:pPr>
          </w:p>
        </w:tc>
        <w:tc>
          <w:tcPr>
            <w:tcW w:w="518" w:type="dxa"/>
            <w:vMerge w:val="continue"/>
            <w:vAlign w:val="center"/>
          </w:tcPr>
          <w:p>
            <w:pPr>
              <w:spacing w:line="240" w:lineRule="exact"/>
              <w:rPr>
                <w:b/>
                <w:bCs/>
                <w:snapToGrid/>
                <w:color w:val="000000" w:themeColor="text1"/>
                <w:spacing w:val="0"/>
                <w:w w:val="100"/>
                <w:kern w:val="21"/>
              </w:rPr>
            </w:pPr>
          </w:p>
        </w:tc>
        <w:tc>
          <w:tcPr>
            <w:tcW w:w="463" w:type="dxa"/>
            <w:vMerge w:val="continue"/>
            <w:vAlign w:val="center"/>
          </w:tcPr>
          <w:p>
            <w:pPr>
              <w:spacing w:line="240" w:lineRule="exact"/>
              <w:rPr>
                <w:b/>
                <w:bCs/>
                <w:snapToGrid/>
                <w:color w:val="000000" w:themeColor="text1"/>
                <w:spacing w:val="0"/>
                <w:w w:val="100"/>
                <w:kern w:val="21"/>
              </w:rPr>
            </w:pPr>
          </w:p>
        </w:tc>
        <w:tc>
          <w:tcPr>
            <w:tcW w:w="663" w:type="dxa"/>
            <w:vMerge w:val="continue"/>
            <w:vAlign w:val="center"/>
          </w:tcPr>
          <w:p>
            <w:pPr>
              <w:spacing w:line="240" w:lineRule="exact"/>
              <w:rPr>
                <w:b/>
                <w:bCs/>
                <w:snapToGrid/>
                <w:color w:val="000000" w:themeColor="text1"/>
                <w:spacing w:val="0"/>
                <w:w w:val="100"/>
                <w:kern w:val="21"/>
              </w:rPr>
            </w:pPr>
          </w:p>
        </w:tc>
        <w:tc>
          <w:tcPr>
            <w:tcW w:w="857" w:type="dxa"/>
            <w:vMerge w:val="continue"/>
            <w:vAlign w:val="center"/>
          </w:tcPr>
          <w:p>
            <w:pPr>
              <w:spacing w:line="240" w:lineRule="exact"/>
              <w:rPr>
                <w:b/>
                <w:bCs/>
                <w:snapToGrid/>
                <w:color w:val="000000" w:themeColor="text1"/>
                <w:spacing w:val="0"/>
                <w:w w:val="100"/>
                <w:kern w:val="21"/>
              </w:rPr>
            </w:pPr>
          </w:p>
        </w:tc>
        <w:tc>
          <w:tcPr>
            <w:tcW w:w="733" w:type="dxa"/>
            <w:vMerge w:val="continue"/>
            <w:vAlign w:val="center"/>
          </w:tcPr>
          <w:p>
            <w:pPr>
              <w:spacing w:line="240" w:lineRule="exact"/>
              <w:rPr>
                <w:b/>
                <w:bCs/>
                <w:snapToGrid/>
                <w:color w:val="000000" w:themeColor="text1"/>
                <w:spacing w:val="0"/>
                <w:w w:val="100"/>
                <w:kern w:val="21"/>
              </w:rPr>
            </w:pPr>
          </w:p>
        </w:tc>
        <w:tc>
          <w:tcPr>
            <w:tcW w:w="474" w:type="dxa"/>
            <w:vMerge w:val="continue"/>
            <w:vAlign w:val="center"/>
          </w:tcPr>
          <w:p>
            <w:pPr>
              <w:spacing w:line="240" w:lineRule="exact"/>
              <w:rPr>
                <w:b/>
                <w:bCs/>
                <w:snapToGrid/>
                <w:color w:val="000000" w:themeColor="text1"/>
                <w:spacing w:val="0"/>
                <w:w w:val="100"/>
                <w:kern w:val="21"/>
              </w:rPr>
            </w:pPr>
          </w:p>
        </w:tc>
        <w:tc>
          <w:tcPr>
            <w:tcW w:w="690" w:type="dxa"/>
            <w:vMerge w:val="continue"/>
            <w:vAlign w:val="center"/>
          </w:tcPr>
          <w:p>
            <w:pPr>
              <w:spacing w:line="240" w:lineRule="exact"/>
              <w:rPr>
                <w:b/>
                <w:bCs/>
                <w:snapToGrid/>
                <w:color w:val="000000" w:themeColor="text1"/>
                <w:spacing w:val="0"/>
                <w:w w:val="100"/>
                <w:kern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1</w:t>
            </w:r>
          </w:p>
        </w:tc>
        <w:tc>
          <w:tcPr>
            <w:tcW w:w="111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韩庆环</w:t>
            </w:r>
            <w:r>
              <w:rPr>
                <w:rFonts w:eastAsia="仿宋_GB2312"/>
                <w:b/>
                <w:bCs/>
                <w:snapToGrid/>
                <w:color w:val="000000" w:themeColor="text1"/>
                <w:spacing w:val="0"/>
                <w:w w:val="100"/>
                <w:kern w:val="21"/>
                <w:sz w:val="15"/>
                <w:szCs w:val="15"/>
              </w:rPr>
              <w:t>养殖场</w:t>
            </w:r>
          </w:p>
        </w:tc>
        <w:tc>
          <w:tcPr>
            <w:tcW w:w="145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黄屯街道孙氏店村</w:t>
            </w:r>
          </w:p>
        </w:tc>
        <w:tc>
          <w:tcPr>
            <w:tcW w:w="461"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w:t>
            </w:r>
          </w:p>
        </w:tc>
        <w:tc>
          <w:tcPr>
            <w:tcW w:w="626"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spacing w:line="280" w:lineRule="exact"/>
              <w:jc w:val="center"/>
              <w:rPr>
                <w:rFonts w:eastAsia="仿宋_GB2312"/>
                <w:b/>
                <w:bCs/>
                <w:snapToGrid/>
                <w:color w:val="000000" w:themeColor="text1"/>
                <w:spacing w:val="0"/>
                <w:w w:val="100"/>
                <w:kern w:val="21"/>
                <w:sz w:val="15"/>
                <w:szCs w:val="15"/>
              </w:rPr>
            </w:pPr>
          </w:p>
        </w:tc>
        <w:tc>
          <w:tcPr>
            <w:tcW w:w="730" w:type="dxa"/>
            <w:vAlign w:val="center"/>
          </w:tcPr>
          <w:p>
            <w:pPr>
              <w:spacing w:line="28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50</w:t>
            </w:r>
          </w:p>
        </w:tc>
        <w:tc>
          <w:tcPr>
            <w:tcW w:w="857"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spacing w:line="280" w:lineRule="exact"/>
              <w:jc w:val="center"/>
              <w:rPr>
                <w:rFonts w:eastAsia="仿宋_GB2312"/>
                <w:b/>
                <w:bCs/>
                <w:snapToGrid/>
                <w:color w:val="000000" w:themeColor="text1"/>
                <w:spacing w:val="0"/>
                <w:w w:val="100"/>
                <w:kern w:val="21"/>
                <w:sz w:val="15"/>
                <w:szCs w:val="15"/>
              </w:rPr>
            </w:pPr>
          </w:p>
        </w:tc>
        <w:tc>
          <w:tcPr>
            <w:tcW w:w="474" w:type="dxa"/>
            <w:vAlign w:val="center"/>
          </w:tcPr>
          <w:p>
            <w:pPr>
              <w:spacing w:line="280" w:lineRule="exact"/>
              <w:jc w:val="center"/>
              <w:rPr>
                <w:rFonts w:eastAsia="仿宋_GB2312"/>
                <w:b/>
                <w:bCs/>
                <w:snapToGrid/>
                <w:color w:val="000000" w:themeColor="text1"/>
                <w:spacing w:val="0"/>
                <w:w w:val="100"/>
                <w:kern w:val="21"/>
                <w:sz w:val="15"/>
                <w:szCs w:val="15"/>
              </w:rPr>
            </w:pPr>
          </w:p>
        </w:tc>
        <w:tc>
          <w:tcPr>
            <w:tcW w:w="690" w:type="dxa"/>
            <w:vAlign w:val="center"/>
          </w:tcPr>
          <w:p>
            <w:pPr>
              <w:spacing w:line="28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1"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邱培江养殖场</w:t>
            </w:r>
          </w:p>
        </w:tc>
        <w:tc>
          <w:tcPr>
            <w:tcW w:w="145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黄屯街道孙氏店村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280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72</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80</w:t>
            </w: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50</w:t>
            </w:r>
          </w:p>
        </w:tc>
        <w:tc>
          <w:tcPr>
            <w:tcW w:w="857"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spacing w:line="28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4"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刘养明养殖场</w:t>
            </w:r>
          </w:p>
        </w:tc>
        <w:tc>
          <w:tcPr>
            <w:tcW w:w="145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黄屯街道孙氏闸村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24</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120</w:t>
            </w:r>
          </w:p>
        </w:tc>
        <w:tc>
          <w:tcPr>
            <w:tcW w:w="730" w:type="dxa"/>
            <w:vAlign w:val="center"/>
          </w:tcPr>
          <w:p>
            <w:pPr>
              <w:spacing w:line="28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857"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spacing w:line="28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韩善安养殖场</w:t>
            </w:r>
          </w:p>
        </w:tc>
        <w:tc>
          <w:tcPr>
            <w:tcW w:w="145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黄屯街道卓村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300</w:t>
            </w:r>
          </w:p>
        </w:tc>
        <w:tc>
          <w:tcPr>
            <w:tcW w:w="626"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spacing w:line="28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857"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spacing w:line="28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林宪垒养殖场</w:t>
            </w:r>
          </w:p>
        </w:tc>
        <w:tc>
          <w:tcPr>
            <w:tcW w:w="145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黄屯街道谢村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18</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w:t>
            </w:r>
          </w:p>
        </w:tc>
        <w:tc>
          <w:tcPr>
            <w:tcW w:w="857"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仲计春养殖场</w:t>
            </w:r>
          </w:p>
        </w:tc>
        <w:tc>
          <w:tcPr>
            <w:tcW w:w="145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黄屯街道高汪庄村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散养</w:t>
            </w:r>
            <w:r>
              <w:rPr>
                <w:rFonts w:eastAsia="仿宋_GB2312"/>
                <w:b/>
                <w:bCs/>
                <w:snapToGrid/>
                <w:color w:val="000000" w:themeColor="text1"/>
                <w:spacing w:val="0"/>
                <w:w w:val="100"/>
                <w:kern w:val="21"/>
                <w:sz w:val="15"/>
                <w:szCs w:val="15"/>
              </w:rPr>
              <w:t>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w:t>
            </w:r>
          </w:p>
        </w:tc>
        <w:tc>
          <w:tcPr>
            <w:tcW w:w="857"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7</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仲同新养殖场</w:t>
            </w:r>
          </w:p>
        </w:tc>
        <w:tc>
          <w:tcPr>
            <w:tcW w:w="145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黄屯街道高汪庄村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散养</w:t>
            </w:r>
            <w:r>
              <w:rPr>
                <w:rFonts w:eastAsia="仿宋_GB2312"/>
                <w:b/>
                <w:bCs/>
                <w:snapToGrid/>
                <w:color w:val="000000" w:themeColor="text1"/>
                <w:spacing w:val="0"/>
                <w:w w:val="100"/>
                <w:kern w:val="21"/>
                <w:sz w:val="15"/>
                <w:szCs w:val="15"/>
              </w:rPr>
              <w:t>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8</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8</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许爱国养殖场</w:t>
            </w:r>
          </w:p>
        </w:tc>
        <w:tc>
          <w:tcPr>
            <w:tcW w:w="145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黄屯街道高汪庄村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散养</w:t>
            </w:r>
            <w:r>
              <w:rPr>
                <w:rFonts w:eastAsia="仿宋_GB2312"/>
                <w:b/>
                <w:bCs/>
                <w:snapToGrid/>
                <w:color w:val="000000" w:themeColor="text1"/>
                <w:spacing w:val="0"/>
                <w:w w:val="100"/>
                <w:kern w:val="21"/>
                <w:sz w:val="15"/>
                <w:szCs w:val="15"/>
              </w:rPr>
              <w:t>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9</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林宪垒养殖场</w:t>
            </w:r>
          </w:p>
        </w:tc>
        <w:tc>
          <w:tcPr>
            <w:tcW w:w="1455" w:type="dxa"/>
            <w:vAlign w:val="center"/>
          </w:tcPr>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黄屯街道谢村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散养</w:t>
            </w:r>
            <w:r>
              <w:rPr>
                <w:rFonts w:eastAsia="仿宋_GB2312"/>
                <w:b/>
                <w:bCs/>
                <w:snapToGrid/>
                <w:color w:val="000000" w:themeColor="text1"/>
                <w:spacing w:val="0"/>
                <w:w w:val="100"/>
                <w:kern w:val="21"/>
                <w:sz w:val="15"/>
                <w:szCs w:val="15"/>
              </w:rPr>
              <w:t>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18</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w:t>
            </w:r>
          </w:p>
        </w:tc>
        <w:tc>
          <w:tcPr>
            <w:tcW w:w="111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曹玉桐养殖场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黄屯街道丁庄村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散养户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11</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韩昌儒养殖场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接庄街道北辛村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48</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潘美丽养殖场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接庄街道北辛村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43</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216</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6"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13</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顾士华养殖场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接庄街道后袁村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134</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4"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14</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祝长密养殖场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接庄街道垞河村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 xml:space="preserve">  </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刘振顿养殖场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接庄街道前铺村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230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16</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李潘柱养殖场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接庄街道舒辛村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18</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75</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17</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闫运刚养殖场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接庄街道东贯村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35</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75</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18</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吴玉娥养殖场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19</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姜六民养殖场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姜健养殖场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21</w:t>
            </w:r>
          </w:p>
        </w:tc>
        <w:tc>
          <w:tcPr>
            <w:tcW w:w="111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张夫君养殖场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接庄街道后铺村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散养户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48</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22</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马西田养殖场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肉牛</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w:t>
            </w:r>
          </w:p>
        </w:tc>
        <w:tc>
          <w:tcPr>
            <w:tcW w:w="626" w:type="dxa"/>
            <w:vAlign w:val="center"/>
          </w:tcPr>
          <w:p>
            <w:pPr>
              <w:widowControl/>
              <w:spacing w:line="21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857"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23</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边贻峰养殖场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24</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杨玉辰养殖场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80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25</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马洪印养殖场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肉牛</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26</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李振新养殖场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27</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马洪吉养殖场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肉牛</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28</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袁凤花养殖场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29</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薛洪伟养殖场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王因街道后竹亭村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30</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谢洪福养殖场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王因街道后竹亭村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90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31</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高国林养殖场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王因街道兴隆村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140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32</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马平安养殖场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肉牛</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24</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33</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李振美养殖场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34</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边贻宣养殖场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王因街道后竹亭村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35</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马西栾养殖场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肉牛</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36</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薛洪利养殖场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王因街道后竹亭村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37</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边贻延养殖场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70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38</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薛长志养殖场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王因街道后竹亭村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90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39</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薛存芳养殖场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90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18</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荣长贝养殖场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王因街道魏庙村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肉牛</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41</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全德兴养殖场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王因街道店子村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24</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42</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贾洪延养殖场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王因街道长庆村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肉鸡</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15000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180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23</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43</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钱友勤养殖场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王因街道钱家村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44</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钱洪利养殖场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王因街道钱家村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80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45</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张德元养殖场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王因街道前候</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24</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46</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李兵养殖场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王因街道沙河村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肉牛</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204</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230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47</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张爱迎养殖场</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王因街道玉皇庙村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48</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王盼盼养殖户</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王因街道玉皇庙村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120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49</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魏永渠养殖户</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王因街道前岗村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900</w:t>
            </w: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180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50</w:t>
            </w:r>
          </w:p>
        </w:tc>
        <w:tc>
          <w:tcPr>
            <w:tcW w:w="1115" w:type="dxa"/>
            <w:vAlign w:val="center"/>
          </w:tcPr>
          <w:p>
            <w:pPr>
              <w:widowControl/>
              <w:spacing w:line="21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张明军养殖户</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王因街道后岗村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肉牛</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6</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51</w:t>
            </w:r>
          </w:p>
        </w:tc>
        <w:tc>
          <w:tcPr>
            <w:tcW w:w="111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王利国养殖户</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王因街道前竹亭村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专业户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100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180</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52</w:t>
            </w:r>
          </w:p>
        </w:tc>
        <w:tc>
          <w:tcPr>
            <w:tcW w:w="111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郭义峰养殖户</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王因街道店子</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散养户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23</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53</w:t>
            </w:r>
          </w:p>
        </w:tc>
        <w:tc>
          <w:tcPr>
            <w:tcW w:w="111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徐振顶养殖户</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王因街道陈庄</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生猪</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散养户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30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干清粪</w:t>
            </w:r>
          </w:p>
          <w:p>
            <w:pPr>
              <w:spacing w:line="28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水冲粪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18</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35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54</w:t>
            </w:r>
          </w:p>
        </w:tc>
        <w:tc>
          <w:tcPr>
            <w:tcW w:w="111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孟广华养殖户</w:t>
            </w:r>
          </w:p>
        </w:tc>
        <w:tc>
          <w:tcPr>
            <w:tcW w:w="1455"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王因街道齐村</w:t>
            </w:r>
          </w:p>
        </w:tc>
        <w:tc>
          <w:tcPr>
            <w:tcW w:w="461"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肉羊</w:t>
            </w:r>
          </w:p>
        </w:tc>
        <w:tc>
          <w:tcPr>
            <w:tcW w:w="7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散养户</w:t>
            </w:r>
          </w:p>
        </w:tc>
        <w:tc>
          <w:tcPr>
            <w:tcW w:w="75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40</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25</w:t>
            </w: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26"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730"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551"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是</w:t>
            </w:r>
          </w:p>
        </w:tc>
        <w:tc>
          <w:tcPr>
            <w:tcW w:w="669"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干清粪</w:t>
            </w:r>
          </w:p>
        </w:tc>
        <w:tc>
          <w:tcPr>
            <w:tcW w:w="54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堆肥</w:t>
            </w:r>
          </w:p>
        </w:tc>
        <w:tc>
          <w:tcPr>
            <w:tcW w:w="518"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还田</w:t>
            </w:r>
          </w:p>
        </w:tc>
        <w:tc>
          <w:tcPr>
            <w:tcW w:w="463" w:type="dxa"/>
            <w:vAlign w:val="center"/>
          </w:tcPr>
          <w:p>
            <w:pPr>
              <w:spacing w:line="280" w:lineRule="exact"/>
              <w:jc w:val="center"/>
              <w:rPr>
                <w:rFonts w:eastAsia="仿宋_GB2312"/>
                <w:b/>
                <w:bCs/>
                <w:snapToGrid/>
                <w:color w:val="000000" w:themeColor="text1"/>
                <w:spacing w:val="0"/>
                <w:w w:val="100"/>
                <w:kern w:val="21"/>
                <w:sz w:val="15"/>
                <w:szCs w:val="15"/>
              </w:rPr>
            </w:pPr>
            <w:r>
              <w:rPr>
                <w:rFonts w:eastAsia="仿宋_GB2312"/>
                <w:b/>
                <w:bCs/>
                <w:snapToGrid/>
                <w:color w:val="000000" w:themeColor="text1"/>
                <w:spacing w:val="0"/>
                <w:w w:val="100"/>
                <w:kern w:val="21"/>
                <w:sz w:val="15"/>
                <w:szCs w:val="15"/>
              </w:rPr>
              <w:t>否</w:t>
            </w:r>
          </w:p>
        </w:tc>
        <w:tc>
          <w:tcPr>
            <w:tcW w:w="663"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15</w:t>
            </w:r>
          </w:p>
        </w:tc>
        <w:tc>
          <w:tcPr>
            <w:tcW w:w="857" w:type="dxa"/>
            <w:vAlign w:val="center"/>
          </w:tcPr>
          <w:p>
            <w:pPr>
              <w:widowControl/>
              <w:spacing w:line="240" w:lineRule="exact"/>
              <w:jc w:val="center"/>
              <w:rPr>
                <w:rFonts w:eastAsia="仿宋_GB2312"/>
                <w:b/>
                <w:bCs/>
                <w:snapToGrid/>
                <w:color w:val="000000" w:themeColor="text1"/>
                <w:spacing w:val="0"/>
                <w:w w:val="100"/>
                <w:kern w:val="21"/>
                <w:sz w:val="15"/>
                <w:szCs w:val="15"/>
              </w:rPr>
            </w:pPr>
            <w:r>
              <w:rPr>
                <w:rFonts w:hint="eastAsia" w:eastAsia="仿宋_GB2312"/>
                <w:b/>
                <w:bCs/>
                <w:snapToGrid/>
                <w:color w:val="000000" w:themeColor="text1"/>
                <w:spacing w:val="0"/>
                <w:w w:val="100"/>
                <w:kern w:val="21"/>
                <w:sz w:val="15"/>
                <w:szCs w:val="15"/>
              </w:rPr>
              <w:t>否</w:t>
            </w:r>
          </w:p>
        </w:tc>
        <w:tc>
          <w:tcPr>
            <w:tcW w:w="733"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474" w:type="dxa"/>
            <w:vAlign w:val="center"/>
          </w:tcPr>
          <w:p>
            <w:pPr>
              <w:widowControl/>
              <w:spacing w:line="240" w:lineRule="exact"/>
              <w:jc w:val="center"/>
              <w:rPr>
                <w:rFonts w:eastAsia="仿宋_GB2312"/>
                <w:b/>
                <w:bCs/>
                <w:snapToGrid/>
                <w:color w:val="000000" w:themeColor="text1"/>
                <w:spacing w:val="0"/>
                <w:w w:val="100"/>
                <w:kern w:val="21"/>
                <w:sz w:val="15"/>
                <w:szCs w:val="15"/>
              </w:rPr>
            </w:pPr>
          </w:p>
        </w:tc>
        <w:tc>
          <w:tcPr>
            <w:tcW w:w="690" w:type="dxa"/>
            <w:vAlign w:val="center"/>
          </w:tcPr>
          <w:p>
            <w:pPr>
              <w:widowControl/>
              <w:spacing w:line="240" w:lineRule="exact"/>
              <w:jc w:val="center"/>
              <w:rPr>
                <w:rFonts w:eastAsia="仿宋_GB2312"/>
                <w:b/>
                <w:bCs/>
                <w:snapToGrid/>
                <w:color w:val="000000" w:themeColor="text1"/>
                <w:spacing w:val="0"/>
                <w:w w:val="100"/>
                <w:kern w:val="21"/>
                <w:sz w:val="15"/>
                <w:szCs w:val="15"/>
              </w:rPr>
            </w:pPr>
          </w:p>
        </w:tc>
      </w:tr>
    </w:tbl>
    <w:p>
      <w:pPr>
        <w:pStyle w:val="18"/>
        <w:rPr>
          <w:rFonts w:ascii="宋体" w:hAnsi="宋体" w:eastAsia="宋体"/>
          <w:b/>
          <w:bCs/>
          <w:snapToGrid/>
          <w:color w:val="000000" w:themeColor="text1"/>
          <w:spacing w:val="0"/>
          <w:w w:val="100"/>
          <w:kern w:val="21"/>
          <w:sz w:val="28"/>
          <w:szCs w:val="28"/>
          <w:lang w:val="en-US" w:eastAsia="en-US" w:bidi="ar-SA"/>
        </w:rPr>
      </w:pPr>
    </w:p>
    <w:p>
      <w:pPr>
        <w:pStyle w:val="18"/>
        <w:rPr>
          <w:rFonts w:ascii="宋体" w:hAnsi="宋体" w:eastAsia="宋体"/>
          <w:b/>
          <w:bCs/>
          <w:snapToGrid/>
          <w:color w:val="000000" w:themeColor="text1"/>
          <w:spacing w:val="0"/>
          <w:w w:val="100"/>
          <w:kern w:val="21"/>
          <w:sz w:val="28"/>
          <w:szCs w:val="28"/>
          <w:lang w:val="en-US" w:eastAsia="en-US" w:bidi="ar-SA"/>
        </w:rPr>
        <w:sectPr>
          <w:footerReference r:id="rId5" w:type="even"/>
          <w:pgSz w:w="16838" w:h="11906" w:orient="landscape"/>
          <w:pgMar w:top="1531" w:right="1531" w:bottom="1531" w:left="1531" w:header="1134" w:footer="1077" w:gutter="0"/>
          <w:pgNumType w:fmt="numberInDash"/>
          <w:cols w:space="0" w:num="1"/>
          <w:docGrid w:type="lines" w:linePitch="315" w:charSpace="0"/>
        </w:sectPr>
      </w:pPr>
    </w:p>
    <w:p>
      <w:pPr>
        <w:pStyle w:val="2"/>
        <w:keepNext w:val="0"/>
        <w:keepLines w:val="0"/>
        <w:overflowPunct w:val="0"/>
        <w:snapToGrid w:val="0"/>
        <w:spacing w:beforeLines="0" w:afterLines="0" w:line="560" w:lineRule="exact"/>
        <w:jc w:val="left"/>
        <w:rPr>
          <w:rFonts w:hint="default" w:ascii="Times New Roman" w:hAnsi="Times New Roman" w:eastAsia="方正黑体简体" w:cs="Times New Roman"/>
          <w:b/>
          <w:bCs/>
          <w:snapToGrid/>
          <w:color w:val="000000" w:themeColor="text1"/>
          <w:spacing w:val="0"/>
          <w:w w:val="100"/>
          <w:kern w:val="21"/>
          <w:sz w:val="32"/>
          <w:szCs w:val="32"/>
        </w:rPr>
      </w:pPr>
      <w:bookmarkStart w:id="79" w:name="_Toc120973245"/>
      <w:bookmarkStart w:id="80" w:name="_Toc2667"/>
      <w:r>
        <w:rPr>
          <w:rFonts w:hint="eastAsia" w:ascii="Times New Roman" w:hAnsi="Times New Roman" w:eastAsia="方正黑体简体" w:cs="Times New Roman"/>
          <w:b/>
          <w:bCs/>
          <w:snapToGrid/>
          <w:color w:val="000000" w:themeColor="text1"/>
          <w:spacing w:val="0"/>
          <w:w w:val="100"/>
          <w:kern w:val="21"/>
          <w:sz w:val="32"/>
          <w:szCs w:val="32"/>
        </w:rPr>
        <w:t>附表</w:t>
      </w:r>
      <w:bookmarkEnd w:id="79"/>
      <w:r>
        <w:rPr>
          <w:rFonts w:hint="eastAsia" w:ascii="Times New Roman" w:hAnsi="Times New Roman" w:eastAsia="方正黑体简体" w:cs="Times New Roman"/>
          <w:b/>
          <w:bCs/>
          <w:snapToGrid/>
          <w:color w:val="000000" w:themeColor="text1"/>
          <w:spacing w:val="0"/>
          <w:w w:val="100"/>
          <w:kern w:val="21"/>
          <w:sz w:val="32"/>
          <w:szCs w:val="32"/>
        </w:rPr>
        <w:t>2</w:t>
      </w:r>
    </w:p>
    <w:p>
      <w:pPr>
        <w:pStyle w:val="2"/>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方正小标宋简体" w:cs="Times New Roman"/>
          <w:b/>
          <w:bCs/>
          <w:snapToGrid/>
          <w:color w:val="000000" w:themeColor="text1"/>
          <w:spacing w:val="0"/>
          <w:w w:val="100"/>
          <w:kern w:val="21"/>
          <w:sz w:val="44"/>
          <w:szCs w:val="44"/>
        </w:rPr>
      </w:pPr>
      <w:bookmarkStart w:id="81" w:name="_Toc120973246"/>
      <w:r>
        <w:rPr>
          <w:rFonts w:hint="default" w:ascii="Times New Roman" w:hAnsi="Times New Roman" w:eastAsia="方正小标宋简体" w:cs="Times New Roman"/>
          <w:b/>
          <w:bCs/>
          <w:snapToGrid/>
          <w:color w:val="000000" w:themeColor="text1"/>
          <w:spacing w:val="0"/>
          <w:w w:val="100"/>
          <w:kern w:val="21"/>
          <w:sz w:val="44"/>
          <w:szCs w:val="44"/>
        </w:rPr>
        <w:t>济宁高新区耕地、园地、林地、草地面积清单</w:t>
      </w:r>
      <w:bookmarkEnd w:id="80"/>
      <w:bookmarkEnd w:id="81"/>
    </w:p>
    <w:tbl>
      <w:tblPr>
        <w:tblStyle w:val="23"/>
        <w:tblW w:w="91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823"/>
        <w:gridCol w:w="1823"/>
        <w:gridCol w:w="1823"/>
        <w:gridCol w:w="18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823" w:type="dxa"/>
            <w:tcBorders>
              <w:tl2br w:val="nil"/>
              <w:tr2bl w:val="nil"/>
            </w:tcBorders>
            <w:vAlign w:val="center"/>
          </w:tcPr>
          <w:p>
            <w:pPr>
              <w:widowControl/>
              <w:spacing w:line="300" w:lineRule="exact"/>
              <w:jc w:val="center"/>
              <w:rPr>
                <w:rFonts w:hint="default" w:ascii="Times New Roman" w:hAnsi="Times New Roman" w:eastAsia="方正黑体简体" w:cs="Times New Roman"/>
                <w:b/>
                <w:bCs/>
                <w:snapToGrid/>
                <w:color w:val="000000" w:themeColor="text1"/>
                <w:spacing w:val="0"/>
                <w:w w:val="100"/>
                <w:kern w:val="21"/>
                <w:sz w:val="28"/>
                <w:szCs w:val="28"/>
              </w:rPr>
            </w:pPr>
            <w:r>
              <w:rPr>
                <w:rFonts w:hint="default" w:ascii="Times New Roman" w:hAnsi="Times New Roman" w:eastAsia="方正黑体简体" w:cs="Times New Roman"/>
                <w:b/>
                <w:bCs/>
                <w:snapToGrid/>
                <w:color w:val="000000" w:themeColor="text1"/>
                <w:spacing w:val="0"/>
                <w:w w:val="100"/>
                <w:kern w:val="21"/>
                <w:sz w:val="28"/>
                <w:szCs w:val="28"/>
              </w:rPr>
              <w:t>名  称</w:t>
            </w:r>
          </w:p>
        </w:tc>
        <w:tc>
          <w:tcPr>
            <w:tcW w:w="1823" w:type="dxa"/>
            <w:tcBorders>
              <w:tl2br w:val="nil"/>
              <w:tr2bl w:val="nil"/>
            </w:tcBorders>
            <w:vAlign w:val="center"/>
          </w:tcPr>
          <w:p>
            <w:pPr>
              <w:widowControl/>
              <w:spacing w:line="300" w:lineRule="exact"/>
              <w:jc w:val="center"/>
              <w:rPr>
                <w:rFonts w:hint="default" w:ascii="Times New Roman" w:hAnsi="Times New Roman" w:eastAsia="方正黑体简体" w:cs="Times New Roman"/>
                <w:b/>
                <w:bCs/>
                <w:snapToGrid/>
                <w:color w:val="000000" w:themeColor="text1"/>
                <w:spacing w:val="0"/>
                <w:w w:val="100"/>
                <w:kern w:val="21"/>
                <w:sz w:val="28"/>
                <w:szCs w:val="28"/>
              </w:rPr>
            </w:pPr>
            <w:r>
              <w:rPr>
                <w:rFonts w:hint="default" w:ascii="Times New Roman" w:hAnsi="Times New Roman" w:eastAsia="方正黑体简体" w:cs="Times New Roman"/>
                <w:b/>
                <w:bCs/>
                <w:snapToGrid/>
                <w:color w:val="000000" w:themeColor="text1"/>
                <w:spacing w:val="0"/>
                <w:w w:val="100"/>
                <w:kern w:val="21"/>
                <w:sz w:val="28"/>
                <w:szCs w:val="28"/>
              </w:rPr>
              <w:t>耕地面积</w:t>
            </w:r>
          </w:p>
          <w:p>
            <w:pPr>
              <w:widowControl/>
              <w:spacing w:line="300" w:lineRule="exact"/>
              <w:jc w:val="center"/>
              <w:rPr>
                <w:rFonts w:hint="default" w:ascii="Times New Roman" w:hAnsi="Times New Roman" w:eastAsia="方正黑体简体" w:cs="Times New Roman"/>
                <w:b/>
                <w:bCs/>
                <w:snapToGrid/>
                <w:color w:val="000000" w:themeColor="text1"/>
                <w:spacing w:val="0"/>
                <w:w w:val="100"/>
                <w:kern w:val="21"/>
                <w:sz w:val="28"/>
                <w:szCs w:val="28"/>
              </w:rPr>
            </w:pPr>
            <w:r>
              <w:rPr>
                <w:rFonts w:hint="default" w:ascii="Times New Roman" w:hAnsi="Times New Roman" w:eastAsia="方正黑体简体" w:cs="Times New Roman"/>
                <w:b/>
                <w:bCs/>
                <w:snapToGrid/>
                <w:color w:val="000000" w:themeColor="text1"/>
                <w:spacing w:val="0"/>
                <w:w w:val="100"/>
                <w:kern w:val="21"/>
                <w:sz w:val="28"/>
                <w:szCs w:val="28"/>
                <w:lang w:eastAsia="zh-CN"/>
              </w:rPr>
              <w:t>（</w:t>
            </w:r>
            <w:r>
              <w:rPr>
                <w:rFonts w:hint="default" w:ascii="Times New Roman" w:hAnsi="Times New Roman" w:eastAsia="方正黑体简体" w:cs="Times New Roman"/>
                <w:b/>
                <w:bCs/>
                <w:snapToGrid/>
                <w:color w:val="000000" w:themeColor="text1"/>
                <w:spacing w:val="0"/>
                <w:w w:val="100"/>
                <w:kern w:val="21"/>
                <w:sz w:val="28"/>
                <w:szCs w:val="28"/>
              </w:rPr>
              <w:t>公顷）</w:t>
            </w:r>
          </w:p>
        </w:tc>
        <w:tc>
          <w:tcPr>
            <w:tcW w:w="1823" w:type="dxa"/>
            <w:tcBorders>
              <w:tl2br w:val="nil"/>
              <w:tr2bl w:val="nil"/>
            </w:tcBorders>
            <w:vAlign w:val="center"/>
          </w:tcPr>
          <w:p>
            <w:pPr>
              <w:widowControl/>
              <w:spacing w:line="300" w:lineRule="exact"/>
              <w:jc w:val="center"/>
              <w:rPr>
                <w:rFonts w:hint="default" w:ascii="Times New Roman" w:hAnsi="Times New Roman" w:eastAsia="方正黑体简体" w:cs="Times New Roman"/>
                <w:b/>
                <w:bCs/>
                <w:snapToGrid/>
                <w:color w:val="000000" w:themeColor="text1"/>
                <w:spacing w:val="0"/>
                <w:w w:val="100"/>
                <w:kern w:val="21"/>
                <w:sz w:val="28"/>
                <w:szCs w:val="28"/>
              </w:rPr>
            </w:pPr>
            <w:r>
              <w:rPr>
                <w:rFonts w:hint="default" w:ascii="Times New Roman" w:hAnsi="Times New Roman" w:eastAsia="方正黑体简体" w:cs="Times New Roman"/>
                <w:b/>
                <w:bCs/>
                <w:snapToGrid/>
                <w:color w:val="000000" w:themeColor="text1"/>
                <w:spacing w:val="0"/>
                <w:w w:val="100"/>
                <w:kern w:val="21"/>
                <w:sz w:val="28"/>
                <w:szCs w:val="28"/>
              </w:rPr>
              <w:t>园地面积</w:t>
            </w:r>
          </w:p>
          <w:p>
            <w:pPr>
              <w:widowControl/>
              <w:spacing w:line="300" w:lineRule="exact"/>
              <w:jc w:val="center"/>
              <w:rPr>
                <w:rFonts w:hint="default" w:ascii="Times New Roman" w:hAnsi="Times New Roman" w:eastAsia="方正黑体简体" w:cs="Times New Roman"/>
                <w:b/>
                <w:bCs/>
                <w:snapToGrid/>
                <w:color w:val="000000" w:themeColor="text1"/>
                <w:spacing w:val="0"/>
                <w:w w:val="100"/>
                <w:kern w:val="21"/>
                <w:sz w:val="28"/>
                <w:szCs w:val="28"/>
              </w:rPr>
            </w:pPr>
            <w:r>
              <w:rPr>
                <w:rFonts w:hint="default" w:ascii="Times New Roman" w:hAnsi="Times New Roman" w:eastAsia="方正黑体简体" w:cs="Times New Roman"/>
                <w:b/>
                <w:bCs/>
                <w:snapToGrid/>
                <w:color w:val="000000" w:themeColor="text1"/>
                <w:spacing w:val="0"/>
                <w:w w:val="100"/>
                <w:kern w:val="21"/>
                <w:sz w:val="28"/>
                <w:szCs w:val="28"/>
                <w:lang w:eastAsia="zh-CN"/>
              </w:rPr>
              <w:t>（</w:t>
            </w:r>
            <w:r>
              <w:rPr>
                <w:rFonts w:hint="default" w:ascii="Times New Roman" w:hAnsi="Times New Roman" w:eastAsia="方正黑体简体" w:cs="Times New Roman"/>
                <w:b/>
                <w:bCs/>
                <w:snapToGrid/>
                <w:color w:val="000000" w:themeColor="text1"/>
                <w:spacing w:val="0"/>
                <w:w w:val="100"/>
                <w:kern w:val="21"/>
                <w:sz w:val="28"/>
                <w:szCs w:val="28"/>
              </w:rPr>
              <w:t>公顷）</w:t>
            </w:r>
          </w:p>
        </w:tc>
        <w:tc>
          <w:tcPr>
            <w:tcW w:w="1823" w:type="dxa"/>
            <w:tcBorders>
              <w:tl2br w:val="nil"/>
              <w:tr2bl w:val="nil"/>
            </w:tcBorders>
            <w:vAlign w:val="center"/>
          </w:tcPr>
          <w:p>
            <w:pPr>
              <w:widowControl/>
              <w:spacing w:line="300" w:lineRule="exact"/>
              <w:jc w:val="center"/>
              <w:rPr>
                <w:rFonts w:hint="default" w:ascii="Times New Roman" w:hAnsi="Times New Roman" w:eastAsia="方正黑体简体" w:cs="Times New Roman"/>
                <w:b/>
                <w:bCs/>
                <w:snapToGrid/>
                <w:color w:val="000000" w:themeColor="text1"/>
                <w:spacing w:val="0"/>
                <w:w w:val="100"/>
                <w:kern w:val="21"/>
                <w:sz w:val="28"/>
                <w:szCs w:val="28"/>
              </w:rPr>
            </w:pPr>
            <w:r>
              <w:rPr>
                <w:rFonts w:hint="default" w:ascii="Times New Roman" w:hAnsi="Times New Roman" w:eastAsia="方正黑体简体" w:cs="Times New Roman"/>
                <w:b/>
                <w:bCs/>
                <w:snapToGrid/>
                <w:color w:val="000000" w:themeColor="text1"/>
                <w:spacing w:val="0"/>
                <w:w w:val="100"/>
                <w:kern w:val="21"/>
                <w:sz w:val="28"/>
                <w:szCs w:val="28"/>
              </w:rPr>
              <w:t>林地面积</w:t>
            </w:r>
          </w:p>
          <w:p>
            <w:pPr>
              <w:widowControl/>
              <w:spacing w:line="300" w:lineRule="exact"/>
              <w:jc w:val="center"/>
              <w:rPr>
                <w:rFonts w:hint="default" w:ascii="Times New Roman" w:hAnsi="Times New Roman" w:eastAsia="方正黑体简体" w:cs="Times New Roman"/>
                <w:b/>
                <w:bCs/>
                <w:snapToGrid/>
                <w:color w:val="000000" w:themeColor="text1"/>
                <w:spacing w:val="0"/>
                <w:w w:val="100"/>
                <w:kern w:val="21"/>
                <w:sz w:val="28"/>
                <w:szCs w:val="28"/>
              </w:rPr>
            </w:pPr>
            <w:r>
              <w:rPr>
                <w:rFonts w:hint="default" w:ascii="Times New Roman" w:hAnsi="Times New Roman" w:eastAsia="方正黑体简体" w:cs="Times New Roman"/>
                <w:b/>
                <w:bCs/>
                <w:snapToGrid/>
                <w:color w:val="000000" w:themeColor="text1"/>
                <w:spacing w:val="0"/>
                <w:w w:val="100"/>
                <w:kern w:val="21"/>
                <w:sz w:val="28"/>
                <w:szCs w:val="28"/>
                <w:lang w:eastAsia="zh-CN"/>
              </w:rPr>
              <w:t>（</w:t>
            </w:r>
            <w:r>
              <w:rPr>
                <w:rFonts w:hint="default" w:ascii="Times New Roman" w:hAnsi="Times New Roman" w:eastAsia="方正黑体简体" w:cs="Times New Roman"/>
                <w:b/>
                <w:bCs/>
                <w:snapToGrid/>
                <w:color w:val="000000" w:themeColor="text1"/>
                <w:spacing w:val="0"/>
                <w:w w:val="100"/>
                <w:kern w:val="21"/>
                <w:sz w:val="28"/>
                <w:szCs w:val="28"/>
              </w:rPr>
              <w:t>公顷）</w:t>
            </w:r>
          </w:p>
        </w:tc>
        <w:tc>
          <w:tcPr>
            <w:tcW w:w="1824" w:type="dxa"/>
            <w:tcBorders>
              <w:tl2br w:val="nil"/>
              <w:tr2bl w:val="nil"/>
            </w:tcBorders>
            <w:vAlign w:val="center"/>
          </w:tcPr>
          <w:p>
            <w:pPr>
              <w:widowControl/>
              <w:spacing w:line="300" w:lineRule="exact"/>
              <w:jc w:val="center"/>
              <w:rPr>
                <w:rFonts w:hint="default" w:ascii="Times New Roman" w:hAnsi="Times New Roman" w:eastAsia="方正黑体简体" w:cs="Times New Roman"/>
                <w:b/>
                <w:bCs/>
                <w:snapToGrid/>
                <w:color w:val="000000" w:themeColor="text1"/>
                <w:spacing w:val="0"/>
                <w:w w:val="100"/>
                <w:kern w:val="21"/>
                <w:sz w:val="28"/>
                <w:szCs w:val="28"/>
              </w:rPr>
            </w:pPr>
            <w:r>
              <w:rPr>
                <w:rFonts w:hint="default" w:ascii="Times New Roman" w:hAnsi="Times New Roman" w:eastAsia="方正黑体简体" w:cs="Times New Roman"/>
                <w:b/>
                <w:bCs/>
                <w:snapToGrid/>
                <w:color w:val="000000" w:themeColor="text1"/>
                <w:spacing w:val="0"/>
                <w:w w:val="100"/>
                <w:kern w:val="21"/>
                <w:sz w:val="28"/>
                <w:szCs w:val="28"/>
              </w:rPr>
              <w:t>草地面积</w:t>
            </w:r>
          </w:p>
          <w:p>
            <w:pPr>
              <w:widowControl/>
              <w:spacing w:line="300" w:lineRule="exact"/>
              <w:jc w:val="center"/>
              <w:rPr>
                <w:rFonts w:hint="default" w:ascii="Times New Roman" w:hAnsi="Times New Roman" w:eastAsia="方正黑体简体" w:cs="Times New Roman"/>
                <w:b/>
                <w:bCs/>
                <w:snapToGrid/>
                <w:color w:val="000000" w:themeColor="text1"/>
                <w:spacing w:val="0"/>
                <w:w w:val="100"/>
                <w:kern w:val="21"/>
                <w:sz w:val="28"/>
                <w:szCs w:val="28"/>
              </w:rPr>
            </w:pPr>
            <w:r>
              <w:rPr>
                <w:rFonts w:hint="default" w:ascii="Times New Roman" w:hAnsi="Times New Roman" w:eastAsia="方正黑体简体" w:cs="Times New Roman"/>
                <w:b/>
                <w:bCs/>
                <w:snapToGrid/>
                <w:color w:val="000000" w:themeColor="text1"/>
                <w:spacing w:val="0"/>
                <w:w w:val="100"/>
                <w:kern w:val="21"/>
                <w:sz w:val="28"/>
                <w:szCs w:val="28"/>
                <w:lang w:eastAsia="zh-CN"/>
              </w:rPr>
              <w:t>（</w:t>
            </w:r>
            <w:r>
              <w:rPr>
                <w:rFonts w:hint="default" w:ascii="Times New Roman" w:hAnsi="Times New Roman" w:eastAsia="方正黑体简体" w:cs="Times New Roman"/>
                <w:b/>
                <w:bCs/>
                <w:snapToGrid/>
                <w:color w:val="000000" w:themeColor="text1"/>
                <w:spacing w:val="0"/>
                <w:w w:val="100"/>
                <w:kern w:val="21"/>
                <w:sz w:val="28"/>
                <w:szCs w:val="28"/>
              </w:rPr>
              <w:t>公顷）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洸河街道</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15.23</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0.85</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41.28</w:t>
            </w:r>
          </w:p>
        </w:tc>
        <w:tc>
          <w:tcPr>
            <w:tcW w:w="1824"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柳行街道</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560.64</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19.22</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858.89</w:t>
            </w:r>
          </w:p>
        </w:tc>
        <w:tc>
          <w:tcPr>
            <w:tcW w:w="1824"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黄屯街道</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2301.09</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40.49</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436.84</w:t>
            </w:r>
          </w:p>
        </w:tc>
        <w:tc>
          <w:tcPr>
            <w:tcW w:w="1824"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王因街道</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4462.98</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62.38</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441.37</w:t>
            </w:r>
          </w:p>
        </w:tc>
        <w:tc>
          <w:tcPr>
            <w:tcW w:w="1824"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17.56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接庄街道</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2827.64</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183.84</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1659.23</w:t>
            </w:r>
          </w:p>
        </w:tc>
        <w:tc>
          <w:tcPr>
            <w:tcW w:w="1824"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99.07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高新区</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10167.58</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306.78</w:t>
            </w:r>
          </w:p>
        </w:tc>
        <w:tc>
          <w:tcPr>
            <w:tcW w:w="1823"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3437.61</w:t>
            </w:r>
          </w:p>
        </w:tc>
        <w:tc>
          <w:tcPr>
            <w:tcW w:w="1824" w:type="dxa"/>
            <w:tcBorders>
              <w:tl2br w:val="nil"/>
              <w:tr2bl w:val="nil"/>
            </w:tcBorders>
            <w:vAlign w:val="center"/>
          </w:tcPr>
          <w:p>
            <w:pPr>
              <w:widowControl/>
              <w:spacing w:line="300" w:lineRule="exact"/>
              <w:jc w:val="center"/>
              <w:rPr>
                <w:rFonts w:hint="default" w:ascii="Times New Roman" w:hAnsi="Times New Roman" w:eastAsia="方正仿宋简体" w:cs="Times New Roman"/>
                <w:b/>
                <w:bCs/>
                <w:snapToGrid/>
                <w:color w:val="000000" w:themeColor="text1"/>
                <w:spacing w:val="0"/>
                <w:w w:val="100"/>
                <w:kern w:val="21"/>
                <w:sz w:val="28"/>
                <w:szCs w:val="28"/>
              </w:rPr>
            </w:pPr>
            <w:r>
              <w:rPr>
                <w:rFonts w:hint="default" w:ascii="Times New Roman" w:hAnsi="Times New Roman" w:eastAsia="方正仿宋简体" w:cs="Times New Roman"/>
                <w:b/>
                <w:bCs/>
                <w:snapToGrid/>
                <w:color w:val="000000" w:themeColor="text1"/>
                <w:spacing w:val="0"/>
                <w:w w:val="100"/>
                <w:kern w:val="21"/>
                <w:sz w:val="28"/>
                <w:szCs w:val="28"/>
              </w:rPr>
              <w:t>162.66</w:t>
            </w:r>
          </w:p>
        </w:tc>
      </w:tr>
    </w:tbl>
    <w:p>
      <w:pPr>
        <w:rPr>
          <w:rFonts w:ascii="宋体" w:hAnsi="宋体" w:cs="宋体"/>
          <w:b/>
          <w:bCs/>
          <w:snapToGrid/>
          <w:color w:val="000000" w:themeColor="text1"/>
          <w:spacing w:val="0"/>
          <w:w w:val="100"/>
          <w:kern w:val="21"/>
        </w:rPr>
      </w:pPr>
    </w:p>
    <w:p>
      <w:pPr>
        <w:rPr>
          <w:rFonts w:hint="eastAsia" w:ascii="Times New Roman" w:hAnsi="Times New Roman" w:eastAsia="方正黑体简体" w:cs="Times New Roman"/>
          <w:b/>
          <w:bCs/>
          <w:snapToGrid/>
          <w:color w:val="000000" w:themeColor="text1"/>
          <w:spacing w:val="0"/>
          <w:w w:val="100"/>
          <w:kern w:val="21"/>
          <w:sz w:val="32"/>
          <w:szCs w:val="32"/>
        </w:rPr>
      </w:pPr>
      <w:bookmarkStart w:id="82" w:name="_Toc120973247"/>
      <w:bookmarkStart w:id="83" w:name="_Toc30352"/>
      <w:r>
        <w:rPr>
          <w:rFonts w:hint="eastAsia" w:ascii="Times New Roman" w:hAnsi="Times New Roman" w:eastAsia="方正黑体简体" w:cs="Times New Roman"/>
          <w:b/>
          <w:bCs/>
          <w:snapToGrid/>
          <w:color w:val="000000" w:themeColor="text1"/>
          <w:spacing w:val="0"/>
          <w:w w:val="100"/>
          <w:kern w:val="21"/>
          <w:sz w:val="32"/>
          <w:szCs w:val="32"/>
        </w:rPr>
        <w:br w:type="page"/>
      </w:r>
    </w:p>
    <w:p>
      <w:pPr>
        <w:pStyle w:val="2"/>
        <w:keepNext w:val="0"/>
        <w:keepLines w:val="0"/>
        <w:overflowPunct w:val="0"/>
        <w:snapToGrid w:val="0"/>
        <w:spacing w:beforeLines="0" w:afterLines="0" w:line="560" w:lineRule="exact"/>
        <w:jc w:val="left"/>
        <w:rPr>
          <w:rFonts w:hint="eastAsia" w:ascii="Times New Roman" w:hAnsi="Times New Roman" w:eastAsia="方正黑体简体" w:cs="Times New Roman"/>
          <w:b/>
          <w:bCs/>
          <w:snapToGrid/>
          <w:color w:val="000000" w:themeColor="text1"/>
          <w:spacing w:val="0"/>
          <w:w w:val="100"/>
          <w:kern w:val="21"/>
          <w:sz w:val="32"/>
          <w:szCs w:val="32"/>
        </w:rPr>
      </w:pPr>
      <w:r>
        <w:rPr>
          <w:rFonts w:hint="eastAsia" w:ascii="Times New Roman" w:hAnsi="Times New Roman" w:eastAsia="方正黑体简体" w:cs="Times New Roman"/>
          <w:b/>
          <w:bCs/>
          <w:snapToGrid/>
          <w:color w:val="000000" w:themeColor="text1"/>
          <w:spacing w:val="0"/>
          <w:w w:val="100"/>
          <w:kern w:val="21"/>
          <w:sz w:val="32"/>
          <w:szCs w:val="32"/>
        </w:rPr>
        <w:t>附图1</w:t>
      </w:r>
      <w:r>
        <w:rPr>
          <w:rFonts w:hint="eastAsia" w:ascii="Times New Roman" w:hAnsi="Times New Roman" w:eastAsia="方正黑体简体" w:cs="Times New Roman"/>
          <w:b/>
          <w:bCs/>
          <w:snapToGrid/>
          <w:color w:val="000000" w:themeColor="text1"/>
          <w:spacing w:val="0"/>
          <w:w w:val="100"/>
          <w:kern w:val="21"/>
          <w:sz w:val="32"/>
          <w:szCs w:val="32"/>
          <w:lang w:val="en-US" w:eastAsia="zh-CN"/>
        </w:rPr>
        <w:t xml:space="preserve">  </w:t>
      </w:r>
      <w:r>
        <w:rPr>
          <w:rFonts w:hint="eastAsia" w:ascii="Times New Roman" w:hAnsi="Times New Roman" w:eastAsia="方正黑体简体" w:cs="Times New Roman"/>
          <w:b/>
          <w:bCs/>
          <w:snapToGrid/>
          <w:color w:val="000000" w:themeColor="text1"/>
          <w:spacing w:val="0"/>
          <w:w w:val="100"/>
          <w:kern w:val="21"/>
          <w:sz w:val="32"/>
          <w:szCs w:val="32"/>
        </w:rPr>
        <w:t>行政区划图</w:t>
      </w:r>
      <w:bookmarkEnd w:id="82"/>
      <w:bookmarkEnd w:id="83"/>
    </w:p>
    <w:p>
      <w:pPr>
        <w:rPr>
          <w:rFonts w:hint="eastAsia" w:ascii="Times New Roman" w:hAnsi="Times New Roman" w:eastAsia="方正黑体简体" w:cs="Times New Roman"/>
          <w:b/>
          <w:bCs/>
          <w:snapToGrid/>
          <w:color w:val="000000" w:themeColor="text1"/>
          <w:spacing w:val="0"/>
          <w:w w:val="100"/>
          <w:kern w:val="21"/>
          <w:sz w:val="32"/>
          <w:szCs w:val="32"/>
        </w:rPr>
      </w:pPr>
      <w:r>
        <w:rPr>
          <w:rFonts w:hint="eastAsia" w:ascii="Times New Roman" w:hAnsi="Times New Roman" w:eastAsia="方正黑体简体" w:cs="Times New Roman"/>
          <w:b/>
          <w:bCs/>
          <w:snapToGrid/>
          <w:color w:val="000000" w:themeColor="text1"/>
          <w:spacing w:val="0"/>
          <w:w w:val="100"/>
          <w:kern w:val="21"/>
          <w:sz w:val="32"/>
          <w:szCs w:val="32"/>
        </w:rPr>
        <w:drawing>
          <wp:anchor distT="0" distB="0" distL="114935" distR="114935" simplePos="0" relativeHeight="251664384" behindDoc="0" locked="0" layoutInCell="1" allowOverlap="1">
            <wp:simplePos x="0" y="0"/>
            <wp:positionH relativeFrom="column">
              <wp:posOffset>-419735</wp:posOffset>
            </wp:positionH>
            <wp:positionV relativeFrom="paragraph">
              <wp:posOffset>519430</wp:posOffset>
            </wp:positionV>
            <wp:extent cx="6466205" cy="5868035"/>
            <wp:effectExtent l="0" t="0" r="10795" b="184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6466205" cy="5868035"/>
                    </a:xfrm>
                    <a:prstGeom prst="rect">
                      <a:avLst/>
                    </a:prstGeom>
                    <a:noFill/>
                    <a:ln>
                      <a:noFill/>
                    </a:ln>
                  </pic:spPr>
                </pic:pic>
              </a:graphicData>
            </a:graphic>
          </wp:anchor>
        </w:drawing>
      </w:r>
      <w:r>
        <w:rPr>
          <w:rFonts w:hint="eastAsia" w:ascii="Times New Roman" w:hAnsi="Times New Roman" w:eastAsia="方正黑体简体" w:cs="Times New Roman"/>
          <w:b/>
          <w:bCs/>
          <w:snapToGrid/>
          <w:color w:val="000000" w:themeColor="text1"/>
          <w:spacing w:val="0"/>
          <w:w w:val="100"/>
          <w:kern w:val="21"/>
          <w:sz w:val="32"/>
          <w:szCs w:val="32"/>
        </w:rPr>
        <w:br w:type="page"/>
      </w:r>
    </w:p>
    <w:p>
      <w:pPr>
        <w:pStyle w:val="2"/>
        <w:keepNext w:val="0"/>
        <w:keepLines w:val="0"/>
        <w:overflowPunct w:val="0"/>
        <w:snapToGrid w:val="0"/>
        <w:spacing w:beforeLines="0" w:afterLines="0" w:line="560" w:lineRule="exact"/>
        <w:jc w:val="left"/>
        <w:rPr>
          <w:rFonts w:hint="eastAsia" w:ascii="Times New Roman" w:hAnsi="Times New Roman" w:eastAsia="方正黑体简体" w:cs="Times New Roman"/>
          <w:b/>
          <w:bCs/>
          <w:snapToGrid/>
          <w:color w:val="000000" w:themeColor="text1"/>
          <w:spacing w:val="0"/>
          <w:w w:val="100"/>
          <w:kern w:val="21"/>
          <w:sz w:val="32"/>
          <w:szCs w:val="32"/>
        </w:rPr>
      </w:pPr>
      <w:bookmarkStart w:id="84" w:name="_Toc2721"/>
      <w:bookmarkStart w:id="85" w:name="_Toc120973248"/>
      <w:r>
        <w:rPr>
          <w:rFonts w:hint="eastAsia" w:ascii="Times New Roman" w:hAnsi="Times New Roman" w:eastAsia="方正黑体简体" w:cs="Times New Roman"/>
          <w:b/>
          <w:bCs/>
          <w:snapToGrid/>
          <w:color w:val="000000" w:themeColor="text1"/>
          <w:spacing w:val="0"/>
          <w:w w:val="100"/>
          <w:kern w:val="21"/>
          <w:sz w:val="32"/>
          <w:szCs w:val="32"/>
        </w:rPr>
        <w:drawing>
          <wp:anchor distT="0" distB="0" distL="114935" distR="114935" simplePos="0" relativeHeight="251662336" behindDoc="0" locked="0" layoutInCell="1" allowOverlap="1">
            <wp:simplePos x="0" y="0"/>
            <wp:positionH relativeFrom="column">
              <wp:posOffset>-52070</wp:posOffset>
            </wp:positionH>
            <wp:positionV relativeFrom="paragraph">
              <wp:posOffset>558165</wp:posOffset>
            </wp:positionV>
            <wp:extent cx="5741035" cy="7173595"/>
            <wp:effectExtent l="0" t="0" r="12065" b="825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cstate="print"/>
                    <a:stretch>
                      <a:fillRect/>
                    </a:stretch>
                  </pic:blipFill>
                  <pic:spPr>
                    <a:xfrm>
                      <a:off x="0" y="0"/>
                      <a:ext cx="5741035" cy="7173595"/>
                    </a:xfrm>
                    <a:prstGeom prst="rect">
                      <a:avLst/>
                    </a:prstGeom>
                    <a:noFill/>
                    <a:ln>
                      <a:noFill/>
                    </a:ln>
                  </pic:spPr>
                </pic:pic>
              </a:graphicData>
            </a:graphic>
          </wp:anchor>
        </w:drawing>
      </w:r>
      <w:r>
        <w:rPr>
          <w:rFonts w:hint="eastAsia" w:ascii="Times New Roman" w:hAnsi="Times New Roman" w:eastAsia="方正黑体简体" w:cs="Times New Roman"/>
          <w:b/>
          <w:bCs/>
          <w:snapToGrid/>
          <w:color w:val="000000" w:themeColor="text1"/>
          <w:spacing w:val="0"/>
          <w:w w:val="100"/>
          <w:kern w:val="21"/>
          <w:sz w:val="32"/>
          <w:szCs w:val="32"/>
        </w:rPr>
        <w:t>附图2  水功能区划图</w:t>
      </w:r>
      <w:bookmarkEnd w:id="84"/>
      <w:bookmarkEnd w:id="85"/>
    </w:p>
    <w:p>
      <w:pPr>
        <w:rPr>
          <w:rFonts w:hint="eastAsia" w:ascii="Times New Roman" w:hAnsi="Times New Roman" w:eastAsia="方正黑体简体" w:cs="Times New Roman"/>
          <w:b/>
          <w:bCs/>
          <w:snapToGrid/>
          <w:color w:val="000000" w:themeColor="text1"/>
          <w:spacing w:val="0"/>
          <w:w w:val="100"/>
          <w:kern w:val="21"/>
          <w:sz w:val="32"/>
          <w:szCs w:val="32"/>
        </w:rPr>
      </w:pPr>
      <w:r>
        <w:rPr>
          <w:rFonts w:hint="eastAsia" w:ascii="Times New Roman" w:hAnsi="Times New Roman" w:eastAsia="方正黑体简体" w:cs="Times New Roman"/>
          <w:b/>
          <w:bCs/>
          <w:snapToGrid/>
          <w:color w:val="000000" w:themeColor="text1"/>
          <w:spacing w:val="0"/>
          <w:w w:val="100"/>
          <w:kern w:val="21"/>
          <w:sz w:val="32"/>
          <w:szCs w:val="32"/>
        </w:rPr>
        <w:br w:type="page"/>
      </w:r>
    </w:p>
    <w:p>
      <w:pPr>
        <w:pStyle w:val="2"/>
        <w:keepNext w:val="0"/>
        <w:keepLines w:val="0"/>
        <w:overflowPunct w:val="0"/>
        <w:snapToGrid w:val="0"/>
        <w:spacing w:beforeLines="0" w:afterLines="0" w:line="560" w:lineRule="exact"/>
        <w:jc w:val="left"/>
        <w:rPr>
          <w:rFonts w:hint="default" w:ascii="Times New Roman" w:hAnsi="Times New Roman" w:eastAsia="方正黑体简体" w:cs="Times New Roman"/>
          <w:b/>
          <w:bCs/>
          <w:snapToGrid/>
          <w:color w:val="000000" w:themeColor="text1"/>
          <w:spacing w:val="0"/>
          <w:w w:val="100"/>
          <w:kern w:val="21"/>
          <w:sz w:val="32"/>
          <w:szCs w:val="32"/>
        </w:rPr>
      </w:pPr>
      <w:r>
        <w:rPr>
          <w:b/>
          <w:bCs/>
          <w:snapToGrid/>
          <w:color w:val="000000" w:themeColor="text1"/>
          <w:spacing w:val="0"/>
          <w:w w:val="100"/>
          <w:kern w:val="21"/>
        </w:rPr>
        <w:drawing>
          <wp:anchor distT="0" distB="0" distL="114300" distR="114300" simplePos="0" relativeHeight="251663360" behindDoc="0" locked="0" layoutInCell="1" allowOverlap="1">
            <wp:simplePos x="0" y="0"/>
            <wp:positionH relativeFrom="column">
              <wp:posOffset>-104775</wp:posOffset>
            </wp:positionH>
            <wp:positionV relativeFrom="paragraph">
              <wp:posOffset>499110</wp:posOffset>
            </wp:positionV>
            <wp:extent cx="5905500" cy="7029450"/>
            <wp:effectExtent l="0" t="0" r="0" b="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cstate="print"/>
                    <a:stretch>
                      <a:fillRect/>
                    </a:stretch>
                  </pic:blipFill>
                  <pic:spPr>
                    <a:xfrm>
                      <a:off x="0" y="0"/>
                      <a:ext cx="5905500" cy="7029450"/>
                    </a:xfrm>
                    <a:prstGeom prst="rect">
                      <a:avLst/>
                    </a:prstGeom>
                    <a:noFill/>
                    <a:ln>
                      <a:noFill/>
                    </a:ln>
                  </pic:spPr>
                </pic:pic>
              </a:graphicData>
            </a:graphic>
          </wp:anchor>
        </w:drawing>
      </w:r>
      <w:r>
        <w:rPr>
          <w:rFonts w:hint="eastAsia" w:ascii="宋体" w:hAnsi="宋体" w:eastAsia="宋体" w:cs="宋体"/>
          <w:b/>
          <w:bCs/>
          <w:snapToGrid/>
          <w:color w:val="000000" w:themeColor="text1"/>
          <w:spacing w:val="0"/>
          <w:w w:val="100"/>
          <w:kern w:val="21"/>
          <w:sz w:val="30"/>
          <w:szCs w:val="30"/>
        </w:rPr>
        <w:br w:type="page"/>
      </w:r>
      <w:bookmarkStart w:id="86" w:name="_Toc27679"/>
      <w:bookmarkStart w:id="87" w:name="_Toc120973249"/>
      <w:r>
        <w:rPr>
          <w:rFonts w:hint="eastAsia" w:ascii="Times New Roman" w:hAnsi="Times New Roman" w:eastAsia="方正黑体简体" w:cs="Times New Roman"/>
          <w:b/>
          <w:bCs/>
          <w:snapToGrid/>
          <w:color w:val="000000" w:themeColor="text1"/>
          <w:spacing w:val="0"/>
          <w:w w:val="100"/>
          <w:kern w:val="21"/>
          <w:sz w:val="32"/>
          <w:szCs w:val="32"/>
        </w:rPr>
        <w:t xml:space="preserve">附图3  </w:t>
      </w:r>
      <w:bookmarkEnd w:id="86"/>
      <w:bookmarkEnd w:id="87"/>
      <w:r>
        <w:rPr>
          <w:rFonts w:hint="eastAsia" w:ascii="Times New Roman" w:hAnsi="Times New Roman" w:eastAsia="方正黑体简体" w:cs="Times New Roman"/>
          <w:b/>
          <w:bCs/>
          <w:snapToGrid/>
          <w:color w:val="000000" w:themeColor="text1"/>
          <w:spacing w:val="0"/>
          <w:w w:val="100"/>
          <w:kern w:val="21"/>
          <w:sz w:val="32"/>
          <w:szCs w:val="32"/>
        </w:rPr>
        <w:t>高新区土地利用现状图</w:t>
      </w:r>
    </w:p>
    <w:p>
      <w:pPr>
        <w:snapToGrid w:val="0"/>
        <w:spacing w:line="360" w:lineRule="auto"/>
        <w:jc w:val="center"/>
        <w:rPr>
          <w:rFonts w:ascii="宋体" w:hAnsi="宋体" w:cs="宋体"/>
          <w:b/>
          <w:bCs/>
          <w:snapToGrid/>
          <w:color w:val="000000" w:themeColor="text1"/>
          <w:spacing w:val="0"/>
          <w:w w:val="100"/>
          <w:kern w:val="21"/>
          <w:sz w:val="30"/>
          <w:szCs w:val="30"/>
        </w:rPr>
      </w:pPr>
      <w:r>
        <w:rPr>
          <w:rFonts w:hint="eastAsia" w:ascii="宋体" w:hAnsi="宋体" w:cs="宋体"/>
          <w:b/>
          <w:bCs/>
          <w:snapToGrid/>
          <w:color w:val="000000" w:themeColor="text1"/>
          <w:spacing w:val="0"/>
          <w:w w:val="100"/>
          <w:kern w:val="21"/>
          <w:sz w:val="30"/>
          <w:szCs w:val="30"/>
        </w:rPr>
        <w:drawing>
          <wp:inline distT="0" distB="0" distL="114300" distR="114300">
            <wp:extent cx="5347335" cy="7569200"/>
            <wp:effectExtent l="0" t="0" r="5715" b="12700"/>
            <wp:docPr id="9" name="图片 9" descr="土地利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土地利用图"/>
                    <pic:cNvPicPr>
                      <a:picLocks noChangeAspect="1"/>
                    </pic:cNvPicPr>
                  </pic:nvPicPr>
                  <pic:blipFill>
                    <a:blip r:embed="rId12" cstate="print"/>
                    <a:stretch>
                      <a:fillRect/>
                    </a:stretch>
                  </pic:blipFill>
                  <pic:spPr>
                    <a:xfrm>
                      <a:off x="0" y="0"/>
                      <a:ext cx="5347335" cy="7569200"/>
                    </a:xfrm>
                    <a:prstGeom prst="rect">
                      <a:avLst/>
                    </a:prstGeom>
                  </pic:spPr>
                </pic:pic>
              </a:graphicData>
            </a:graphic>
          </wp:inline>
        </w:drawing>
      </w:r>
    </w:p>
    <w:p>
      <w:pPr>
        <w:rPr>
          <w:rFonts w:ascii="宋体" w:hAnsi="宋体" w:cs="宋体"/>
          <w:b/>
          <w:bCs/>
          <w:snapToGrid/>
          <w:color w:val="000000" w:themeColor="text1"/>
          <w:spacing w:val="0"/>
          <w:w w:val="100"/>
          <w:kern w:val="21"/>
          <w:sz w:val="44"/>
          <w:szCs w:val="44"/>
        </w:rPr>
      </w:pPr>
      <w:bookmarkStart w:id="88" w:name="_Toc14597"/>
      <w:bookmarkStart w:id="89" w:name="_Toc120973250"/>
      <w:r>
        <w:rPr>
          <w:rFonts w:hint="eastAsia" w:ascii="宋体" w:hAnsi="宋体" w:cs="宋体"/>
          <w:b/>
          <w:bCs/>
          <w:snapToGrid/>
          <w:color w:val="000000" w:themeColor="text1"/>
          <w:spacing w:val="0"/>
          <w:w w:val="100"/>
          <w:kern w:val="21"/>
          <w:sz w:val="44"/>
          <w:szCs w:val="44"/>
        </w:rPr>
        <w:br w:type="page"/>
      </w:r>
    </w:p>
    <w:p>
      <w:pPr>
        <w:pStyle w:val="2"/>
        <w:keepNext w:val="0"/>
        <w:keepLines w:val="0"/>
        <w:overflowPunct w:val="0"/>
        <w:snapToGrid w:val="0"/>
        <w:spacing w:beforeLines="0" w:afterLines="0" w:line="560" w:lineRule="exact"/>
        <w:jc w:val="left"/>
        <w:rPr>
          <w:rFonts w:hint="default" w:ascii="Times New Roman" w:hAnsi="Times New Roman" w:eastAsia="方正黑体简体" w:cs="Times New Roman"/>
          <w:b/>
          <w:bCs/>
          <w:snapToGrid/>
          <w:color w:val="000000" w:themeColor="text1"/>
          <w:spacing w:val="0"/>
          <w:w w:val="100"/>
          <w:kern w:val="21"/>
          <w:sz w:val="32"/>
          <w:szCs w:val="32"/>
        </w:rPr>
      </w:pPr>
      <w:r>
        <w:rPr>
          <w:rFonts w:hint="eastAsia" w:ascii="Times New Roman" w:hAnsi="Times New Roman" w:eastAsia="方正黑体简体" w:cs="Times New Roman"/>
          <w:b/>
          <w:bCs/>
          <w:snapToGrid/>
          <w:color w:val="000000" w:themeColor="text1"/>
          <w:spacing w:val="0"/>
          <w:w w:val="100"/>
          <w:kern w:val="21"/>
          <w:sz w:val="32"/>
          <w:szCs w:val="32"/>
        </w:rPr>
        <w:t>附图4  禁养区范围图</w:t>
      </w:r>
      <w:bookmarkEnd w:id="88"/>
      <w:bookmarkEnd w:id="89"/>
    </w:p>
    <w:p>
      <w:pPr>
        <w:rPr>
          <w:rFonts w:ascii="宋体" w:hAnsi="宋体" w:cs="宋体"/>
          <w:b/>
          <w:bCs/>
          <w:snapToGrid/>
          <w:color w:val="000000" w:themeColor="text1"/>
          <w:spacing w:val="0"/>
          <w:w w:val="100"/>
          <w:kern w:val="21"/>
          <w:sz w:val="32"/>
          <w:szCs w:val="32"/>
        </w:rPr>
      </w:pPr>
      <w:r>
        <w:rPr>
          <w:rFonts w:ascii="方正仿宋简体" w:eastAsia="方正仿宋简体"/>
          <w:b/>
          <w:bCs/>
          <w:snapToGrid/>
          <w:color w:val="000000" w:themeColor="text1"/>
          <w:spacing w:val="0"/>
          <w:w w:val="100"/>
          <w:kern w:val="21"/>
          <w:sz w:val="32"/>
          <w:szCs w:val="32"/>
        </w:rPr>
        <w:drawing>
          <wp:anchor distT="0" distB="0" distL="114300" distR="114300" simplePos="0" relativeHeight="251661312" behindDoc="0" locked="0" layoutInCell="1" allowOverlap="1">
            <wp:simplePos x="0" y="0"/>
            <wp:positionH relativeFrom="column">
              <wp:posOffset>-13335</wp:posOffset>
            </wp:positionH>
            <wp:positionV relativeFrom="paragraph">
              <wp:posOffset>305435</wp:posOffset>
            </wp:positionV>
            <wp:extent cx="5474335" cy="6425565"/>
            <wp:effectExtent l="0" t="0" r="12065" b="13335"/>
            <wp:wrapNone/>
            <wp:docPr id="7" name="图片 7" descr="附件2 济宁高新区畜禽养殖禁养区范围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2 济宁高新区畜禽养殖禁养区范围图1"/>
                    <pic:cNvPicPr>
                      <a:picLocks noChangeAspect="1" noChangeArrowheads="1"/>
                    </pic:cNvPicPr>
                  </pic:nvPicPr>
                  <pic:blipFill>
                    <a:blip r:embed="rId13" cstate="print"/>
                    <a:srcRect/>
                    <a:stretch>
                      <a:fillRect/>
                    </a:stretch>
                  </pic:blipFill>
                  <pic:spPr>
                    <a:xfrm>
                      <a:off x="0" y="0"/>
                      <a:ext cx="5474335" cy="6425565"/>
                    </a:xfrm>
                    <a:prstGeom prst="rect">
                      <a:avLst/>
                    </a:prstGeom>
                    <a:noFill/>
                    <a:ln w="9525">
                      <a:noFill/>
                      <a:miter lim="800000"/>
                      <a:headEnd/>
                      <a:tailEnd/>
                    </a:ln>
                  </pic:spPr>
                </pic:pic>
              </a:graphicData>
            </a:graphic>
          </wp:anchor>
        </w:drawing>
      </w:r>
      <w:r>
        <w:rPr>
          <w:rFonts w:ascii="宋体" w:hAnsi="宋体" w:cs="宋体"/>
          <w:b/>
          <w:bCs/>
          <w:snapToGrid/>
          <w:color w:val="000000" w:themeColor="text1"/>
          <w:spacing w:val="0"/>
          <w:w w:val="100"/>
          <w:kern w:val="21"/>
          <w:sz w:val="32"/>
          <w:szCs w:val="32"/>
        </w:rPr>
        <w:br w:type="page"/>
      </w: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default" w:ascii="Times New Roman" w:hAnsi="Times New Roman" w:eastAsia="方正仿宋简体" w:cs="Times New Roman"/>
          <w:b/>
          <w:bCs/>
          <w:i w:val="0"/>
          <w:iCs w:val="0"/>
          <w:color w:val="000000"/>
          <w:spacing w:val="0"/>
          <w:kern w:val="21"/>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281" w:firstLineChars="100"/>
        <w:textAlignment w:val="auto"/>
        <w:rPr>
          <w:rFonts w:ascii="宋体" w:hAnsi="宋体" w:cs="宋体"/>
          <w:b/>
          <w:bCs/>
          <w:snapToGrid/>
          <w:color w:val="000000" w:themeColor="text1"/>
          <w:spacing w:val="0"/>
          <w:w w:val="100"/>
          <w:kern w:val="21"/>
          <w:sz w:val="32"/>
          <w:szCs w:val="32"/>
        </w:rPr>
      </w:pPr>
      <w:r>
        <w:rPr>
          <w:rFonts w:hint="eastAsia" w:ascii="方正仿宋简体" w:hAnsi="方正仿宋简体" w:eastAsia="方正仿宋简体" w:cs="方正仿宋简体"/>
          <w:b/>
          <w:bCs/>
          <w:color w:val="000000"/>
          <w:kern w:val="21"/>
          <w:sz w:val="28"/>
          <w:szCs w:val="28"/>
          <w:lang w:val="en-US" w:eastAsia="zh-CN"/>
        </w:rPr>
        <w:pict>
          <v:line id="直接连接符 3" o:spid="_x0000_s2054" o:spt="20" style="position:absolute;left:0pt;flip:y;margin-left:0.05pt;margin-top:31.35pt;height:0.15pt;width:441.9pt;z-index:251666432;mso-width-relative:page;mso-height-relative:page;" filled="f" stroked="t" coordsize="21600,21600" o:gfxdata="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jHSt1gAAAAYBAAAPAAAAAAAAAAEAIAAAACIAAABkcnMvZG93&#10;bnJldi54bWxQSwECFAAUAAAACACHTuJAQA76vgICAAD/AwAADgAAAAAAAAABACAAAAAlAQAAZHJz&#10;L2Uyb0RvYy54bWxQSwUGAAAAAAYABgBZAQAAmQUAAAAA&#10;">
            <v:path arrowok="t"/>
            <v:fill on="f" focussize="0,0"/>
            <v:stroke weight="0.5pt" joinstyle="round"/>
            <v:imagedata o:title=""/>
            <o:lock v:ext="edit" aspectratio="f"/>
          </v:line>
        </w:pict>
      </w:r>
      <w:r>
        <w:rPr>
          <w:rFonts w:hint="eastAsia" w:ascii="方正仿宋简体" w:hAnsi="方正仿宋简体" w:eastAsia="方正仿宋简体" w:cs="方正仿宋简体"/>
          <w:b/>
          <w:bCs/>
          <w:color w:val="000000"/>
          <w:kern w:val="21"/>
          <w:sz w:val="28"/>
          <w:szCs w:val="28"/>
          <w:lang w:val="en-US" w:eastAsia="zh-CN"/>
        </w:rPr>
        <w:pict>
          <v:line id="直接连接符 2" o:spid="_x0000_s2061" o:spt="20" style="position:absolute;left:0pt;margin-left:-0.1pt;margin-top:2.45pt;height:0.25pt;width:442.5pt;z-index:251667456;mso-width-relative:page;mso-height-relative:page;" filled="f" stroked="t" coordsize="21600,21600" o:gfxdata="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sFqdMAAAAFAQAADwAAAAAAAAABACAAAAAiAAAAZHJzL2Rvd25yZXYueG1sUEsB&#10;AhQAFAAAAAgAh07iQLku7Or6AQAA9QMAAA4AAAAAAAAAAQAgAAAAIgEAAGRycy9lMm9Eb2MueG1s&#10;UEsFBgAAAAAGAAYAWQEAAI4FAAAAAA==&#10;">
            <v:path arrowok="t"/>
            <v:fill on="f" focussize="0,0"/>
            <v:stroke weight="0.5pt" joinstyle="round"/>
            <v:imagedata o:title=""/>
            <o:lock v:ext="edit" aspectratio="f"/>
          </v:line>
        </w:pict>
      </w:r>
      <w:r>
        <w:rPr>
          <w:rFonts w:hint="eastAsia" w:ascii="方正仿宋简体" w:hAnsi="方正仿宋简体" w:eastAsia="方正仿宋简体" w:cs="方正仿宋简体"/>
          <w:b/>
          <w:bCs/>
          <w:color w:val="000000"/>
          <w:kern w:val="21"/>
          <w:sz w:val="28"/>
          <w:szCs w:val="28"/>
          <w:lang w:val="en-US" w:eastAsia="zh-CN"/>
        </w:rPr>
        <w:t>济宁高新区管委会办公室                 2023年6月29日印发</w:t>
      </w:r>
    </w:p>
    <w:sectPr>
      <w:footerReference r:id="rId6" w:type="even"/>
      <w:pgSz w:w="11906" w:h="16838"/>
      <w:pgMar w:top="2098" w:right="1474" w:bottom="1984" w:left="1587" w:header="1134" w:footer="1587"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FDB4106-4D4A-40E0-B030-DB9B6D1680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408B85E5-306B-4A69-A9D9-6E0771885360}"/>
  </w:font>
  <w:font w:name="文星标宋">
    <w:altName w:val="微软雅黑"/>
    <w:panose1 w:val="00000000000000000000"/>
    <w:charset w:val="86"/>
    <w:family w:val="auto"/>
    <w:pitch w:val="default"/>
    <w:sig w:usb0="00000000" w:usb1="00000000" w:usb2="00000000" w:usb3="00000000" w:csb0="00040000" w:csb1="00000000"/>
  </w:font>
  <w:font w:name="方正仿宋简体">
    <w:panose1 w:val="02010601030101010101"/>
    <w:charset w:val="86"/>
    <w:family w:val="script"/>
    <w:pitch w:val="default"/>
    <w:sig w:usb0="00000001" w:usb1="080E0000" w:usb2="00000000" w:usb3="00000000" w:csb0="00040000" w:csb1="00000000"/>
  </w:font>
  <w:font w:name="文星仿宋">
    <w:altName w:val="仿宋"/>
    <w:panose1 w:val="00000000000000000000"/>
    <w:charset w:val="86"/>
    <w:family w:val="auto"/>
    <w:pitch w:val="default"/>
    <w:sig w:usb0="00000000" w:usb1="00000000" w:usb2="00000000" w:usb3="00000000" w:csb0="00040001" w:csb1="00000000"/>
  </w:font>
  <w:font w:name="方正小标宋简体">
    <w:panose1 w:val="02010601030101010101"/>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_GBK">
    <w:panose1 w:val="02000000000000000000"/>
    <w:charset w:val="86"/>
    <w:family w:val="auto"/>
    <w:pitch w:val="default"/>
    <w:sig w:usb0="800002BF" w:usb1="38CF7CFA" w:usb2="00000016" w:usb3="00000000" w:csb0="00040000" w:csb1="00000000"/>
    <w:embedRegular r:id="rId3" w:fontKey="{5BAE668F-D5F1-4C8E-BFCD-C2B8862251ED}"/>
  </w:font>
  <w:font w:name="方正楷体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eastAsia="方正小标宋简体"/>
        <w:sz w:val="28"/>
        <w:szCs w:val="28"/>
      </w:rPr>
    </w:pPr>
    <w:r>
      <w:rPr>
        <w:sz w:val="28"/>
      </w:rPr>
      <w:pict>
        <v:shape id="_x0000_s3073" o:spid="_x0000_s3073" o:spt="202" type="#_x0000_t202" style="position:absolute;left:0pt;margin-top:6.3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eastAsia="方正小标宋简体"/>
        <w:sz w:val="28"/>
        <w:szCs w:val="28"/>
      </w:rPr>
    </w:pPr>
    <w:r>
      <w:rPr>
        <w:sz w:val="28"/>
      </w:rPr>
      <w:pict>
        <v:shape id="_x0000_s3074" o:spid="_x0000_s3074" o:spt="202" type="#_x0000_t202" style="position:absolute;left:0pt;margin-left:0pt;margin-top:0pt;height:11.55pt;width:22.2pt;mso-position-horizontal-relative:margin;z-index:251659264;mso-width-relative:page;mso-height-relative:page;" filled="f" stroked="f" coordsize="21600,21600" o:gfxdata="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a+tPXTAAAAAwEAAA8AAAAAAAAAAQAgAAAAIgAAAGRycy9kb3ducmV2LnhtbFBL&#10;AQIUABQAAAAIAIdO4kB/7z0WNAIAAFcEAAAOAAAAAAAAAAEAIAAAACIBAABkcnMvZTJvRG9jLnht&#10;bFBLBQYAAAAABgAGAFkBAADIBQAAAAA=&#10;">
          <v:path/>
          <v:fill on="f" focussize="0,0"/>
          <v:stroke on="f" weight="0.5pt" joinstyle="miter"/>
          <v:imagedata o:title=""/>
          <o:lock v:ext="edit"/>
          <v:textbox inset="0mm,0mm,0mm,0mm">
            <w:txbxContent>
              <w:p>
                <w:pPr>
                  <w:pStyle w:val="13"/>
                  <w:rPr>
                    <w:rFonts w:hint="eastAsia" w:eastAsia="宋体"/>
                    <w:lang w:eastAsia="zh-CN"/>
                  </w:rPr>
                </w:pPr>
                <w:r>
                  <w:rPr>
                    <w:rFonts w:hint="eastAsia"/>
                    <w:lang w:eastAsia="zh-CN"/>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30</w:t>
                </w:r>
                <w:r>
                  <w:rPr>
                    <w:sz w:val="24"/>
                    <w:szCs w:val="24"/>
                  </w:rPr>
                  <w:fldChar w:fldCharType="end"/>
                </w:r>
                <w:r>
                  <w:rPr>
                    <w:rFonts w:hint="eastAsia"/>
                    <w:sz w:val="24"/>
                    <w:szCs w:val="24"/>
                    <w:lang w:eastAsia="zh-CN"/>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8"/>
        <w:szCs w:val="28"/>
      </w:rPr>
    </w:pPr>
    <w:r>
      <w:rPr>
        <w:sz w:val="28"/>
      </w:rPr>
      <w:pict>
        <v:shape id="_x0000_s3075" o:spid="_x0000_s3075" o:spt="202" type="#_x0000_t202" style="position:absolute;left:0pt;margin-left:-1.5pt;margin-top:0pt;height:144pt;width:144pt;mso-position-horizontal-relative:margin;mso-wrap-style:none;z-index:251660288;mso-width-relative:page;mso-height-relative:page;" filled="f" stroked="f" coordsize="21600,21600" o:gfxdata="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ZplPjUAAAABwEAAA8AAAAAAAAAAQAgAAAAIgAAAGRycy9kb3ducmV2LnhtbFBLAQIUABQA&#10;AAAIAIdO4kB7nbjDLQIAAFcEAAAOAAAAAAAAAAEAIAAAACMBAABkcnMvZTJvRG9jLnhtbFBLBQYA&#10;AAAABgAGAFkBAADCBQAAAAA=&#10;">
          <v:path/>
          <v:fill on="f" focussize="0,0"/>
          <v:stroke on="f" weight="0.5pt" joinstyle="miter"/>
          <v:imagedata o:title=""/>
          <o:lock v:ext="edit"/>
          <v:textbox inset="0mm,0mm,0mm,0mm" style="mso-fit-shape-to-text:t;">
            <w:txbxContent>
              <w:p>
                <w:pPr>
                  <w:pStyle w:val="13"/>
                  <w:rPr>
                    <w:rFonts w:hint="eastAsia" w:eastAsia="宋体"/>
                    <w:lang w:eastAsia="zh-CN"/>
                  </w:rPr>
                </w:pPr>
                <w:r>
                  <w:rPr>
                    <w:rFonts w:hint="eastAsia"/>
                    <w:lang w:eastAsia="zh-CN"/>
                  </w:rPr>
                  <w:t>—</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36</w:t>
                </w:r>
                <w:r>
                  <w:rPr>
                    <w:sz w:val="24"/>
                    <w:szCs w:val="24"/>
                  </w:rPr>
                  <w:fldChar w:fldCharType="end"/>
                </w:r>
                <w:r>
                  <w:rPr>
                    <w:rFonts w:hint="eastAsia"/>
                    <w:lang w:eastAsia="zh-CN"/>
                  </w:rPr>
                  <w:t>—</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916140"/>
    <w:multiLevelType w:val="singleLevel"/>
    <w:tmpl w:val="A6916140"/>
    <w:lvl w:ilvl="0" w:tentative="0">
      <w:start w:val="1"/>
      <w:numFmt w:val="decimal"/>
      <w:suff w:val="space"/>
      <w:lvlText w:val="%1."/>
      <w:lvlJc w:val="left"/>
    </w:lvl>
  </w:abstractNum>
  <w:abstractNum w:abstractNumId="1">
    <w:nsid w:val="0FFFFF7D"/>
    <w:multiLevelType w:val="singleLevel"/>
    <w:tmpl w:val="0FFFFF7D"/>
    <w:lvl w:ilvl="0" w:tentative="0">
      <w:start w:val="1"/>
      <w:numFmt w:val="decimal"/>
      <w:pStyle w:val="73"/>
      <w:lvlText w:val="%1."/>
      <w:lvlJc w:val="left"/>
      <w:pPr>
        <w:tabs>
          <w:tab w:val="left" w:pos="1620"/>
        </w:tabs>
        <w:ind w:left="1620" w:hanging="360"/>
      </w:pPr>
    </w:lvl>
  </w:abstractNum>
  <w:abstractNum w:abstractNumId="2">
    <w:nsid w:val="6F854B1A"/>
    <w:multiLevelType w:val="singleLevel"/>
    <w:tmpl w:val="6F854B1A"/>
    <w:lvl w:ilvl="0" w:tentative="0">
      <w:start w:val="1"/>
      <w:numFmt w:val="bullet"/>
      <w:pStyle w:val="7"/>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1"/>
  <w:bordersDoNotSurroundFooter w:val="1"/>
  <w:documentProtection w:enforcement="0"/>
  <w:defaultTabStop w:val="419"/>
  <w:drawingGridHorizontalSpacing w:val="210"/>
  <w:drawingGridVerticalSpacing w:val="158"/>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ViOGNlYWViOTBiMmNjNWNiZjZiNjhkN2M2ZDYwMjkifQ=="/>
  </w:docVars>
  <w:rsids>
    <w:rsidRoot w:val="00172A27"/>
    <w:rsid w:val="0000782D"/>
    <w:rsid w:val="000103E8"/>
    <w:rsid w:val="000119C2"/>
    <w:rsid w:val="00012324"/>
    <w:rsid w:val="00013FFD"/>
    <w:rsid w:val="00016884"/>
    <w:rsid w:val="000207D7"/>
    <w:rsid w:val="00021122"/>
    <w:rsid w:val="00022AFD"/>
    <w:rsid w:val="00022D94"/>
    <w:rsid w:val="00022E9A"/>
    <w:rsid w:val="00024034"/>
    <w:rsid w:val="000259C9"/>
    <w:rsid w:val="00031550"/>
    <w:rsid w:val="00035B33"/>
    <w:rsid w:val="00037A48"/>
    <w:rsid w:val="0004082C"/>
    <w:rsid w:val="00043B20"/>
    <w:rsid w:val="000456D2"/>
    <w:rsid w:val="000469B7"/>
    <w:rsid w:val="000469F4"/>
    <w:rsid w:val="00046D45"/>
    <w:rsid w:val="00047DE3"/>
    <w:rsid w:val="00047FD2"/>
    <w:rsid w:val="00053AFA"/>
    <w:rsid w:val="0005659C"/>
    <w:rsid w:val="00056AC3"/>
    <w:rsid w:val="0007353A"/>
    <w:rsid w:val="00076EF2"/>
    <w:rsid w:val="00076FD3"/>
    <w:rsid w:val="00077C9D"/>
    <w:rsid w:val="0008050F"/>
    <w:rsid w:val="00086302"/>
    <w:rsid w:val="000863EC"/>
    <w:rsid w:val="00087376"/>
    <w:rsid w:val="00087A87"/>
    <w:rsid w:val="00095B80"/>
    <w:rsid w:val="00097190"/>
    <w:rsid w:val="00097472"/>
    <w:rsid w:val="0009757F"/>
    <w:rsid w:val="000A4463"/>
    <w:rsid w:val="000A76B1"/>
    <w:rsid w:val="000A7B4E"/>
    <w:rsid w:val="000B1E4A"/>
    <w:rsid w:val="000B60B9"/>
    <w:rsid w:val="000B7224"/>
    <w:rsid w:val="000B7683"/>
    <w:rsid w:val="000C5E77"/>
    <w:rsid w:val="000C72B8"/>
    <w:rsid w:val="000D0F53"/>
    <w:rsid w:val="000D39DC"/>
    <w:rsid w:val="000D6DB8"/>
    <w:rsid w:val="000E0734"/>
    <w:rsid w:val="000E34E5"/>
    <w:rsid w:val="000E5CB7"/>
    <w:rsid w:val="000E655A"/>
    <w:rsid w:val="000E6BB7"/>
    <w:rsid w:val="000F0AC6"/>
    <w:rsid w:val="000F0E6C"/>
    <w:rsid w:val="000F1F72"/>
    <w:rsid w:val="000F1FC6"/>
    <w:rsid w:val="000F3271"/>
    <w:rsid w:val="000F6C25"/>
    <w:rsid w:val="00102C4D"/>
    <w:rsid w:val="00105232"/>
    <w:rsid w:val="001057C7"/>
    <w:rsid w:val="00110D64"/>
    <w:rsid w:val="00116548"/>
    <w:rsid w:val="00117656"/>
    <w:rsid w:val="0012258A"/>
    <w:rsid w:val="0012476B"/>
    <w:rsid w:val="001263F0"/>
    <w:rsid w:val="0013450C"/>
    <w:rsid w:val="00134926"/>
    <w:rsid w:val="001369A4"/>
    <w:rsid w:val="00140FAB"/>
    <w:rsid w:val="00145228"/>
    <w:rsid w:val="00146F3A"/>
    <w:rsid w:val="0015043B"/>
    <w:rsid w:val="00151802"/>
    <w:rsid w:val="00151F12"/>
    <w:rsid w:val="00157273"/>
    <w:rsid w:val="00157A24"/>
    <w:rsid w:val="00160851"/>
    <w:rsid w:val="0016277F"/>
    <w:rsid w:val="00162B02"/>
    <w:rsid w:val="00162BA2"/>
    <w:rsid w:val="00163304"/>
    <w:rsid w:val="00165A98"/>
    <w:rsid w:val="00171572"/>
    <w:rsid w:val="001722A2"/>
    <w:rsid w:val="00172A27"/>
    <w:rsid w:val="00173EF6"/>
    <w:rsid w:val="00175947"/>
    <w:rsid w:val="00175B5C"/>
    <w:rsid w:val="00177DEE"/>
    <w:rsid w:val="001812C0"/>
    <w:rsid w:val="00183554"/>
    <w:rsid w:val="00184D12"/>
    <w:rsid w:val="00184FE5"/>
    <w:rsid w:val="001850AB"/>
    <w:rsid w:val="001851C0"/>
    <w:rsid w:val="00186835"/>
    <w:rsid w:val="00186F6A"/>
    <w:rsid w:val="001924B7"/>
    <w:rsid w:val="001933D9"/>
    <w:rsid w:val="00193638"/>
    <w:rsid w:val="0019596B"/>
    <w:rsid w:val="00195CC5"/>
    <w:rsid w:val="00197284"/>
    <w:rsid w:val="001A252B"/>
    <w:rsid w:val="001B166B"/>
    <w:rsid w:val="001B211C"/>
    <w:rsid w:val="001B299E"/>
    <w:rsid w:val="001B3111"/>
    <w:rsid w:val="001B4363"/>
    <w:rsid w:val="001B4EB0"/>
    <w:rsid w:val="001C5733"/>
    <w:rsid w:val="001D177C"/>
    <w:rsid w:val="001D5D24"/>
    <w:rsid w:val="001D5F80"/>
    <w:rsid w:val="001D648C"/>
    <w:rsid w:val="001D6A40"/>
    <w:rsid w:val="001D7976"/>
    <w:rsid w:val="001E374A"/>
    <w:rsid w:val="001E4BD1"/>
    <w:rsid w:val="001E7A5A"/>
    <w:rsid w:val="001F64DA"/>
    <w:rsid w:val="00200E09"/>
    <w:rsid w:val="00201B2B"/>
    <w:rsid w:val="00201EC0"/>
    <w:rsid w:val="002044AF"/>
    <w:rsid w:val="0020616F"/>
    <w:rsid w:val="00207241"/>
    <w:rsid w:val="00207252"/>
    <w:rsid w:val="002101BD"/>
    <w:rsid w:val="00210257"/>
    <w:rsid w:val="00213196"/>
    <w:rsid w:val="002207B2"/>
    <w:rsid w:val="00223311"/>
    <w:rsid w:val="002247F0"/>
    <w:rsid w:val="002251A4"/>
    <w:rsid w:val="00225547"/>
    <w:rsid w:val="002276DD"/>
    <w:rsid w:val="00230748"/>
    <w:rsid w:val="00230F2A"/>
    <w:rsid w:val="002323FC"/>
    <w:rsid w:val="0023343E"/>
    <w:rsid w:val="002348F1"/>
    <w:rsid w:val="00236003"/>
    <w:rsid w:val="002365B5"/>
    <w:rsid w:val="0023798A"/>
    <w:rsid w:val="002415FF"/>
    <w:rsid w:val="0024499F"/>
    <w:rsid w:val="00246246"/>
    <w:rsid w:val="00250042"/>
    <w:rsid w:val="00251F1F"/>
    <w:rsid w:val="0025481D"/>
    <w:rsid w:val="00260D3E"/>
    <w:rsid w:val="0026166F"/>
    <w:rsid w:val="00262F3C"/>
    <w:rsid w:val="00265073"/>
    <w:rsid w:val="0026700F"/>
    <w:rsid w:val="00272132"/>
    <w:rsid w:val="002767FC"/>
    <w:rsid w:val="0028281A"/>
    <w:rsid w:val="00282BD8"/>
    <w:rsid w:val="00284B1C"/>
    <w:rsid w:val="00285541"/>
    <w:rsid w:val="00285FEC"/>
    <w:rsid w:val="00287291"/>
    <w:rsid w:val="0028778F"/>
    <w:rsid w:val="00290E54"/>
    <w:rsid w:val="00292705"/>
    <w:rsid w:val="00294C1D"/>
    <w:rsid w:val="0029532B"/>
    <w:rsid w:val="002A09E0"/>
    <w:rsid w:val="002A13C8"/>
    <w:rsid w:val="002A2842"/>
    <w:rsid w:val="002A3739"/>
    <w:rsid w:val="002A3778"/>
    <w:rsid w:val="002A7C8C"/>
    <w:rsid w:val="002A7D40"/>
    <w:rsid w:val="002B189C"/>
    <w:rsid w:val="002B1D99"/>
    <w:rsid w:val="002B2465"/>
    <w:rsid w:val="002B3095"/>
    <w:rsid w:val="002B451D"/>
    <w:rsid w:val="002B624E"/>
    <w:rsid w:val="002B7E75"/>
    <w:rsid w:val="002C006F"/>
    <w:rsid w:val="002C02D0"/>
    <w:rsid w:val="002C21A7"/>
    <w:rsid w:val="002C2CAB"/>
    <w:rsid w:val="002C4D5F"/>
    <w:rsid w:val="002D16CB"/>
    <w:rsid w:val="002D40E8"/>
    <w:rsid w:val="002D4EC2"/>
    <w:rsid w:val="002D6D8B"/>
    <w:rsid w:val="002E0329"/>
    <w:rsid w:val="002E2C95"/>
    <w:rsid w:val="002E2DDB"/>
    <w:rsid w:val="002E3121"/>
    <w:rsid w:val="002E641E"/>
    <w:rsid w:val="002F0F33"/>
    <w:rsid w:val="002F2F50"/>
    <w:rsid w:val="002F5BBC"/>
    <w:rsid w:val="002F77AD"/>
    <w:rsid w:val="00301EF5"/>
    <w:rsid w:val="003027C8"/>
    <w:rsid w:val="003039FC"/>
    <w:rsid w:val="0031352E"/>
    <w:rsid w:val="00313CD5"/>
    <w:rsid w:val="003155F8"/>
    <w:rsid w:val="00316671"/>
    <w:rsid w:val="0032051C"/>
    <w:rsid w:val="003219FD"/>
    <w:rsid w:val="00326F49"/>
    <w:rsid w:val="00327676"/>
    <w:rsid w:val="00330371"/>
    <w:rsid w:val="0033037F"/>
    <w:rsid w:val="00335CA5"/>
    <w:rsid w:val="003362BA"/>
    <w:rsid w:val="00343CD7"/>
    <w:rsid w:val="003451FA"/>
    <w:rsid w:val="00345CDC"/>
    <w:rsid w:val="00347CEE"/>
    <w:rsid w:val="003500C6"/>
    <w:rsid w:val="00351C58"/>
    <w:rsid w:val="003537E5"/>
    <w:rsid w:val="00353A89"/>
    <w:rsid w:val="00355FA8"/>
    <w:rsid w:val="003562A0"/>
    <w:rsid w:val="003618E1"/>
    <w:rsid w:val="0036577D"/>
    <w:rsid w:val="00366077"/>
    <w:rsid w:val="0037001A"/>
    <w:rsid w:val="0037185D"/>
    <w:rsid w:val="00372E89"/>
    <w:rsid w:val="0037321A"/>
    <w:rsid w:val="00375A4E"/>
    <w:rsid w:val="00377329"/>
    <w:rsid w:val="003775B7"/>
    <w:rsid w:val="00377E30"/>
    <w:rsid w:val="0038161D"/>
    <w:rsid w:val="00382A99"/>
    <w:rsid w:val="00383EC2"/>
    <w:rsid w:val="00385880"/>
    <w:rsid w:val="0039230B"/>
    <w:rsid w:val="0039256C"/>
    <w:rsid w:val="0039275F"/>
    <w:rsid w:val="00392813"/>
    <w:rsid w:val="00393078"/>
    <w:rsid w:val="003962BA"/>
    <w:rsid w:val="0039660A"/>
    <w:rsid w:val="003970F2"/>
    <w:rsid w:val="003A2A6C"/>
    <w:rsid w:val="003A335D"/>
    <w:rsid w:val="003A6D23"/>
    <w:rsid w:val="003B03DF"/>
    <w:rsid w:val="003B1B3D"/>
    <w:rsid w:val="003B7557"/>
    <w:rsid w:val="003B768C"/>
    <w:rsid w:val="003B7D09"/>
    <w:rsid w:val="003C00A4"/>
    <w:rsid w:val="003C14AF"/>
    <w:rsid w:val="003C1B23"/>
    <w:rsid w:val="003C252F"/>
    <w:rsid w:val="003C7DC3"/>
    <w:rsid w:val="003D0C0C"/>
    <w:rsid w:val="003D1330"/>
    <w:rsid w:val="003D1547"/>
    <w:rsid w:val="003E2E0E"/>
    <w:rsid w:val="003E397F"/>
    <w:rsid w:val="003E40AB"/>
    <w:rsid w:val="003E43C5"/>
    <w:rsid w:val="003F104C"/>
    <w:rsid w:val="003F22C7"/>
    <w:rsid w:val="00400972"/>
    <w:rsid w:val="00404E3A"/>
    <w:rsid w:val="0040694C"/>
    <w:rsid w:val="004152F8"/>
    <w:rsid w:val="00415FCF"/>
    <w:rsid w:val="00417294"/>
    <w:rsid w:val="00420700"/>
    <w:rsid w:val="00422786"/>
    <w:rsid w:val="00425685"/>
    <w:rsid w:val="00425EBD"/>
    <w:rsid w:val="00426D7C"/>
    <w:rsid w:val="004273ED"/>
    <w:rsid w:val="00431CC0"/>
    <w:rsid w:val="00436211"/>
    <w:rsid w:val="004412B5"/>
    <w:rsid w:val="0044428D"/>
    <w:rsid w:val="00454566"/>
    <w:rsid w:val="00454670"/>
    <w:rsid w:val="0045630D"/>
    <w:rsid w:val="00456D0C"/>
    <w:rsid w:val="00456F0C"/>
    <w:rsid w:val="00461775"/>
    <w:rsid w:val="004646B3"/>
    <w:rsid w:val="004651AD"/>
    <w:rsid w:val="00466981"/>
    <w:rsid w:val="0047224E"/>
    <w:rsid w:val="00473209"/>
    <w:rsid w:val="0047500C"/>
    <w:rsid w:val="00477C24"/>
    <w:rsid w:val="00480010"/>
    <w:rsid w:val="00483F69"/>
    <w:rsid w:val="0048548A"/>
    <w:rsid w:val="004873A1"/>
    <w:rsid w:val="004901AE"/>
    <w:rsid w:val="00494112"/>
    <w:rsid w:val="00494864"/>
    <w:rsid w:val="004973B7"/>
    <w:rsid w:val="004A06E7"/>
    <w:rsid w:val="004A0A72"/>
    <w:rsid w:val="004A1E51"/>
    <w:rsid w:val="004A2B67"/>
    <w:rsid w:val="004A3DA3"/>
    <w:rsid w:val="004B06C1"/>
    <w:rsid w:val="004B14E5"/>
    <w:rsid w:val="004B2A11"/>
    <w:rsid w:val="004B2C84"/>
    <w:rsid w:val="004B40CC"/>
    <w:rsid w:val="004B5BDC"/>
    <w:rsid w:val="004B678D"/>
    <w:rsid w:val="004B6A3F"/>
    <w:rsid w:val="004B711C"/>
    <w:rsid w:val="004B738E"/>
    <w:rsid w:val="004C0208"/>
    <w:rsid w:val="004D0815"/>
    <w:rsid w:val="004D2CDD"/>
    <w:rsid w:val="004D2E5E"/>
    <w:rsid w:val="004D5055"/>
    <w:rsid w:val="004D50C5"/>
    <w:rsid w:val="004D5368"/>
    <w:rsid w:val="004D5800"/>
    <w:rsid w:val="004D5AFC"/>
    <w:rsid w:val="004D7012"/>
    <w:rsid w:val="004E06F2"/>
    <w:rsid w:val="004E27CE"/>
    <w:rsid w:val="004E4376"/>
    <w:rsid w:val="004E64BD"/>
    <w:rsid w:val="004E7AE1"/>
    <w:rsid w:val="004F2EAC"/>
    <w:rsid w:val="004F426E"/>
    <w:rsid w:val="004F79FA"/>
    <w:rsid w:val="005014A0"/>
    <w:rsid w:val="00507839"/>
    <w:rsid w:val="005107C7"/>
    <w:rsid w:val="005170BB"/>
    <w:rsid w:val="00517831"/>
    <w:rsid w:val="00517D6F"/>
    <w:rsid w:val="00520416"/>
    <w:rsid w:val="0052301A"/>
    <w:rsid w:val="00523DBF"/>
    <w:rsid w:val="00524606"/>
    <w:rsid w:val="005260CC"/>
    <w:rsid w:val="00526246"/>
    <w:rsid w:val="005276E2"/>
    <w:rsid w:val="00527CB2"/>
    <w:rsid w:val="0053223A"/>
    <w:rsid w:val="00535771"/>
    <w:rsid w:val="00535836"/>
    <w:rsid w:val="00546B88"/>
    <w:rsid w:val="00547784"/>
    <w:rsid w:val="0055226B"/>
    <w:rsid w:val="005523A5"/>
    <w:rsid w:val="00552C52"/>
    <w:rsid w:val="00554393"/>
    <w:rsid w:val="00555141"/>
    <w:rsid w:val="005572B8"/>
    <w:rsid w:val="005602F0"/>
    <w:rsid w:val="00560AAC"/>
    <w:rsid w:val="0056194F"/>
    <w:rsid w:val="00562FB9"/>
    <w:rsid w:val="00563CBC"/>
    <w:rsid w:val="00574838"/>
    <w:rsid w:val="005759C5"/>
    <w:rsid w:val="00580223"/>
    <w:rsid w:val="00581079"/>
    <w:rsid w:val="00582A1F"/>
    <w:rsid w:val="0058371A"/>
    <w:rsid w:val="00584E7A"/>
    <w:rsid w:val="00584F36"/>
    <w:rsid w:val="00586C1B"/>
    <w:rsid w:val="005904D5"/>
    <w:rsid w:val="00591D08"/>
    <w:rsid w:val="00591E98"/>
    <w:rsid w:val="005925E0"/>
    <w:rsid w:val="005926DC"/>
    <w:rsid w:val="00594068"/>
    <w:rsid w:val="005957D1"/>
    <w:rsid w:val="005965B3"/>
    <w:rsid w:val="00597A9B"/>
    <w:rsid w:val="005A503C"/>
    <w:rsid w:val="005A5073"/>
    <w:rsid w:val="005A5CBD"/>
    <w:rsid w:val="005A5FC6"/>
    <w:rsid w:val="005A7D50"/>
    <w:rsid w:val="005B2E36"/>
    <w:rsid w:val="005B32F7"/>
    <w:rsid w:val="005B33C3"/>
    <w:rsid w:val="005B3C22"/>
    <w:rsid w:val="005B54B3"/>
    <w:rsid w:val="005C17F8"/>
    <w:rsid w:val="005C3610"/>
    <w:rsid w:val="005C47A1"/>
    <w:rsid w:val="005C5101"/>
    <w:rsid w:val="005D01C5"/>
    <w:rsid w:val="005D0A18"/>
    <w:rsid w:val="005D2616"/>
    <w:rsid w:val="005D4DDE"/>
    <w:rsid w:val="005D5331"/>
    <w:rsid w:val="005E1ACD"/>
    <w:rsid w:val="005E26B6"/>
    <w:rsid w:val="005E5E1E"/>
    <w:rsid w:val="005F0AEE"/>
    <w:rsid w:val="005F25D0"/>
    <w:rsid w:val="005F29C9"/>
    <w:rsid w:val="005F31CE"/>
    <w:rsid w:val="005F3FD8"/>
    <w:rsid w:val="005F6EDA"/>
    <w:rsid w:val="005F74C8"/>
    <w:rsid w:val="005F7871"/>
    <w:rsid w:val="00602817"/>
    <w:rsid w:val="00603697"/>
    <w:rsid w:val="00603BB4"/>
    <w:rsid w:val="00603EBA"/>
    <w:rsid w:val="00604196"/>
    <w:rsid w:val="006078D2"/>
    <w:rsid w:val="00610610"/>
    <w:rsid w:val="0061115F"/>
    <w:rsid w:val="006121DF"/>
    <w:rsid w:val="00614040"/>
    <w:rsid w:val="0061717C"/>
    <w:rsid w:val="00620B7C"/>
    <w:rsid w:val="0062111F"/>
    <w:rsid w:val="00624D24"/>
    <w:rsid w:val="00625BAA"/>
    <w:rsid w:val="0062648A"/>
    <w:rsid w:val="00626A43"/>
    <w:rsid w:val="00627B5E"/>
    <w:rsid w:val="00634BB9"/>
    <w:rsid w:val="00635AE4"/>
    <w:rsid w:val="006420D9"/>
    <w:rsid w:val="006464FB"/>
    <w:rsid w:val="006504E2"/>
    <w:rsid w:val="0065503A"/>
    <w:rsid w:val="00655D1B"/>
    <w:rsid w:val="00660FBC"/>
    <w:rsid w:val="00661CAC"/>
    <w:rsid w:val="00662F90"/>
    <w:rsid w:val="00665892"/>
    <w:rsid w:val="00666785"/>
    <w:rsid w:val="00667F60"/>
    <w:rsid w:val="00670DE9"/>
    <w:rsid w:val="00672BD1"/>
    <w:rsid w:val="006750A4"/>
    <w:rsid w:val="006779EF"/>
    <w:rsid w:val="00680310"/>
    <w:rsid w:val="00681787"/>
    <w:rsid w:val="00681F30"/>
    <w:rsid w:val="00683A67"/>
    <w:rsid w:val="00683B07"/>
    <w:rsid w:val="0068719F"/>
    <w:rsid w:val="00687504"/>
    <w:rsid w:val="00692098"/>
    <w:rsid w:val="006978AA"/>
    <w:rsid w:val="00697E85"/>
    <w:rsid w:val="006A0D78"/>
    <w:rsid w:val="006A1EE6"/>
    <w:rsid w:val="006A48E4"/>
    <w:rsid w:val="006A7730"/>
    <w:rsid w:val="006B26D1"/>
    <w:rsid w:val="006B4077"/>
    <w:rsid w:val="006B49FF"/>
    <w:rsid w:val="006B5E72"/>
    <w:rsid w:val="006C28BF"/>
    <w:rsid w:val="006C3E91"/>
    <w:rsid w:val="006C515B"/>
    <w:rsid w:val="006C5197"/>
    <w:rsid w:val="006C6412"/>
    <w:rsid w:val="006D02F4"/>
    <w:rsid w:val="006D0D06"/>
    <w:rsid w:val="006D1678"/>
    <w:rsid w:val="006D22CD"/>
    <w:rsid w:val="006D5CCD"/>
    <w:rsid w:val="006E2409"/>
    <w:rsid w:val="006E5890"/>
    <w:rsid w:val="006E61FD"/>
    <w:rsid w:val="006F08D4"/>
    <w:rsid w:val="006F1763"/>
    <w:rsid w:val="006F47BD"/>
    <w:rsid w:val="006F563B"/>
    <w:rsid w:val="006F59DA"/>
    <w:rsid w:val="006F7C39"/>
    <w:rsid w:val="007011EA"/>
    <w:rsid w:val="007018AA"/>
    <w:rsid w:val="007051BB"/>
    <w:rsid w:val="007069C7"/>
    <w:rsid w:val="0071139F"/>
    <w:rsid w:val="00713273"/>
    <w:rsid w:val="00714B44"/>
    <w:rsid w:val="007156C6"/>
    <w:rsid w:val="0071740B"/>
    <w:rsid w:val="0072194C"/>
    <w:rsid w:val="00722959"/>
    <w:rsid w:val="00727C9A"/>
    <w:rsid w:val="00727D01"/>
    <w:rsid w:val="00730395"/>
    <w:rsid w:val="007312E3"/>
    <w:rsid w:val="00731EFB"/>
    <w:rsid w:val="007323F5"/>
    <w:rsid w:val="00733DB4"/>
    <w:rsid w:val="00734D27"/>
    <w:rsid w:val="00735921"/>
    <w:rsid w:val="00737BAE"/>
    <w:rsid w:val="00741A8D"/>
    <w:rsid w:val="00744D52"/>
    <w:rsid w:val="0074590E"/>
    <w:rsid w:val="007459F6"/>
    <w:rsid w:val="00746BC4"/>
    <w:rsid w:val="00750D33"/>
    <w:rsid w:val="00751FFB"/>
    <w:rsid w:val="00752BC9"/>
    <w:rsid w:val="00752EE9"/>
    <w:rsid w:val="00753D86"/>
    <w:rsid w:val="00753F1E"/>
    <w:rsid w:val="00755DAC"/>
    <w:rsid w:val="0075611D"/>
    <w:rsid w:val="007600EE"/>
    <w:rsid w:val="00760951"/>
    <w:rsid w:val="00762269"/>
    <w:rsid w:val="00765F62"/>
    <w:rsid w:val="00767519"/>
    <w:rsid w:val="00771754"/>
    <w:rsid w:val="0077261F"/>
    <w:rsid w:val="0078046E"/>
    <w:rsid w:val="0078157B"/>
    <w:rsid w:val="0078182C"/>
    <w:rsid w:val="00782CC0"/>
    <w:rsid w:val="00785EF5"/>
    <w:rsid w:val="007868DF"/>
    <w:rsid w:val="007907ED"/>
    <w:rsid w:val="00790D79"/>
    <w:rsid w:val="00792152"/>
    <w:rsid w:val="00797BBA"/>
    <w:rsid w:val="007A0ECA"/>
    <w:rsid w:val="007A156E"/>
    <w:rsid w:val="007A1A7F"/>
    <w:rsid w:val="007A2BBA"/>
    <w:rsid w:val="007B0115"/>
    <w:rsid w:val="007B4D73"/>
    <w:rsid w:val="007B7A84"/>
    <w:rsid w:val="007C0B6B"/>
    <w:rsid w:val="007C1733"/>
    <w:rsid w:val="007C249A"/>
    <w:rsid w:val="007C2A92"/>
    <w:rsid w:val="007C2D13"/>
    <w:rsid w:val="007C5D64"/>
    <w:rsid w:val="007C77D5"/>
    <w:rsid w:val="007D13F4"/>
    <w:rsid w:val="007D1E1B"/>
    <w:rsid w:val="007D4379"/>
    <w:rsid w:val="007E4422"/>
    <w:rsid w:val="007E4605"/>
    <w:rsid w:val="007E56B0"/>
    <w:rsid w:val="007E69C0"/>
    <w:rsid w:val="007E6A39"/>
    <w:rsid w:val="007E74E9"/>
    <w:rsid w:val="007F0219"/>
    <w:rsid w:val="007F1624"/>
    <w:rsid w:val="007F23A0"/>
    <w:rsid w:val="007F300C"/>
    <w:rsid w:val="007F4398"/>
    <w:rsid w:val="007F5A09"/>
    <w:rsid w:val="007F6463"/>
    <w:rsid w:val="007F6CE7"/>
    <w:rsid w:val="007F7204"/>
    <w:rsid w:val="008032B1"/>
    <w:rsid w:val="00803DDF"/>
    <w:rsid w:val="008053D5"/>
    <w:rsid w:val="00806A9D"/>
    <w:rsid w:val="008121C0"/>
    <w:rsid w:val="0081277A"/>
    <w:rsid w:val="00814FCE"/>
    <w:rsid w:val="00815EE3"/>
    <w:rsid w:val="0081767B"/>
    <w:rsid w:val="00822B65"/>
    <w:rsid w:val="00822BD8"/>
    <w:rsid w:val="00822D5D"/>
    <w:rsid w:val="008232F3"/>
    <w:rsid w:val="0083139A"/>
    <w:rsid w:val="008314E1"/>
    <w:rsid w:val="0083390A"/>
    <w:rsid w:val="00833D17"/>
    <w:rsid w:val="0084004D"/>
    <w:rsid w:val="00842C3D"/>
    <w:rsid w:val="00843657"/>
    <w:rsid w:val="008436E7"/>
    <w:rsid w:val="00843979"/>
    <w:rsid w:val="0084404D"/>
    <w:rsid w:val="008443BD"/>
    <w:rsid w:val="00845D72"/>
    <w:rsid w:val="00846CDC"/>
    <w:rsid w:val="008543E1"/>
    <w:rsid w:val="008611E7"/>
    <w:rsid w:val="00861938"/>
    <w:rsid w:val="008650D1"/>
    <w:rsid w:val="00867A22"/>
    <w:rsid w:val="00870D8B"/>
    <w:rsid w:val="00875423"/>
    <w:rsid w:val="00881501"/>
    <w:rsid w:val="008843D0"/>
    <w:rsid w:val="00884F77"/>
    <w:rsid w:val="00892A41"/>
    <w:rsid w:val="008959DA"/>
    <w:rsid w:val="008A0204"/>
    <w:rsid w:val="008A22CB"/>
    <w:rsid w:val="008A586F"/>
    <w:rsid w:val="008A5DD4"/>
    <w:rsid w:val="008B0849"/>
    <w:rsid w:val="008C07D4"/>
    <w:rsid w:val="008C346F"/>
    <w:rsid w:val="008C4693"/>
    <w:rsid w:val="008C614F"/>
    <w:rsid w:val="008C7715"/>
    <w:rsid w:val="008D0FEB"/>
    <w:rsid w:val="008D50BD"/>
    <w:rsid w:val="008D7AD2"/>
    <w:rsid w:val="008E179E"/>
    <w:rsid w:val="008E2455"/>
    <w:rsid w:val="008E3A92"/>
    <w:rsid w:val="008E7F45"/>
    <w:rsid w:val="008F11E5"/>
    <w:rsid w:val="008F1AB9"/>
    <w:rsid w:val="008F1F3B"/>
    <w:rsid w:val="008F26C1"/>
    <w:rsid w:val="008F344C"/>
    <w:rsid w:val="008F52E1"/>
    <w:rsid w:val="00901732"/>
    <w:rsid w:val="00901DEE"/>
    <w:rsid w:val="009025F9"/>
    <w:rsid w:val="009038C7"/>
    <w:rsid w:val="00903A34"/>
    <w:rsid w:val="009058C3"/>
    <w:rsid w:val="00906D95"/>
    <w:rsid w:val="009071D9"/>
    <w:rsid w:val="00911048"/>
    <w:rsid w:val="009122BB"/>
    <w:rsid w:val="009138B9"/>
    <w:rsid w:val="00914702"/>
    <w:rsid w:val="00920CD6"/>
    <w:rsid w:val="0092283E"/>
    <w:rsid w:val="00922978"/>
    <w:rsid w:val="009249D4"/>
    <w:rsid w:val="00925651"/>
    <w:rsid w:val="00926284"/>
    <w:rsid w:val="00931FEC"/>
    <w:rsid w:val="009326A7"/>
    <w:rsid w:val="00932B6C"/>
    <w:rsid w:val="00934D93"/>
    <w:rsid w:val="0093719C"/>
    <w:rsid w:val="00937640"/>
    <w:rsid w:val="00941BA7"/>
    <w:rsid w:val="00941CBA"/>
    <w:rsid w:val="0094316B"/>
    <w:rsid w:val="00943377"/>
    <w:rsid w:val="00944281"/>
    <w:rsid w:val="00946951"/>
    <w:rsid w:val="009476F9"/>
    <w:rsid w:val="00947EFC"/>
    <w:rsid w:val="009506D0"/>
    <w:rsid w:val="0095150B"/>
    <w:rsid w:val="00953AA3"/>
    <w:rsid w:val="009568A3"/>
    <w:rsid w:val="009568F0"/>
    <w:rsid w:val="0096510C"/>
    <w:rsid w:val="00965768"/>
    <w:rsid w:val="00965910"/>
    <w:rsid w:val="0096765C"/>
    <w:rsid w:val="009749DA"/>
    <w:rsid w:val="0097770D"/>
    <w:rsid w:val="00980097"/>
    <w:rsid w:val="00980D79"/>
    <w:rsid w:val="00981C28"/>
    <w:rsid w:val="00982EC2"/>
    <w:rsid w:val="00990EBE"/>
    <w:rsid w:val="00991C11"/>
    <w:rsid w:val="0099533E"/>
    <w:rsid w:val="009957DA"/>
    <w:rsid w:val="00996585"/>
    <w:rsid w:val="0099738E"/>
    <w:rsid w:val="009A4D7B"/>
    <w:rsid w:val="009A7BEC"/>
    <w:rsid w:val="009B04AF"/>
    <w:rsid w:val="009B0B1C"/>
    <w:rsid w:val="009B1B87"/>
    <w:rsid w:val="009B29B7"/>
    <w:rsid w:val="009B2C08"/>
    <w:rsid w:val="009B66D2"/>
    <w:rsid w:val="009C0619"/>
    <w:rsid w:val="009C218A"/>
    <w:rsid w:val="009C6A20"/>
    <w:rsid w:val="009D0968"/>
    <w:rsid w:val="009D3E34"/>
    <w:rsid w:val="009D4B2F"/>
    <w:rsid w:val="009D4F9F"/>
    <w:rsid w:val="009D6373"/>
    <w:rsid w:val="009D75DE"/>
    <w:rsid w:val="009E0C87"/>
    <w:rsid w:val="009E1296"/>
    <w:rsid w:val="009E34B7"/>
    <w:rsid w:val="009E3DCD"/>
    <w:rsid w:val="009E3DF3"/>
    <w:rsid w:val="009E3F96"/>
    <w:rsid w:val="009E7B98"/>
    <w:rsid w:val="009F03DD"/>
    <w:rsid w:val="009F5248"/>
    <w:rsid w:val="009F661A"/>
    <w:rsid w:val="009F6F05"/>
    <w:rsid w:val="00A00311"/>
    <w:rsid w:val="00A0216F"/>
    <w:rsid w:val="00A032A5"/>
    <w:rsid w:val="00A06517"/>
    <w:rsid w:val="00A11775"/>
    <w:rsid w:val="00A118A8"/>
    <w:rsid w:val="00A2134A"/>
    <w:rsid w:val="00A2742C"/>
    <w:rsid w:val="00A308D0"/>
    <w:rsid w:val="00A36BBC"/>
    <w:rsid w:val="00A4002B"/>
    <w:rsid w:val="00A40ED5"/>
    <w:rsid w:val="00A43BE9"/>
    <w:rsid w:val="00A43C8F"/>
    <w:rsid w:val="00A44F61"/>
    <w:rsid w:val="00A4553A"/>
    <w:rsid w:val="00A46C50"/>
    <w:rsid w:val="00A5260C"/>
    <w:rsid w:val="00A53223"/>
    <w:rsid w:val="00A53AB0"/>
    <w:rsid w:val="00A56688"/>
    <w:rsid w:val="00A61074"/>
    <w:rsid w:val="00A61C1A"/>
    <w:rsid w:val="00A62BB9"/>
    <w:rsid w:val="00A6307E"/>
    <w:rsid w:val="00A6359D"/>
    <w:rsid w:val="00A63601"/>
    <w:rsid w:val="00A655EF"/>
    <w:rsid w:val="00A673EE"/>
    <w:rsid w:val="00A67A45"/>
    <w:rsid w:val="00A67EC9"/>
    <w:rsid w:val="00A7132F"/>
    <w:rsid w:val="00A71750"/>
    <w:rsid w:val="00A7327C"/>
    <w:rsid w:val="00A74BF2"/>
    <w:rsid w:val="00A9218B"/>
    <w:rsid w:val="00A92A16"/>
    <w:rsid w:val="00AA1C06"/>
    <w:rsid w:val="00AA3755"/>
    <w:rsid w:val="00AA4BDC"/>
    <w:rsid w:val="00AB1D56"/>
    <w:rsid w:val="00AB4641"/>
    <w:rsid w:val="00AB5284"/>
    <w:rsid w:val="00AC119D"/>
    <w:rsid w:val="00AC21A0"/>
    <w:rsid w:val="00AC2850"/>
    <w:rsid w:val="00AC3672"/>
    <w:rsid w:val="00AC5F9D"/>
    <w:rsid w:val="00AC6FDD"/>
    <w:rsid w:val="00AD4230"/>
    <w:rsid w:val="00AD5510"/>
    <w:rsid w:val="00AD660E"/>
    <w:rsid w:val="00AD79CB"/>
    <w:rsid w:val="00AE26CC"/>
    <w:rsid w:val="00AE2932"/>
    <w:rsid w:val="00AE4BD9"/>
    <w:rsid w:val="00AE61D5"/>
    <w:rsid w:val="00AE7BCA"/>
    <w:rsid w:val="00AF1E14"/>
    <w:rsid w:val="00AF5E89"/>
    <w:rsid w:val="00B0011A"/>
    <w:rsid w:val="00B0027D"/>
    <w:rsid w:val="00B02C6A"/>
    <w:rsid w:val="00B037A0"/>
    <w:rsid w:val="00B03D09"/>
    <w:rsid w:val="00B03F18"/>
    <w:rsid w:val="00B042F6"/>
    <w:rsid w:val="00B07844"/>
    <w:rsid w:val="00B079CD"/>
    <w:rsid w:val="00B10B04"/>
    <w:rsid w:val="00B11B90"/>
    <w:rsid w:val="00B120CD"/>
    <w:rsid w:val="00B15266"/>
    <w:rsid w:val="00B169A7"/>
    <w:rsid w:val="00B20716"/>
    <w:rsid w:val="00B217E8"/>
    <w:rsid w:val="00B225E5"/>
    <w:rsid w:val="00B26684"/>
    <w:rsid w:val="00B26FE3"/>
    <w:rsid w:val="00B34A7F"/>
    <w:rsid w:val="00B34A8E"/>
    <w:rsid w:val="00B35459"/>
    <w:rsid w:val="00B3548E"/>
    <w:rsid w:val="00B36682"/>
    <w:rsid w:val="00B434C9"/>
    <w:rsid w:val="00B50553"/>
    <w:rsid w:val="00B507E8"/>
    <w:rsid w:val="00B51E77"/>
    <w:rsid w:val="00B5312D"/>
    <w:rsid w:val="00B544FF"/>
    <w:rsid w:val="00B56C82"/>
    <w:rsid w:val="00B56D4C"/>
    <w:rsid w:val="00B60FF4"/>
    <w:rsid w:val="00B6730F"/>
    <w:rsid w:val="00B67C56"/>
    <w:rsid w:val="00B67E60"/>
    <w:rsid w:val="00B72A3C"/>
    <w:rsid w:val="00B73EBF"/>
    <w:rsid w:val="00B74FC1"/>
    <w:rsid w:val="00B81102"/>
    <w:rsid w:val="00B81BBA"/>
    <w:rsid w:val="00B823E7"/>
    <w:rsid w:val="00B82EA1"/>
    <w:rsid w:val="00B838C7"/>
    <w:rsid w:val="00B83BA7"/>
    <w:rsid w:val="00B853D7"/>
    <w:rsid w:val="00B90605"/>
    <w:rsid w:val="00B91CD5"/>
    <w:rsid w:val="00B91FCE"/>
    <w:rsid w:val="00B922A9"/>
    <w:rsid w:val="00B935AA"/>
    <w:rsid w:val="00B97D93"/>
    <w:rsid w:val="00BA07F5"/>
    <w:rsid w:val="00BA11F9"/>
    <w:rsid w:val="00BA3DF6"/>
    <w:rsid w:val="00BA3E18"/>
    <w:rsid w:val="00BA5F4A"/>
    <w:rsid w:val="00BB34D8"/>
    <w:rsid w:val="00BB5076"/>
    <w:rsid w:val="00BC18ED"/>
    <w:rsid w:val="00BC2586"/>
    <w:rsid w:val="00BC5006"/>
    <w:rsid w:val="00BD4208"/>
    <w:rsid w:val="00BD4DDF"/>
    <w:rsid w:val="00BE149D"/>
    <w:rsid w:val="00BE22E3"/>
    <w:rsid w:val="00BE50CB"/>
    <w:rsid w:val="00BE7AD3"/>
    <w:rsid w:val="00BF0F88"/>
    <w:rsid w:val="00BF25A3"/>
    <w:rsid w:val="00BF2A93"/>
    <w:rsid w:val="00BF2D63"/>
    <w:rsid w:val="00BF4228"/>
    <w:rsid w:val="00BF4A35"/>
    <w:rsid w:val="00C01E97"/>
    <w:rsid w:val="00C02368"/>
    <w:rsid w:val="00C03F11"/>
    <w:rsid w:val="00C058DB"/>
    <w:rsid w:val="00C11F4B"/>
    <w:rsid w:val="00C2222B"/>
    <w:rsid w:val="00C27387"/>
    <w:rsid w:val="00C2757D"/>
    <w:rsid w:val="00C31EC9"/>
    <w:rsid w:val="00C35953"/>
    <w:rsid w:val="00C36312"/>
    <w:rsid w:val="00C37152"/>
    <w:rsid w:val="00C40432"/>
    <w:rsid w:val="00C409D2"/>
    <w:rsid w:val="00C432FF"/>
    <w:rsid w:val="00C450E3"/>
    <w:rsid w:val="00C472E2"/>
    <w:rsid w:val="00C50485"/>
    <w:rsid w:val="00C52F80"/>
    <w:rsid w:val="00C52FA2"/>
    <w:rsid w:val="00C54A84"/>
    <w:rsid w:val="00C56F8E"/>
    <w:rsid w:val="00C57D90"/>
    <w:rsid w:val="00C60767"/>
    <w:rsid w:val="00C648A9"/>
    <w:rsid w:val="00C64F34"/>
    <w:rsid w:val="00C7090C"/>
    <w:rsid w:val="00C70D73"/>
    <w:rsid w:val="00C71CA0"/>
    <w:rsid w:val="00C764AF"/>
    <w:rsid w:val="00C827D1"/>
    <w:rsid w:val="00C82F80"/>
    <w:rsid w:val="00C845F8"/>
    <w:rsid w:val="00C8502E"/>
    <w:rsid w:val="00C85AA9"/>
    <w:rsid w:val="00C85E8F"/>
    <w:rsid w:val="00C86CE0"/>
    <w:rsid w:val="00C912D2"/>
    <w:rsid w:val="00C95D6E"/>
    <w:rsid w:val="00CA2B10"/>
    <w:rsid w:val="00CA3943"/>
    <w:rsid w:val="00CA4689"/>
    <w:rsid w:val="00CA4C87"/>
    <w:rsid w:val="00CA5119"/>
    <w:rsid w:val="00CA5FEF"/>
    <w:rsid w:val="00CC29E0"/>
    <w:rsid w:val="00CC7D2B"/>
    <w:rsid w:val="00CD025F"/>
    <w:rsid w:val="00CD29F4"/>
    <w:rsid w:val="00CD7489"/>
    <w:rsid w:val="00CE04B2"/>
    <w:rsid w:val="00CE1927"/>
    <w:rsid w:val="00CE61EA"/>
    <w:rsid w:val="00CF149E"/>
    <w:rsid w:val="00CF22B5"/>
    <w:rsid w:val="00CF4A4B"/>
    <w:rsid w:val="00CF7981"/>
    <w:rsid w:val="00CF7AA6"/>
    <w:rsid w:val="00D01591"/>
    <w:rsid w:val="00D0434C"/>
    <w:rsid w:val="00D102B7"/>
    <w:rsid w:val="00D111C8"/>
    <w:rsid w:val="00D1764D"/>
    <w:rsid w:val="00D179B6"/>
    <w:rsid w:val="00D17CD7"/>
    <w:rsid w:val="00D17F7E"/>
    <w:rsid w:val="00D208D0"/>
    <w:rsid w:val="00D2163E"/>
    <w:rsid w:val="00D238E9"/>
    <w:rsid w:val="00D26097"/>
    <w:rsid w:val="00D26BAA"/>
    <w:rsid w:val="00D307C7"/>
    <w:rsid w:val="00D315F1"/>
    <w:rsid w:val="00D31C2F"/>
    <w:rsid w:val="00D34BC7"/>
    <w:rsid w:val="00D35020"/>
    <w:rsid w:val="00D360D1"/>
    <w:rsid w:val="00D373BE"/>
    <w:rsid w:val="00D379CF"/>
    <w:rsid w:val="00D46552"/>
    <w:rsid w:val="00D51D93"/>
    <w:rsid w:val="00D539B4"/>
    <w:rsid w:val="00D552C3"/>
    <w:rsid w:val="00D5627F"/>
    <w:rsid w:val="00D61B16"/>
    <w:rsid w:val="00D64ED7"/>
    <w:rsid w:val="00D71FAD"/>
    <w:rsid w:val="00D72D26"/>
    <w:rsid w:val="00D75B30"/>
    <w:rsid w:val="00D75B75"/>
    <w:rsid w:val="00D8005E"/>
    <w:rsid w:val="00D80064"/>
    <w:rsid w:val="00D80CA3"/>
    <w:rsid w:val="00D812FF"/>
    <w:rsid w:val="00D90F6E"/>
    <w:rsid w:val="00D946DF"/>
    <w:rsid w:val="00D964FE"/>
    <w:rsid w:val="00D96571"/>
    <w:rsid w:val="00D9676B"/>
    <w:rsid w:val="00D976E7"/>
    <w:rsid w:val="00DA0AA0"/>
    <w:rsid w:val="00DA0F77"/>
    <w:rsid w:val="00DA2EF9"/>
    <w:rsid w:val="00DA3409"/>
    <w:rsid w:val="00DB02C0"/>
    <w:rsid w:val="00DB53BC"/>
    <w:rsid w:val="00DB5AC4"/>
    <w:rsid w:val="00DB647C"/>
    <w:rsid w:val="00DC0F4D"/>
    <w:rsid w:val="00DC55C1"/>
    <w:rsid w:val="00DC5B86"/>
    <w:rsid w:val="00DC79A7"/>
    <w:rsid w:val="00DD113B"/>
    <w:rsid w:val="00DD3993"/>
    <w:rsid w:val="00DD5407"/>
    <w:rsid w:val="00DE2114"/>
    <w:rsid w:val="00DE3D4C"/>
    <w:rsid w:val="00DE6D93"/>
    <w:rsid w:val="00DE7494"/>
    <w:rsid w:val="00DF04AC"/>
    <w:rsid w:val="00DF0E7F"/>
    <w:rsid w:val="00DF2DAE"/>
    <w:rsid w:val="00DF4D4F"/>
    <w:rsid w:val="00DF6C4C"/>
    <w:rsid w:val="00E00464"/>
    <w:rsid w:val="00E026D0"/>
    <w:rsid w:val="00E028FE"/>
    <w:rsid w:val="00E03BB6"/>
    <w:rsid w:val="00E03F0A"/>
    <w:rsid w:val="00E0784E"/>
    <w:rsid w:val="00E13161"/>
    <w:rsid w:val="00E13F4B"/>
    <w:rsid w:val="00E15D21"/>
    <w:rsid w:val="00E20051"/>
    <w:rsid w:val="00E20162"/>
    <w:rsid w:val="00E246A8"/>
    <w:rsid w:val="00E26F69"/>
    <w:rsid w:val="00E32CE1"/>
    <w:rsid w:val="00E35AC0"/>
    <w:rsid w:val="00E407EC"/>
    <w:rsid w:val="00E40BFA"/>
    <w:rsid w:val="00E416BC"/>
    <w:rsid w:val="00E439ED"/>
    <w:rsid w:val="00E47699"/>
    <w:rsid w:val="00E52565"/>
    <w:rsid w:val="00E55916"/>
    <w:rsid w:val="00E569DC"/>
    <w:rsid w:val="00E56C2A"/>
    <w:rsid w:val="00E60F5C"/>
    <w:rsid w:val="00E64099"/>
    <w:rsid w:val="00E66977"/>
    <w:rsid w:val="00E76601"/>
    <w:rsid w:val="00E76950"/>
    <w:rsid w:val="00E76CFA"/>
    <w:rsid w:val="00E77D57"/>
    <w:rsid w:val="00E77E33"/>
    <w:rsid w:val="00E81286"/>
    <w:rsid w:val="00E82F69"/>
    <w:rsid w:val="00E834B5"/>
    <w:rsid w:val="00E85F70"/>
    <w:rsid w:val="00E90C6B"/>
    <w:rsid w:val="00E91D50"/>
    <w:rsid w:val="00E92154"/>
    <w:rsid w:val="00E92ACB"/>
    <w:rsid w:val="00E976B5"/>
    <w:rsid w:val="00EA0419"/>
    <w:rsid w:val="00EA0532"/>
    <w:rsid w:val="00EA1ACB"/>
    <w:rsid w:val="00EA30DD"/>
    <w:rsid w:val="00EA4F54"/>
    <w:rsid w:val="00EA6253"/>
    <w:rsid w:val="00EA6644"/>
    <w:rsid w:val="00EB4750"/>
    <w:rsid w:val="00EB5EE2"/>
    <w:rsid w:val="00EC1E71"/>
    <w:rsid w:val="00EC65D8"/>
    <w:rsid w:val="00EC7741"/>
    <w:rsid w:val="00EC789B"/>
    <w:rsid w:val="00EC7FE2"/>
    <w:rsid w:val="00ED0157"/>
    <w:rsid w:val="00ED39EF"/>
    <w:rsid w:val="00ED41BF"/>
    <w:rsid w:val="00ED4439"/>
    <w:rsid w:val="00ED73FA"/>
    <w:rsid w:val="00EE0109"/>
    <w:rsid w:val="00EE53B7"/>
    <w:rsid w:val="00EF0266"/>
    <w:rsid w:val="00EF54DE"/>
    <w:rsid w:val="00EF54DF"/>
    <w:rsid w:val="00EF5C7E"/>
    <w:rsid w:val="00EF6406"/>
    <w:rsid w:val="00EF6576"/>
    <w:rsid w:val="00EF6C59"/>
    <w:rsid w:val="00F008E4"/>
    <w:rsid w:val="00F05FF3"/>
    <w:rsid w:val="00F101FE"/>
    <w:rsid w:val="00F11F0A"/>
    <w:rsid w:val="00F15A6D"/>
    <w:rsid w:val="00F17FE5"/>
    <w:rsid w:val="00F24B91"/>
    <w:rsid w:val="00F26F48"/>
    <w:rsid w:val="00F311CE"/>
    <w:rsid w:val="00F323DA"/>
    <w:rsid w:val="00F36A17"/>
    <w:rsid w:val="00F410CF"/>
    <w:rsid w:val="00F416E7"/>
    <w:rsid w:val="00F419D2"/>
    <w:rsid w:val="00F4252F"/>
    <w:rsid w:val="00F42C9C"/>
    <w:rsid w:val="00F51B94"/>
    <w:rsid w:val="00F5506F"/>
    <w:rsid w:val="00F555F2"/>
    <w:rsid w:val="00F57682"/>
    <w:rsid w:val="00F669AC"/>
    <w:rsid w:val="00F678F8"/>
    <w:rsid w:val="00F70764"/>
    <w:rsid w:val="00F71253"/>
    <w:rsid w:val="00F75EA9"/>
    <w:rsid w:val="00F766A3"/>
    <w:rsid w:val="00F778D3"/>
    <w:rsid w:val="00F8211F"/>
    <w:rsid w:val="00F84C4C"/>
    <w:rsid w:val="00F85F10"/>
    <w:rsid w:val="00F906F2"/>
    <w:rsid w:val="00F90B6B"/>
    <w:rsid w:val="00F93AC5"/>
    <w:rsid w:val="00F95396"/>
    <w:rsid w:val="00F97AC4"/>
    <w:rsid w:val="00FA383D"/>
    <w:rsid w:val="00FA5629"/>
    <w:rsid w:val="00FA6881"/>
    <w:rsid w:val="00FB73EA"/>
    <w:rsid w:val="00FC1904"/>
    <w:rsid w:val="00FC19B9"/>
    <w:rsid w:val="00FC3476"/>
    <w:rsid w:val="00FC48EA"/>
    <w:rsid w:val="00FC6694"/>
    <w:rsid w:val="00FC6B1E"/>
    <w:rsid w:val="00FD1C7F"/>
    <w:rsid w:val="00FD2677"/>
    <w:rsid w:val="00FD394C"/>
    <w:rsid w:val="00FE0247"/>
    <w:rsid w:val="00FE15F2"/>
    <w:rsid w:val="00FE166D"/>
    <w:rsid w:val="00FE5389"/>
    <w:rsid w:val="00FE5F05"/>
    <w:rsid w:val="00FF0947"/>
    <w:rsid w:val="00FF107E"/>
    <w:rsid w:val="00FF2B85"/>
    <w:rsid w:val="00FF602B"/>
    <w:rsid w:val="01161381"/>
    <w:rsid w:val="01432A04"/>
    <w:rsid w:val="01AA7D1B"/>
    <w:rsid w:val="0239781F"/>
    <w:rsid w:val="03153C80"/>
    <w:rsid w:val="032B7749"/>
    <w:rsid w:val="034443F1"/>
    <w:rsid w:val="03646251"/>
    <w:rsid w:val="038A1BB2"/>
    <w:rsid w:val="038D51FF"/>
    <w:rsid w:val="03BD5AE4"/>
    <w:rsid w:val="03DC65FE"/>
    <w:rsid w:val="04561A95"/>
    <w:rsid w:val="04B37D11"/>
    <w:rsid w:val="04C35C7D"/>
    <w:rsid w:val="04E92050"/>
    <w:rsid w:val="05092FAB"/>
    <w:rsid w:val="05107DAB"/>
    <w:rsid w:val="0523406D"/>
    <w:rsid w:val="05535400"/>
    <w:rsid w:val="05CE0532"/>
    <w:rsid w:val="05D77D02"/>
    <w:rsid w:val="06012798"/>
    <w:rsid w:val="078801B7"/>
    <w:rsid w:val="07C8420F"/>
    <w:rsid w:val="07E21B99"/>
    <w:rsid w:val="082E49D0"/>
    <w:rsid w:val="088631B6"/>
    <w:rsid w:val="08A748F7"/>
    <w:rsid w:val="09334672"/>
    <w:rsid w:val="099D686B"/>
    <w:rsid w:val="0A2F4DA3"/>
    <w:rsid w:val="0A34014A"/>
    <w:rsid w:val="0AC52104"/>
    <w:rsid w:val="0B3001AC"/>
    <w:rsid w:val="0B9419B6"/>
    <w:rsid w:val="0BD075C8"/>
    <w:rsid w:val="0BD157B2"/>
    <w:rsid w:val="0C6B2FD3"/>
    <w:rsid w:val="0CA57A5D"/>
    <w:rsid w:val="0CEC4F8B"/>
    <w:rsid w:val="0CEC62AD"/>
    <w:rsid w:val="0CFD6452"/>
    <w:rsid w:val="0D0A5472"/>
    <w:rsid w:val="0D0E5602"/>
    <w:rsid w:val="0D110C4F"/>
    <w:rsid w:val="0DA8242C"/>
    <w:rsid w:val="0DB066B9"/>
    <w:rsid w:val="0DC70BE1"/>
    <w:rsid w:val="0E0F1B3D"/>
    <w:rsid w:val="0EA6728C"/>
    <w:rsid w:val="0F89027A"/>
    <w:rsid w:val="0FED3BDD"/>
    <w:rsid w:val="101C3464"/>
    <w:rsid w:val="103B026D"/>
    <w:rsid w:val="104F2123"/>
    <w:rsid w:val="10FE14EA"/>
    <w:rsid w:val="112A133D"/>
    <w:rsid w:val="11731B9E"/>
    <w:rsid w:val="11977ACF"/>
    <w:rsid w:val="123D2BFE"/>
    <w:rsid w:val="125E21A3"/>
    <w:rsid w:val="128A76DA"/>
    <w:rsid w:val="129B3FB3"/>
    <w:rsid w:val="13051255"/>
    <w:rsid w:val="1308487C"/>
    <w:rsid w:val="13824654"/>
    <w:rsid w:val="13E301A7"/>
    <w:rsid w:val="14005B6C"/>
    <w:rsid w:val="146C638E"/>
    <w:rsid w:val="14C41C81"/>
    <w:rsid w:val="14DE33D6"/>
    <w:rsid w:val="15171FA8"/>
    <w:rsid w:val="15714980"/>
    <w:rsid w:val="157E7936"/>
    <w:rsid w:val="158316CA"/>
    <w:rsid w:val="162239A3"/>
    <w:rsid w:val="16442095"/>
    <w:rsid w:val="16C15493"/>
    <w:rsid w:val="16DA0ED7"/>
    <w:rsid w:val="16FA21C3"/>
    <w:rsid w:val="17725CE9"/>
    <w:rsid w:val="17A56B63"/>
    <w:rsid w:val="17AD5A18"/>
    <w:rsid w:val="18D7252D"/>
    <w:rsid w:val="18DB090E"/>
    <w:rsid w:val="19A448DD"/>
    <w:rsid w:val="19B11DE8"/>
    <w:rsid w:val="1A11040C"/>
    <w:rsid w:val="1AB62E35"/>
    <w:rsid w:val="1B1852C8"/>
    <w:rsid w:val="1B3875A9"/>
    <w:rsid w:val="1B6F0B84"/>
    <w:rsid w:val="1BEA723A"/>
    <w:rsid w:val="1CE471BB"/>
    <w:rsid w:val="1D2624F4"/>
    <w:rsid w:val="1D2C4CCF"/>
    <w:rsid w:val="1D663922"/>
    <w:rsid w:val="1D84515B"/>
    <w:rsid w:val="1D9B2D71"/>
    <w:rsid w:val="1DC2561B"/>
    <w:rsid w:val="1DCD347B"/>
    <w:rsid w:val="1F047C98"/>
    <w:rsid w:val="1F071EB1"/>
    <w:rsid w:val="1F1558E5"/>
    <w:rsid w:val="1F177BBA"/>
    <w:rsid w:val="204C4020"/>
    <w:rsid w:val="205D447F"/>
    <w:rsid w:val="20C620B9"/>
    <w:rsid w:val="20F75D3C"/>
    <w:rsid w:val="20FB77F4"/>
    <w:rsid w:val="21537630"/>
    <w:rsid w:val="21913598"/>
    <w:rsid w:val="21BA086A"/>
    <w:rsid w:val="22080DAE"/>
    <w:rsid w:val="221122C5"/>
    <w:rsid w:val="22414192"/>
    <w:rsid w:val="22810977"/>
    <w:rsid w:val="23405AB7"/>
    <w:rsid w:val="2343151F"/>
    <w:rsid w:val="23AA7590"/>
    <w:rsid w:val="24162C88"/>
    <w:rsid w:val="24393F52"/>
    <w:rsid w:val="24530B11"/>
    <w:rsid w:val="24F20849"/>
    <w:rsid w:val="25405049"/>
    <w:rsid w:val="255100B7"/>
    <w:rsid w:val="25BD32CA"/>
    <w:rsid w:val="25F22E14"/>
    <w:rsid w:val="262564A4"/>
    <w:rsid w:val="26387542"/>
    <w:rsid w:val="266D785C"/>
    <w:rsid w:val="26B446CD"/>
    <w:rsid w:val="26B8050A"/>
    <w:rsid w:val="26BF7E31"/>
    <w:rsid w:val="27AA5444"/>
    <w:rsid w:val="27E674F0"/>
    <w:rsid w:val="28091A45"/>
    <w:rsid w:val="28B94B6A"/>
    <w:rsid w:val="28E1114F"/>
    <w:rsid w:val="291D4B60"/>
    <w:rsid w:val="293D53F0"/>
    <w:rsid w:val="299130AE"/>
    <w:rsid w:val="299407E6"/>
    <w:rsid w:val="29A36E2A"/>
    <w:rsid w:val="29C40B22"/>
    <w:rsid w:val="2A5419CA"/>
    <w:rsid w:val="2A987CC1"/>
    <w:rsid w:val="2AC429A3"/>
    <w:rsid w:val="2B5B3D53"/>
    <w:rsid w:val="2B69663D"/>
    <w:rsid w:val="2BD33847"/>
    <w:rsid w:val="2C0D6E69"/>
    <w:rsid w:val="2C54533B"/>
    <w:rsid w:val="2CBA3159"/>
    <w:rsid w:val="2CC02F7B"/>
    <w:rsid w:val="2CCD1427"/>
    <w:rsid w:val="2EB2355A"/>
    <w:rsid w:val="2ECC5C68"/>
    <w:rsid w:val="2EFA5A6C"/>
    <w:rsid w:val="2F0361F1"/>
    <w:rsid w:val="2F2D516A"/>
    <w:rsid w:val="2F320885"/>
    <w:rsid w:val="2F5152D9"/>
    <w:rsid w:val="2F522CD5"/>
    <w:rsid w:val="2F9024B6"/>
    <w:rsid w:val="30045DA6"/>
    <w:rsid w:val="301234E9"/>
    <w:rsid w:val="301E4E25"/>
    <w:rsid w:val="307100E3"/>
    <w:rsid w:val="30717B4F"/>
    <w:rsid w:val="30CD7E3D"/>
    <w:rsid w:val="30FF0C3A"/>
    <w:rsid w:val="3101724B"/>
    <w:rsid w:val="311E5564"/>
    <w:rsid w:val="31346AFE"/>
    <w:rsid w:val="314C43F1"/>
    <w:rsid w:val="31650D6A"/>
    <w:rsid w:val="31CF685F"/>
    <w:rsid w:val="32400C81"/>
    <w:rsid w:val="324234D5"/>
    <w:rsid w:val="327D23C6"/>
    <w:rsid w:val="327E291D"/>
    <w:rsid w:val="32C1089D"/>
    <w:rsid w:val="33032267"/>
    <w:rsid w:val="335B4332"/>
    <w:rsid w:val="33EB32A2"/>
    <w:rsid w:val="340C5B48"/>
    <w:rsid w:val="34110D1E"/>
    <w:rsid w:val="34602334"/>
    <w:rsid w:val="34732D29"/>
    <w:rsid w:val="34C15AF7"/>
    <w:rsid w:val="35120080"/>
    <w:rsid w:val="35DF7E2A"/>
    <w:rsid w:val="35E6615D"/>
    <w:rsid w:val="36B9744C"/>
    <w:rsid w:val="38064FA4"/>
    <w:rsid w:val="382316B2"/>
    <w:rsid w:val="38700868"/>
    <w:rsid w:val="38B93DC5"/>
    <w:rsid w:val="39365415"/>
    <w:rsid w:val="396E2E01"/>
    <w:rsid w:val="39B80D15"/>
    <w:rsid w:val="39BD78E5"/>
    <w:rsid w:val="3A1474B2"/>
    <w:rsid w:val="3ACF3846"/>
    <w:rsid w:val="3B133F8F"/>
    <w:rsid w:val="3B2B35FE"/>
    <w:rsid w:val="3B793093"/>
    <w:rsid w:val="3B9534E8"/>
    <w:rsid w:val="3B9D352A"/>
    <w:rsid w:val="3BAB0CF4"/>
    <w:rsid w:val="3BC73124"/>
    <w:rsid w:val="3BE930FE"/>
    <w:rsid w:val="3CA041B1"/>
    <w:rsid w:val="3CA27D24"/>
    <w:rsid w:val="3CBB635D"/>
    <w:rsid w:val="3CCA2A44"/>
    <w:rsid w:val="3D8F350F"/>
    <w:rsid w:val="3DCC6040"/>
    <w:rsid w:val="3F4563B2"/>
    <w:rsid w:val="3F5E7474"/>
    <w:rsid w:val="3FBE3652"/>
    <w:rsid w:val="40300E10"/>
    <w:rsid w:val="40324B88"/>
    <w:rsid w:val="40A44A2F"/>
    <w:rsid w:val="418C1F37"/>
    <w:rsid w:val="41997F6D"/>
    <w:rsid w:val="41AB4F1D"/>
    <w:rsid w:val="41AD181F"/>
    <w:rsid w:val="41AE086F"/>
    <w:rsid w:val="41B65345"/>
    <w:rsid w:val="41B70DEF"/>
    <w:rsid w:val="42396E25"/>
    <w:rsid w:val="42A06AB8"/>
    <w:rsid w:val="42C35A4E"/>
    <w:rsid w:val="42EE5221"/>
    <w:rsid w:val="430C31CD"/>
    <w:rsid w:val="43797959"/>
    <w:rsid w:val="437E4BEA"/>
    <w:rsid w:val="43933369"/>
    <w:rsid w:val="43A062AD"/>
    <w:rsid w:val="44031F74"/>
    <w:rsid w:val="4421163C"/>
    <w:rsid w:val="4422644C"/>
    <w:rsid w:val="45892E4B"/>
    <w:rsid w:val="45980964"/>
    <w:rsid w:val="45E22BAD"/>
    <w:rsid w:val="460551AF"/>
    <w:rsid w:val="461F5BAF"/>
    <w:rsid w:val="4639236B"/>
    <w:rsid w:val="469F5A69"/>
    <w:rsid w:val="46B2252A"/>
    <w:rsid w:val="46D71D6C"/>
    <w:rsid w:val="47317EE9"/>
    <w:rsid w:val="474E706B"/>
    <w:rsid w:val="478A684C"/>
    <w:rsid w:val="47AF37ED"/>
    <w:rsid w:val="47D357DE"/>
    <w:rsid w:val="47F327EC"/>
    <w:rsid w:val="48407062"/>
    <w:rsid w:val="492C2CD8"/>
    <w:rsid w:val="492E682D"/>
    <w:rsid w:val="49384DA6"/>
    <w:rsid w:val="497246FD"/>
    <w:rsid w:val="49784563"/>
    <w:rsid w:val="4A514A58"/>
    <w:rsid w:val="4AB91201"/>
    <w:rsid w:val="4AD03D0D"/>
    <w:rsid w:val="4B0623C6"/>
    <w:rsid w:val="4B0D2C77"/>
    <w:rsid w:val="4B78762A"/>
    <w:rsid w:val="4BDE3E16"/>
    <w:rsid w:val="4BFE208B"/>
    <w:rsid w:val="4C820798"/>
    <w:rsid w:val="4CD646C6"/>
    <w:rsid w:val="4D20220D"/>
    <w:rsid w:val="4D593E61"/>
    <w:rsid w:val="4DD25BA6"/>
    <w:rsid w:val="4E2F6BAB"/>
    <w:rsid w:val="4E563CAF"/>
    <w:rsid w:val="4EEF1741"/>
    <w:rsid w:val="4F412D12"/>
    <w:rsid w:val="4F7B13E5"/>
    <w:rsid w:val="4F8E4F9B"/>
    <w:rsid w:val="4FB5568A"/>
    <w:rsid w:val="505550D7"/>
    <w:rsid w:val="50977CD5"/>
    <w:rsid w:val="50E21CB3"/>
    <w:rsid w:val="50E25212"/>
    <w:rsid w:val="50EC76E0"/>
    <w:rsid w:val="50ED0658"/>
    <w:rsid w:val="50FB25A0"/>
    <w:rsid w:val="51441BE2"/>
    <w:rsid w:val="517337AF"/>
    <w:rsid w:val="51C907FD"/>
    <w:rsid w:val="51C92E73"/>
    <w:rsid w:val="51E429DC"/>
    <w:rsid w:val="51EA24A9"/>
    <w:rsid w:val="520A5B47"/>
    <w:rsid w:val="521A36CE"/>
    <w:rsid w:val="52572AAC"/>
    <w:rsid w:val="5288789D"/>
    <w:rsid w:val="52F357EC"/>
    <w:rsid w:val="53240D89"/>
    <w:rsid w:val="53B50BFF"/>
    <w:rsid w:val="53C24CC5"/>
    <w:rsid w:val="540B32CF"/>
    <w:rsid w:val="540E7263"/>
    <w:rsid w:val="542E09AB"/>
    <w:rsid w:val="547A2180"/>
    <w:rsid w:val="54FC4340"/>
    <w:rsid w:val="55281C3E"/>
    <w:rsid w:val="55327527"/>
    <w:rsid w:val="55DF0EB7"/>
    <w:rsid w:val="56232B6D"/>
    <w:rsid w:val="56496F0D"/>
    <w:rsid w:val="5655719F"/>
    <w:rsid w:val="566F140E"/>
    <w:rsid w:val="56A35173"/>
    <w:rsid w:val="56D66B85"/>
    <w:rsid w:val="56F013A7"/>
    <w:rsid w:val="56F10A72"/>
    <w:rsid w:val="570A0085"/>
    <w:rsid w:val="579837F9"/>
    <w:rsid w:val="57A03113"/>
    <w:rsid w:val="58112E7E"/>
    <w:rsid w:val="58767185"/>
    <w:rsid w:val="58992408"/>
    <w:rsid w:val="59396B30"/>
    <w:rsid w:val="594C21CD"/>
    <w:rsid w:val="597E382E"/>
    <w:rsid w:val="59AC55FC"/>
    <w:rsid w:val="59B42D3F"/>
    <w:rsid w:val="59B74EE0"/>
    <w:rsid w:val="5A07509E"/>
    <w:rsid w:val="5A376592"/>
    <w:rsid w:val="5A3D16CD"/>
    <w:rsid w:val="5B032705"/>
    <w:rsid w:val="5B775B16"/>
    <w:rsid w:val="5B8550E3"/>
    <w:rsid w:val="5B9F3F13"/>
    <w:rsid w:val="5BCE0E20"/>
    <w:rsid w:val="5CF74D38"/>
    <w:rsid w:val="5CF959A1"/>
    <w:rsid w:val="5D517E98"/>
    <w:rsid w:val="5D652155"/>
    <w:rsid w:val="5D834668"/>
    <w:rsid w:val="5DD4645B"/>
    <w:rsid w:val="5EEC63F2"/>
    <w:rsid w:val="5F3F4090"/>
    <w:rsid w:val="5F8748E3"/>
    <w:rsid w:val="603A11BC"/>
    <w:rsid w:val="6051475F"/>
    <w:rsid w:val="605E042C"/>
    <w:rsid w:val="608B40DB"/>
    <w:rsid w:val="60D84E80"/>
    <w:rsid w:val="60FC0FD2"/>
    <w:rsid w:val="6114072F"/>
    <w:rsid w:val="61234FE1"/>
    <w:rsid w:val="61551946"/>
    <w:rsid w:val="61587D6F"/>
    <w:rsid w:val="61651048"/>
    <w:rsid w:val="6178638C"/>
    <w:rsid w:val="61A8393F"/>
    <w:rsid w:val="61F24F72"/>
    <w:rsid w:val="62650E70"/>
    <w:rsid w:val="62733B7E"/>
    <w:rsid w:val="62924A74"/>
    <w:rsid w:val="6296690C"/>
    <w:rsid w:val="62BA0B39"/>
    <w:rsid w:val="63A3288D"/>
    <w:rsid w:val="63E36016"/>
    <w:rsid w:val="642C19B0"/>
    <w:rsid w:val="646858FB"/>
    <w:rsid w:val="650D4479"/>
    <w:rsid w:val="65163C77"/>
    <w:rsid w:val="65197815"/>
    <w:rsid w:val="65856C59"/>
    <w:rsid w:val="659A2C5E"/>
    <w:rsid w:val="65D259BC"/>
    <w:rsid w:val="65ED7F94"/>
    <w:rsid w:val="664327BF"/>
    <w:rsid w:val="66920596"/>
    <w:rsid w:val="67365086"/>
    <w:rsid w:val="67487934"/>
    <w:rsid w:val="678E2418"/>
    <w:rsid w:val="67A57229"/>
    <w:rsid w:val="67C2242C"/>
    <w:rsid w:val="67F37AC4"/>
    <w:rsid w:val="67F61F5D"/>
    <w:rsid w:val="680779F9"/>
    <w:rsid w:val="68307350"/>
    <w:rsid w:val="6881195A"/>
    <w:rsid w:val="68BE3783"/>
    <w:rsid w:val="6938198D"/>
    <w:rsid w:val="693B7CEE"/>
    <w:rsid w:val="697274AB"/>
    <w:rsid w:val="69BB2F59"/>
    <w:rsid w:val="69E90FEE"/>
    <w:rsid w:val="69FC118D"/>
    <w:rsid w:val="6A0319E1"/>
    <w:rsid w:val="6A694D9B"/>
    <w:rsid w:val="6B1B2F65"/>
    <w:rsid w:val="6B3E66B1"/>
    <w:rsid w:val="6B471DBA"/>
    <w:rsid w:val="6C4837BE"/>
    <w:rsid w:val="6C590F90"/>
    <w:rsid w:val="6C662CEC"/>
    <w:rsid w:val="6D357F00"/>
    <w:rsid w:val="6D83392B"/>
    <w:rsid w:val="6E6E2980"/>
    <w:rsid w:val="6E997C30"/>
    <w:rsid w:val="6EA6575C"/>
    <w:rsid w:val="6EBC4DD2"/>
    <w:rsid w:val="6F6C5292"/>
    <w:rsid w:val="6FAE0FF7"/>
    <w:rsid w:val="6FFC4E16"/>
    <w:rsid w:val="70356977"/>
    <w:rsid w:val="70461EC0"/>
    <w:rsid w:val="706738E8"/>
    <w:rsid w:val="70944952"/>
    <w:rsid w:val="71496D59"/>
    <w:rsid w:val="71695E43"/>
    <w:rsid w:val="716B2A6D"/>
    <w:rsid w:val="72693B8A"/>
    <w:rsid w:val="726C4446"/>
    <w:rsid w:val="72776EE5"/>
    <w:rsid w:val="737E5413"/>
    <w:rsid w:val="73993E46"/>
    <w:rsid w:val="73FE5C27"/>
    <w:rsid w:val="741144D9"/>
    <w:rsid w:val="74251D33"/>
    <w:rsid w:val="743402DD"/>
    <w:rsid w:val="74343D24"/>
    <w:rsid w:val="74391CCF"/>
    <w:rsid w:val="74730CF0"/>
    <w:rsid w:val="750543DF"/>
    <w:rsid w:val="760C1C16"/>
    <w:rsid w:val="765E45CB"/>
    <w:rsid w:val="76736DE2"/>
    <w:rsid w:val="76AA1881"/>
    <w:rsid w:val="77201348"/>
    <w:rsid w:val="77392429"/>
    <w:rsid w:val="783A2B06"/>
    <w:rsid w:val="785C0B0C"/>
    <w:rsid w:val="797C1D3C"/>
    <w:rsid w:val="79E61F64"/>
    <w:rsid w:val="79E663D9"/>
    <w:rsid w:val="7A1A1F4B"/>
    <w:rsid w:val="7ABE4881"/>
    <w:rsid w:val="7B112CEA"/>
    <w:rsid w:val="7B8051F7"/>
    <w:rsid w:val="7BB65996"/>
    <w:rsid w:val="7BE0283D"/>
    <w:rsid w:val="7C0B631C"/>
    <w:rsid w:val="7C2428D0"/>
    <w:rsid w:val="7CC50A02"/>
    <w:rsid w:val="7D1E04AA"/>
    <w:rsid w:val="7D9F6AD2"/>
    <w:rsid w:val="7DA65982"/>
    <w:rsid w:val="7DB008BF"/>
    <w:rsid w:val="7DC46119"/>
    <w:rsid w:val="7E973975"/>
    <w:rsid w:val="7F392B36"/>
    <w:rsid w:val="7F525799"/>
    <w:rsid w:val="7F632F7F"/>
    <w:rsid w:val="7F8D1CA5"/>
    <w:rsid w:val="7FCE7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0"/>
    <w:qFormat/>
    <w:uiPriority w:val="0"/>
    <w:pPr>
      <w:keepNext/>
      <w:keepLines/>
      <w:spacing w:beforeLines="100" w:afterLines="100" w:line="360" w:lineRule="auto"/>
      <w:jc w:val="center"/>
      <w:outlineLvl w:val="0"/>
    </w:pPr>
    <w:rPr>
      <w:rFonts w:eastAsia="仿宋"/>
      <w:b/>
      <w:bCs/>
      <w:kern w:val="44"/>
      <w:sz w:val="44"/>
      <w:szCs w:val="44"/>
    </w:rPr>
  </w:style>
  <w:style w:type="paragraph" w:styleId="3">
    <w:name w:val="heading 2"/>
    <w:basedOn w:val="1"/>
    <w:next w:val="1"/>
    <w:link w:val="31"/>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32"/>
    <w:qFormat/>
    <w:uiPriority w:val="0"/>
    <w:pPr>
      <w:keepNext/>
      <w:keepLines/>
      <w:spacing w:before="260" w:after="260" w:line="416" w:lineRule="auto"/>
      <w:outlineLvl w:val="2"/>
    </w:pPr>
    <w:rPr>
      <w:rFonts w:eastAsia="仿宋"/>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3"/>
    <w:unhideWhenUsed/>
    <w:qFormat/>
    <w:uiPriority w:val="99"/>
    <w:pPr>
      <w:jc w:val="left"/>
    </w:pPr>
  </w:style>
  <w:style w:type="paragraph" w:styleId="6">
    <w:name w:val="Body Text"/>
    <w:basedOn w:val="1"/>
    <w:next w:val="7"/>
    <w:link w:val="34"/>
    <w:unhideWhenUsed/>
    <w:qFormat/>
    <w:uiPriority w:val="0"/>
    <w:pPr>
      <w:spacing w:after="120"/>
    </w:pPr>
    <w:rPr>
      <w:rFonts w:ascii="Calibri" w:hAnsi="Calibri"/>
      <w:szCs w:val="24"/>
    </w:rPr>
  </w:style>
  <w:style w:type="paragraph" w:styleId="7">
    <w:name w:val="List Bullet 5"/>
    <w:basedOn w:val="1"/>
    <w:unhideWhenUsed/>
    <w:qFormat/>
    <w:uiPriority w:val="99"/>
    <w:pPr>
      <w:numPr>
        <w:ilvl w:val="0"/>
        <w:numId w:val="1"/>
      </w:numPr>
    </w:pPr>
  </w:style>
  <w:style w:type="paragraph" w:styleId="8">
    <w:name w:val="Body Text Indent"/>
    <w:basedOn w:val="1"/>
    <w:next w:val="9"/>
    <w:qFormat/>
    <w:uiPriority w:val="99"/>
    <w:pPr>
      <w:ind w:firstLine="480" w:firstLineChars="200"/>
    </w:pPr>
    <w:rPr>
      <w:kern w:val="0"/>
    </w:rPr>
  </w:style>
  <w:style w:type="paragraph" w:styleId="9">
    <w:name w:val="Body Text First Indent 2"/>
    <w:basedOn w:val="8"/>
    <w:next w:val="1"/>
    <w:qFormat/>
    <w:uiPriority w:val="99"/>
    <w:pPr>
      <w:spacing w:after="120"/>
      <w:ind w:left="420" w:leftChars="200" w:firstLine="420"/>
    </w:pPr>
  </w:style>
  <w:style w:type="paragraph" w:styleId="10">
    <w:name w:val="toc 3"/>
    <w:basedOn w:val="1"/>
    <w:next w:val="1"/>
    <w:unhideWhenUsed/>
    <w:qFormat/>
    <w:uiPriority w:val="0"/>
    <w:pPr>
      <w:ind w:left="840" w:leftChars="400"/>
    </w:pPr>
  </w:style>
  <w:style w:type="paragraph" w:styleId="11">
    <w:name w:val="Date"/>
    <w:basedOn w:val="1"/>
    <w:next w:val="1"/>
    <w:link w:val="35"/>
    <w:unhideWhenUsed/>
    <w:qFormat/>
    <w:uiPriority w:val="99"/>
    <w:pPr>
      <w:ind w:left="100" w:leftChars="2500"/>
    </w:pPr>
  </w:style>
  <w:style w:type="paragraph" w:styleId="12">
    <w:name w:val="Balloon Text"/>
    <w:basedOn w:val="1"/>
    <w:link w:val="36"/>
    <w:qFormat/>
    <w:uiPriority w:val="0"/>
    <w:rPr>
      <w:sz w:val="18"/>
      <w:szCs w:val="18"/>
    </w:rPr>
  </w:style>
  <w:style w:type="paragraph" w:styleId="13">
    <w:name w:val="footer"/>
    <w:basedOn w:val="1"/>
    <w:link w:val="37"/>
    <w:unhideWhenUsed/>
    <w:qFormat/>
    <w:uiPriority w:val="99"/>
    <w:pPr>
      <w:tabs>
        <w:tab w:val="center" w:pos="4153"/>
        <w:tab w:val="right" w:pos="8306"/>
      </w:tabs>
      <w:snapToGrid w:val="0"/>
      <w:jc w:val="left"/>
    </w:pPr>
    <w:rPr>
      <w:sz w:val="18"/>
      <w:szCs w:val="18"/>
    </w:rPr>
  </w:style>
  <w:style w:type="paragraph" w:styleId="14">
    <w:name w:val="header"/>
    <w:basedOn w:val="1"/>
    <w:next w:val="15"/>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5">
    <w:name w:val="样式5"/>
    <w:basedOn w:val="6"/>
    <w:next w:val="1"/>
    <w:qFormat/>
    <w:uiPriority w:val="99"/>
    <w:pPr>
      <w:ind w:right="-140" w:rightChars="-50" w:firstLine="1653" w:firstLineChars="588"/>
    </w:pPr>
    <w:rPr>
      <w:b/>
      <w:bCs/>
    </w:rPr>
  </w:style>
  <w:style w:type="paragraph" w:styleId="16">
    <w:name w:val="toc 1"/>
    <w:basedOn w:val="1"/>
    <w:next w:val="1"/>
    <w:unhideWhenUsed/>
    <w:qFormat/>
    <w:uiPriority w:val="0"/>
    <w:pPr>
      <w:tabs>
        <w:tab w:val="right" w:leader="dot" w:pos="8296"/>
      </w:tabs>
      <w:snapToGrid w:val="0"/>
      <w:spacing w:line="480" w:lineRule="exact"/>
    </w:pPr>
    <w:rPr>
      <w:rFonts w:eastAsia="仿宋_GB2312"/>
      <w:b/>
      <w:bCs/>
      <w:sz w:val="28"/>
      <w:szCs w:val="28"/>
    </w:rPr>
  </w:style>
  <w:style w:type="paragraph" w:styleId="17">
    <w:name w:val="toc 2"/>
    <w:basedOn w:val="1"/>
    <w:next w:val="1"/>
    <w:unhideWhenUsed/>
    <w:qFormat/>
    <w:uiPriority w:val="0"/>
    <w:pPr>
      <w:ind w:left="420" w:leftChars="200"/>
    </w:pPr>
  </w:style>
  <w:style w:type="paragraph" w:styleId="18">
    <w:name w:val="Message Header"/>
    <w:basedOn w:val="1"/>
    <w:link w:val="39"/>
    <w:qFormat/>
    <w:uiPriority w:val="0"/>
    <w:pPr>
      <w:pBdr>
        <w:top w:val="none" w:color="auto" w:sz="0" w:space="1"/>
        <w:left w:val="none" w:color="auto" w:sz="0" w:space="1"/>
        <w:bottom w:val="none" w:color="auto" w:sz="0" w:space="1"/>
        <w:right w:val="none" w:color="auto" w:sz="0" w:space="1"/>
      </w:pBdr>
      <w:autoSpaceDE w:val="0"/>
      <w:autoSpaceDN w:val="0"/>
      <w:jc w:val="left"/>
    </w:pPr>
    <w:rPr>
      <w:rFonts w:ascii="Arial" w:hAnsi="Arial" w:eastAsia="仿宋" w:cs="宋体"/>
      <w:kern w:val="0"/>
      <w:sz w:val="32"/>
      <w:lang w:val="zh-CN" w:bidi="zh-CN"/>
    </w:rPr>
  </w:style>
  <w:style w:type="paragraph" w:styleId="19">
    <w:name w:val="Normal (Web)"/>
    <w:basedOn w:val="1"/>
    <w:next w:val="20"/>
    <w:qFormat/>
    <w:uiPriority w:val="0"/>
  </w:style>
  <w:style w:type="paragraph" w:customStyle="1" w:styleId="2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21">
    <w:name w:val="annotation subject"/>
    <w:basedOn w:val="5"/>
    <w:next w:val="5"/>
    <w:link w:val="40"/>
    <w:unhideWhenUsed/>
    <w:qFormat/>
    <w:uiPriority w:val="99"/>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page number"/>
    <w:qFormat/>
    <w:uiPriority w:val="0"/>
  </w:style>
  <w:style w:type="character" w:styleId="27">
    <w:name w:val="FollowedHyperlink"/>
    <w:unhideWhenUsed/>
    <w:qFormat/>
    <w:uiPriority w:val="0"/>
    <w:rPr>
      <w:color w:val="800080"/>
      <w:u w:val="single"/>
    </w:rPr>
  </w:style>
  <w:style w:type="character" w:styleId="28">
    <w:name w:val="Hyperlink"/>
    <w:unhideWhenUsed/>
    <w:qFormat/>
    <w:uiPriority w:val="0"/>
    <w:rPr>
      <w:color w:val="0000FF"/>
      <w:u w:val="single"/>
    </w:rPr>
  </w:style>
  <w:style w:type="character" w:styleId="29">
    <w:name w:val="annotation reference"/>
    <w:unhideWhenUsed/>
    <w:qFormat/>
    <w:uiPriority w:val="0"/>
    <w:rPr>
      <w:sz w:val="21"/>
      <w:szCs w:val="21"/>
    </w:rPr>
  </w:style>
  <w:style w:type="character" w:customStyle="1" w:styleId="30">
    <w:name w:val="标题 1 Char"/>
    <w:link w:val="2"/>
    <w:qFormat/>
    <w:uiPriority w:val="0"/>
    <w:rPr>
      <w:rFonts w:ascii="Times New Roman" w:hAnsi="Times New Roman" w:eastAsia="仿宋"/>
      <w:b/>
      <w:bCs/>
      <w:kern w:val="44"/>
      <w:sz w:val="44"/>
      <w:szCs w:val="44"/>
    </w:rPr>
  </w:style>
  <w:style w:type="character" w:customStyle="1" w:styleId="31">
    <w:name w:val="标题 2 Char"/>
    <w:link w:val="3"/>
    <w:qFormat/>
    <w:uiPriority w:val="9"/>
    <w:rPr>
      <w:rFonts w:ascii="等线 Light" w:hAnsi="等线 Light" w:eastAsia="等线 Light" w:cs="Times New Roman"/>
      <w:b/>
      <w:bCs/>
      <w:kern w:val="2"/>
      <w:sz w:val="32"/>
      <w:szCs w:val="32"/>
    </w:rPr>
  </w:style>
  <w:style w:type="character" w:customStyle="1" w:styleId="32">
    <w:name w:val="标题 3 Char1"/>
    <w:link w:val="4"/>
    <w:qFormat/>
    <w:uiPriority w:val="0"/>
    <w:rPr>
      <w:rFonts w:ascii="Times New Roman" w:hAnsi="Times New Roman" w:eastAsia="仿宋"/>
      <w:b/>
      <w:bCs/>
      <w:kern w:val="2"/>
      <w:sz w:val="32"/>
      <w:szCs w:val="32"/>
    </w:rPr>
  </w:style>
  <w:style w:type="character" w:customStyle="1" w:styleId="33">
    <w:name w:val="批注文字 Char"/>
    <w:link w:val="5"/>
    <w:semiHidden/>
    <w:qFormat/>
    <w:uiPriority w:val="99"/>
    <w:rPr>
      <w:kern w:val="2"/>
      <w:sz w:val="21"/>
      <w:szCs w:val="22"/>
    </w:rPr>
  </w:style>
  <w:style w:type="character" w:customStyle="1" w:styleId="34">
    <w:name w:val="正文文本 Char1"/>
    <w:link w:val="6"/>
    <w:qFormat/>
    <w:uiPriority w:val="0"/>
    <w:rPr>
      <w:rFonts w:ascii="Calibri" w:hAnsi="Calibri" w:eastAsia="宋体"/>
      <w:kern w:val="2"/>
      <w:sz w:val="21"/>
      <w:szCs w:val="24"/>
    </w:rPr>
  </w:style>
  <w:style w:type="character" w:customStyle="1" w:styleId="35">
    <w:name w:val="日期 Char"/>
    <w:link w:val="11"/>
    <w:semiHidden/>
    <w:qFormat/>
    <w:uiPriority w:val="99"/>
    <w:rPr>
      <w:kern w:val="2"/>
      <w:sz w:val="21"/>
      <w:szCs w:val="22"/>
    </w:rPr>
  </w:style>
  <w:style w:type="character" w:customStyle="1" w:styleId="36">
    <w:name w:val="批注框文本 Char"/>
    <w:link w:val="12"/>
    <w:qFormat/>
    <w:uiPriority w:val="0"/>
    <w:rPr>
      <w:kern w:val="2"/>
      <w:sz w:val="18"/>
      <w:szCs w:val="18"/>
    </w:rPr>
  </w:style>
  <w:style w:type="character" w:customStyle="1" w:styleId="37">
    <w:name w:val="页脚 Char"/>
    <w:link w:val="13"/>
    <w:qFormat/>
    <w:uiPriority w:val="99"/>
    <w:rPr>
      <w:kern w:val="2"/>
      <w:sz w:val="18"/>
      <w:szCs w:val="18"/>
    </w:rPr>
  </w:style>
  <w:style w:type="character" w:customStyle="1" w:styleId="38">
    <w:name w:val="页眉 Char"/>
    <w:link w:val="14"/>
    <w:qFormat/>
    <w:uiPriority w:val="99"/>
    <w:rPr>
      <w:kern w:val="2"/>
      <w:sz w:val="18"/>
      <w:szCs w:val="18"/>
    </w:rPr>
  </w:style>
  <w:style w:type="character" w:customStyle="1" w:styleId="39">
    <w:name w:val="信息标题 Char"/>
    <w:link w:val="18"/>
    <w:qFormat/>
    <w:uiPriority w:val="0"/>
    <w:rPr>
      <w:rFonts w:ascii="Arial" w:hAnsi="Arial" w:eastAsia="仿宋" w:cs="宋体"/>
      <w:sz w:val="32"/>
      <w:szCs w:val="22"/>
      <w:lang w:val="zh-CN" w:bidi="zh-CN"/>
    </w:rPr>
  </w:style>
  <w:style w:type="character" w:customStyle="1" w:styleId="40">
    <w:name w:val="批注主题 Char"/>
    <w:link w:val="21"/>
    <w:semiHidden/>
    <w:qFormat/>
    <w:uiPriority w:val="99"/>
    <w:rPr>
      <w:b/>
      <w:bCs/>
      <w:kern w:val="2"/>
      <w:sz w:val="21"/>
      <w:szCs w:val="22"/>
    </w:rPr>
  </w:style>
  <w:style w:type="paragraph" w:customStyle="1" w:styleId="41">
    <w:name w:val="样式 正文文本缩进 + 行距: 1.5 倍行距"/>
    <w:basedOn w:val="42"/>
    <w:next w:val="14"/>
    <w:qFormat/>
    <w:uiPriority w:val="0"/>
    <w:pPr>
      <w:spacing w:after="120" w:line="360" w:lineRule="auto"/>
      <w:ind w:left="90" w:leftChars="32"/>
    </w:pPr>
    <w:rPr>
      <w:rFonts w:cs="宋体"/>
    </w:rPr>
  </w:style>
  <w:style w:type="paragraph" w:customStyle="1" w:styleId="42">
    <w:name w:val="正文文本缩进1"/>
    <w:basedOn w:val="1"/>
    <w:next w:val="41"/>
    <w:qFormat/>
    <w:uiPriority w:val="0"/>
    <w:pPr>
      <w:spacing w:line="560" w:lineRule="exact"/>
      <w:ind w:firstLine="560" w:firstLineChars="200"/>
    </w:pPr>
    <w:rPr>
      <w:rFonts w:ascii="宋体" w:hAnsi="宋体"/>
      <w:sz w:val="28"/>
    </w:rPr>
  </w:style>
  <w:style w:type="character" w:customStyle="1" w:styleId="43">
    <w:name w:val="标题 3 Char"/>
    <w:qFormat/>
    <w:uiPriority w:val="0"/>
    <w:rPr>
      <w:b/>
      <w:bCs/>
      <w:kern w:val="2"/>
      <w:sz w:val="32"/>
      <w:szCs w:val="32"/>
    </w:rPr>
  </w:style>
  <w:style w:type="paragraph" w:customStyle="1" w:styleId="44">
    <w:name w:val="标题4"/>
    <w:basedOn w:val="1"/>
    <w:link w:val="45"/>
    <w:qFormat/>
    <w:uiPriority w:val="0"/>
    <w:pPr>
      <w:spacing w:line="360" w:lineRule="auto"/>
    </w:pPr>
    <w:rPr>
      <w:rFonts w:eastAsia="仿宋"/>
      <w:b/>
      <w:sz w:val="28"/>
    </w:rPr>
  </w:style>
  <w:style w:type="character" w:customStyle="1" w:styleId="45">
    <w:name w:val="标题4 字符"/>
    <w:link w:val="44"/>
    <w:qFormat/>
    <w:uiPriority w:val="0"/>
    <w:rPr>
      <w:rFonts w:ascii="Times New Roman" w:hAnsi="Times New Roman" w:eastAsia="仿宋"/>
      <w:b/>
      <w:kern w:val="2"/>
      <w:sz w:val="28"/>
      <w:szCs w:val="22"/>
    </w:rPr>
  </w:style>
  <w:style w:type="character" w:customStyle="1" w:styleId="46">
    <w:name w:val="正文文本 Char"/>
    <w:qFormat/>
    <w:uiPriority w:val="0"/>
    <w:rPr>
      <w:kern w:val="2"/>
      <w:sz w:val="21"/>
      <w:szCs w:val="22"/>
    </w:rPr>
  </w:style>
  <w:style w:type="paragraph" w:customStyle="1" w:styleId="4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8">
    <w:name w:val="font6"/>
    <w:basedOn w:val="1"/>
    <w:qFormat/>
    <w:uiPriority w:val="0"/>
    <w:pPr>
      <w:widowControl/>
      <w:spacing w:before="100" w:beforeAutospacing="1" w:after="100" w:afterAutospacing="1"/>
      <w:jc w:val="left"/>
    </w:pPr>
    <w:rPr>
      <w:b/>
      <w:bCs/>
      <w:color w:val="000000"/>
      <w:kern w:val="0"/>
      <w:sz w:val="18"/>
      <w:szCs w:val="18"/>
    </w:rPr>
  </w:style>
  <w:style w:type="paragraph" w:customStyle="1" w:styleId="49">
    <w:name w:val="font7"/>
    <w:basedOn w:val="1"/>
    <w:qFormat/>
    <w:uiPriority w:val="0"/>
    <w:pPr>
      <w:widowControl/>
      <w:spacing w:before="100" w:beforeAutospacing="1" w:after="100" w:afterAutospacing="1"/>
      <w:jc w:val="left"/>
    </w:pPr>
    <w:rPr>
      <w:rFonts w:ascii="Courier New" w:hAnsi="Courier New" w:cs="Courier New"/>
      <w:b/>
      <w:bCs/>
      <w:color w:val="000000"/>
      <w:kern w:val="0"/>
      <w:sz w:val="18"/>
      <w:szCs w:val="18"/>
    </w:rPr>
  </w:style>
  <w:style w:type="paragraph" w:customStyle="1" w:styleId="50">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1">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2">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5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54">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 w:hAnsi="仿宋" w:eastAsia="仿宋" w:cs="宋体"/>
      <w:b/>
      <w:bCs/>
      <w:kern w:val="0"/>
      <w:sz w:val="24"/>
      <w:szCs w:val="24"/>
    </w:rPr>
  </w:style>
  <w:style w:type="paragraph" w:customStyle="1" w:styleId="55">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仿宋" w:hAnsi="仿宋" w:eastAsia="仿宋" w:cs="宋体"/>
      <w:b/>
      <w:bCs/>
      <w:kern w:val="0"/>
      <w:sz w:val="24"/>
      <w:szCs w:val="24"/>
    </w:rPr>
  </w:style>
  <w:style w:type="paragraph" w:customStyle="1" w:styleId="56">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color w:val="000000"/>
      <w:kern w:val="0"/>
      <w:szCs w:val="21"/>
    </w:rPr>
  </w:style>
  <w:style w:type="paragraph" w:customStyle="1" w:styleId="57">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宋体" w:hAnsi="宋体" w:cs="宋体"/>
      <w:color w:val="000000"/>
      <w:kern w:val="0"/>
      <w:szCs w:val="21"/>
    </w:rPr>
  </w:style>
  <w:style w:type="paragraph" w:customStyle="1" w:styleId="5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仿宋" w:hAnsi="仿宋" w:eastAsia="仿宋" w:cs="宋体"/>
      <w:b/>
      <w:bCs/>
      <w:kern w:val="0"/>
      <w:sz w:val="24"/>
      <w:szCs w:val="24"/>
    </w:rPr>
  </w:style>
  <w:style w:type="paragraph" w:customStyle="1" w:styleId="59">
    <w:name w:val="xl70"/>
    <w:basedOn w:val="1"/>
    <w:qFormat/>
    <w:uiPriority w:val="0"/>
    <w:pPr>
      <w:widowControl/>
      <w:shd w:val="clear" w:color="000000" w:fill="00B0F0"/>
      <w:spacing w:before="100" w:beforeAutospacing="1" w:after="100" w:afterAutospacing="1"/>
      <w:jc w:val="left"/>
    </w:pPr>
    <w:rPr>
      <w:rFonts w:ascii="宋体" w:hAnsi="宋体" w:cs="宋体"/>
      <w:kern w:val="0"/>
      <w:sz w:val="24"/>
      <w:szCs w:val="24"/>
    </w:rPr>
  </w:style>
  <w:style w:type="paragraph" w:customStyle="1" w:styleId="6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b/>
      <w:bCs/>
      <w:color w:val="000000"/>
      <w:kern w:val="0"/>
      <w:sz w:val="18"/>
      <w:szCs w:val="18"/>
    </w:rPr>
  </w:style>
  <w:style w:type="paragraph" w:customStyle="1" w:styleId="6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b/>
      <w:bCs/>
      <w:color w:val="000000"/>
      <w:kern w:val="0"/>
      <w:sz w:val="18"/>
      <w:szCs w:val="18"/>
    </w:rPr>
  </w:style>
  <w:style w:type="paragraph" w:customStyle="1" w:styleId="62">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黑体" w:hAnsi="黑体" w:eastAsia="黑体" w:cs="宋体"/>
      <w:color w:val="000000"/>
      <w:kern w:val="0"/>
      <w:sz w:val="24"/>
      <w:szCs w:val="24"/>
    </w:rPr>
  </w:style>
  <w:style w:type="paragraph" w:customStyle="1" w:styleId="6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4">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left"/>
    </w:pPr>
    <w:rPr>
      <w:rFonts w:ascii="宋体" w:hAnsi="宋体" w:cs="宋体"/>
      <w:kern w:val="0"/>
      <w:sz w:val="24"/>
      <w:szCs w:val="24"/>
    </w:rPr>
  </w:style>
  <w:style w:type="paragraph" w:customStyle="1" w:styleId="65">
    <w:name w:val="表名"/>
    <w:basedOn w:val="1"/>
    <w:link w:val="66"/>
    <w:qFormat/>
    <w:uiPriority w:val="0"/>
    <w:pPr>
      <w:spacing w:line="360" w:lineRule="auto"/>
      <w:jc w:val="center"/>
    </w:pPr>
    <w:rPr>
      <w:rFonts w:eastAsia="仿宋"/>
      <w:b/>
      <w:sz w:val="24"/>
    </w:rPr>
  </w:style>
  <w:style w:type="character" w:customStyle="1" w:styleId="66">
    <w:name w:val="表名 字符"/>
    <w:link w:val="65"/>
    <w:qFormat/>
    <w:uiPriority w:val="0"/>
    <w:rPr>
      <w:rFonts w:ascii="Times New Roman" w:hAnsi="Times New Roman" w:eastAsia="仿宋"/>
      <w:b/>
      <w:kern w:val="2"/>
      <w:sz w:val="24"/>
      <w:szCs w:val="22"/>
    </w:rPr>
  </w:style>
  <w:style w:type="paragraph" w:customStyle="1" w:styleId="67">
    <w:name w:val="表格内容"/>
    <w:basedOn w:val="1"/>
    <w:link w:val="68"/>
    <w:qFormat/>
    <w:uiPriority w:val="0"/>
    <w:pPr>
      <w:widowControl/>
      <w:jc w:val="center"/>
    </w:pPr>
    <w:rPr>
      <w:rFonts w:eastAsia="仿宋"/>
      <w:color w:val="000000"/>
      <w:kern w:val="0"/>
      <w:sz w:val="24"/>
    </w:rPr>
  </w:style>
  <w:style w:type="character" w:customStyle="1" w:styleId="68">
    <w:name w:val="表格内容 字符"/>
    <w:link w:val="67"/>
    <w:qFormat/>
    <w:uiPriority w:val="0"/>
    <w:rPr>
      <w:rFonts w:ascii="Times New Roman" w:hAnsi="Times New Roman" w:eastAsia="仿宋" w:cs="宋体"/>
      <w:color w:val="000000"/>
      <w:sz w:val="24"/>
      <w:szCs w:val="22"/>
    </w:rPr>
  </w:style>
  <w:style w:type="character" w:customStyle="1" w:styleId="69">
    <w:name w:val="fontstyle21"/>
    <w:qFormat/>
    <w:uiPriority w:val="0"/>
    <w:rPr>
      <w:rFonts w:hint="eastAsia" w:ascii="仿宋_GB2312" w:eastAsia="仿宋_GB2312"/>
      <w:color w:val="000000"/>
      <w:sz w:val="32"/>
      <w:szCs w:val="32"/>
    </w:rPr>
  </w:style>
  <w:style w:type="character" w:customStyle="1" w:styleId="70">
    <w:name w:val="NormalCharacter"/>
    <w:qFormat/>
    <w:uiPriority w:val="0"/>
    <w:rPr>
      <w:rFonts w:ascii="Calibri" w:hAnsi="Calibri" w:eastAsia="宋体" w:cs="Times New Roman"/>
    </w:rPr>
  </w:style>
  <w:style w:type="paragraph" w:customStyle="1" w:styleId="71">
    <w:name w:val="_Style 70"/>
    <w:basedOn w:val="2"/>
    <w:next w:val="1"/>
    <w:qFormat/>
    <w:uiPriority w:val="0"/>
    <w:pPr>
      <w:widowControl/>
      <w:spacing w:beforeLines="0" w:afterLines="0" w:line="259" w:lineRule="auto"/>
      <w:jc w:val="left"/>
      <w:outlineLvl w:val="9"/>
    </w:pPr>
    <w:rPr>
      <w:rFonts w:ascii="等线 Light" w:hAnsi="等线 Light" w:eastAsia="等线 Light"/>
      <w:b w:val="0"/>
      <w:bCs w:val="0"/>
      <w:color w:val="2F5496"/>
      <w:kern w:val="0"/>
      <w:sz w:val="32"/>
      <w:szCs w:val="32"/>
    </w:rPr>
  </w:style>
  <w:style w:type="character" w:customStyle="1" w:styleId="72">
    <w:name w:val="表名 Char"/>
    <w:qFormat/>
    <w:uiPriority w:val="0"/>
    <w:rPr>
      <w:rFonts w:ascii="黑体" w:hAnsi="Times New Roman" w:eastAsia="黑体" w:cs="Times New Roman"/>
      <w:sz w:val="24"/>
      <w:szCs w:val="20"/>
    </w:rPr>
  </w:style>
  <w:style w:type="paragraph" w:customStyle="1" w:styleId="73">
    <w:name w:val="a1"/>
    <w:basedOn w:val="1"/>
    <w:qFormat/>
    <w:uiPriority w:val="0"/>
    <w:pPr>
      <w:widowControl/>
      <w:numPr>
        <w:ilvl w:val="0"/>
        <w:numId w:val="2"/>
      </w:numPr>
      <w:tabs>
        <w:tab w:val="clear" w:pos="1620"/>
      </w:tabs>
      <w:spacing w:before="100" w:beforeAutospacing="1" w:after="100" w:afterAutospacing="1" w:line="240" w:lineRule="atLeast"/>
      <w:ind w:left="0" w:firstLine="0"/>
      <w:jc w:val="left"/>
    </w:pPr>
    <w:rPr>
      <w:rFonts w:ascii="宋体" w:cs="宋体"/>
      <w:color w:val="000000"/>
      <w:kern w:val="0"/>
      <w:sz w:val="18"/>
      <w:szCs w:val="18"/>
    </w:rPr>
  </w:style>
  <w:style w:type="paragraph" w:styleId="74">
    <w:name w:val="List Paragraph"/>
    <w:basedOn w:val="1"/>
    <w:qFormat/>
    <w:uiPriority w:val="34"/>
    <w:pPr>
      <w:ind w:firstLine="420" w:firstLineChars="200"/>
    </w:pPr>
  </w:style>
  <w:style w:type="paragraph" w:customStyle="1" w:styleId="75">
    <w:name w:val="0正文"/>
    <w:basedOn w:val="1"/>
    <w:qFormat/>
    <w:uiPriority w:val="0"/>
    <w:pPr>
      <w:spacing w:line="360" w:lineRule="auto"/>
      <w:ind w:firstLine="200" w:firstLineChars="200"/>
    </w:pPr>
    <w:rPr>
      <w:sz w:val="24"/>
      <w:szCs w:val="24"/>
    </w:rPr>
  </w:style>
  <w:style w:type="paragraph" w:customStyle="1" w:styleId="76">
    <w:name w:val="标题3"/>
    <w:basedOn w:val="1"/>
    <w:qFormat/>
    <w:uiPriority w:val="0"/>
    <w:pPr>
      <w:spacing w:beforeLines="50" w:afterLines="50"/>
    </w:pPr>
    <w:rPr>
      <w:b/>
      <w:sz w:val="30"/>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textRotate="1"/>
    <customShpInfo spid="_x0000_s3074"/>
    <customShpInfo spid="_x0000_s3075"/>
    <customShpInfo spid="_x0000_s2062"/>
    <customShpInfo spid="_x0000_s2063"/>
    <customShpInfo spid="_x0000_s2054"/>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46</Pages>
  <Words>17805</Words>
  <Characters>19797</Characters>
  <Lines>162</Lines>
  <Paragraphs>45</Paragraphs>
  <TotalTime>0</TotalTime>
  <ScaleCrop>false</ScaleCrop>
  <LinksUpToDate>false</LinksUpToDate>
  <CharactersWithSpaces>19908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2023-06-28T03:33:00Z</dcterms:created>
  <dc:creator>天 勤</dc:creator>
  <cp:lastModifiedBy>水手公园</cp:lastModifiedBy>
  <cp:lastPrinted>2023-06-28T02:25:00Z</cp:lastPrinted>
  <dcterms:modified xsi:type="dcterms:W3CDTF">2023-07-25T02:05:14Z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B92036F5C1BB47608C0AD4E59809856B_13</vt:lpwstr>
  </property>
</Properties>
</file>