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outlineLvl w:val="0"/>
        <w:rPr>
          <w:rFonts w:hint="eastAsia" w:ascii="方正小标宋简体" w:eastAsia="方正小标宋简体"/>
          <w:b/>
          <w:color w:val="000000"/>
          <w:sz w:val="44"/>
          <w:szCs w:val="44"/>
        </w:rPr>
      </w:pPr>
      <w:r>
        <w:rPr>
          <w:rFonts w:hint="eastAsia" w:ascii="方正小标宋简体" w:eastAsia="方正小标宋简体"/>
          <w:b/>
          <w:color w:val="000000"/>
          <w:sz w:val="44"/>
          <w:szCs w:val="44"/>
          <w:lang w:val="en-US" w:eastAsia="zh-CN"/>
        </w:rPr>
        <w:t>济宁高新区投资促进局</w:t>
      </w:r>
      <w:r>
        <w:rPr>
          <w:rFonts w:hint="eastAsia" w:ascii="方正小标宋简体" w:eastAsia="方正小标宋简体"/>
          <w:b/>
          <w:color w:val="000000"/>
          <w:sz w:val="44"/>
          <w:szCs w:val="44"/>
        </w:rPr>
        <w:t>2022年</w:t>
      </w:r>
    </w:p>
    <w:p>
      <w:pPr>
        <w:spacing w:line="590" w:lineRule="exact"/>
        <w:ind w:right="-100" w:rightChars="-50"/>
        <w:jc w:val="center"/>
        <w:outlineLvl w:val="0"/>
        <w:rPr>
          <w:rFonts w:ascii="方正小标宋简体" w:eastAsia="方正小标宋简体"/>
          <w:b/>
          <w:color w:val="000000"/>
          <w:sz w:val="44"/>
          <w:szCs w:val="44"/>
        </w:rPr>
      </w:pPr>
      <w:r>
        <w:rPr>
          <w:rFonts w:hint="eastAsia" w:ascii="方正小标宋简体" w:eastAsia="方正小标宋简体"/>
          <w:b/>
          <w:color w:val="000000"/>
          <w:sz w:val="44"/>
          <w:szCs w:val="44"/>
        </w:rPr>
        <w:t>政府信息公开工作年度报告</w:t>
      </w:r>
    </w:p>
    <w:p>
      <w:pPr>
        <w:spacing w:line="590" w:lineRule="exact"/>
        <w:ind w:right="-100" w:rightChars="-50" w:firstLine="643" w:firstLineChars="200"/>
        <w:rPr>
          <w:rFonts w:ascii="方正仿宋简体" w:eastAsia="方正仿宋简体"/>
          <w:b/>
          <w:color w:val="000000"/>
          <w:sz w:val="32"/>
          <w:szCs w:val="32"/>
        </w:rPr>
      </w:pPr>
    </w:p>
    <w:p>
      <w:pPr>
        <w:spacing w:line="590" w:lineRule="exact"/>
        <w:ind w:right="-100" w:rightChars="-50" w:firstLine="643" w:firstLineChars="200"/>
        <w:rPr>
          <w:rFonts w:ascii="方正仿宋简体" w:eastAsia="方正仿宋简体"/>
          <w:b/>
          <w:color w:val="000000"/>
          <w:spacing w:val="-11"/>
          <w:sz w:val="32"/>
          <w:szCs w:val="32"/>
        </w:rPr>
      </w:pPr>
      <w:r>
        <w:rPr>
          <w:rFonts w:hint="eastAsia" w:ascii="方正仿宋简体" w:eastAsia="方正仿宋简体"/>
          <w:b/>
          <w:color w:val="000000"/>
          <w:sz w:val="32"/>
          <w:szCs w:val="32"/>
        </w:rPr>
        <w:t>本报告由</w:t>
      </w:r>
      <w:r>
        <w:rPr>
          <w:rFonts w:hint="eastAsia" w:ascii="方正仿宋简体" w:eastAsia="方正仿宋简体"/>
          <w:b/>
          <w:color w:val="000000"/>
          <w:sz w:val="32"/>
          <w:szCs w:val="32"/>
          <w:lang w:val="en-US" w:eastAsia="zh-CN"/>
        </w:rPr>
        <w:t>济宁高新区投资促进局</w:t>
      </w:r>
      <w:r>
        <w:rPr>
          <w:rFonts w:hint="eastAsia" w:ascii="方正仿宋简体" w:eastAsia="方正仿宋简体"/>
          <w:b/>
          <w:color w:val="000000"/>
          <w:sz w:val="32"/>
          <w:szCs w:val="32"/>
        </w:rPr>
        <w:t>按照《中华人民共和国政府信息公开条例》（以下简称《条例》）和《中华人民共和国政府信息</w:t>
      </w:r>
      <w:r>
        <w:rPr>
          <w:rFonts w:hint="eastAsia" w:ascii="方正仿宋简体" w:eastAsia="方正仿宋简体"/>
          <w:b/>
          <w:color w:val="000000"/>
          <w:spacing w:val="-11"/>
          <w:sz w:val="32"/>
          <w:szCs w:val="32"/>
        </w:rPr>
        <w:t>公开工作年度报告格式》（国办公开办函〔2021〕30号）要求编制。</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本报告所列数据的统计期限自2022年1月1日起至2022年12月31日止。本报告电子版可在“济宁高新区管委会”门户网站（http://www.jnhn.gov.cn）查阅或下载</w:t>
      </w:r>
      <w:r>
        <w:rPr>
          <w:rFonts w:hint="eastAsia" w:ascii="方正仿宋简体" w:eastAsia="方正仿宋简体"/>
          <w:b/>
          <w:color w:val="000000"/>
          <w:sz w:val="32"/>
          <w:szCs w:val="32"/>
          <w:lang w:eastAsia="zh-CN"/>
        </w:rPr>
        <w:t>。</w:t>
      </w:r>
      <w:bookmarkStart w:id="0" w:name="_GoBack"/>
      <w:bookmarkEnd w:id="0"/>
      <w:r>
        <w:rPr>
          <w:rFonts w:hint="eastAsia" w:ascii="方正仿宋简体" w:eastAsia="方正仿宋简体"/>
          <w:b/>
          <w:color w:val="000000"/>
          <w:sz w:val="32"/>
          <w:szCs w:val="32"/>
        </w:rPr>
        <w:t>如对本报告有疑问，请与</w:t>
      </w:r>
      <w:r>
        <w:rPr>
          <w:rFonts w:hint="eastAsia" w:ascii="方正仿宋简体" w:eastAsia="方正仿宋简体"/>
          <w:b/>
          <w:color w:val="000000"/>
          <w:sz w:val="32"/>
          <w:szCs w:val="32"/>
          <w:lang w:val="en-US" w:eastAsia="zh-CN"/>
        </w:rPr>
        <w:t>济宁高新区投资促进局</w:t>
      </w:r>
      <w:r>
        <w:rPr>
          <w:rFonts w:hint="eastAsia" w:ascii="方正仿宋简体" w:eastAsia="方正仿宋简体"/>
          <w:b/>
          <w:color w:val="000000"/>
          <w:sz w:val="32"/>
          <w:szCs w:val="32"/>
        </w:rPr>
        <w:t>联系（地址：</w:t>
      </w:r>
      <w:r>
        <w:rPr>
          <w:rFonts w:hint="eastAsia" w:ascii="方正仿宋简体" w:eastAsia="方正仿宋简体"/>
          <w:b/>
          <w:color w:val="000000"/>
          <w:sz w:val="32"/>
          <w:szCs w:val="32"/>
          <w:lang w:val="en-US" w:eastAsia="zh-CN"/>
        </w:rPr>
        <w:t>济宁市高新区柳行街道海川路产学研基地T2</w:t>
      </w:r>
      <w:r>
        <w:rPr>
          <w:rFonts w:hint="eastAsia" w:ascii="方正仿宋简体" w:eastAsia="方正仿宋简体"/>
          <w:b/>
          <w:color w:val="000000"/>
          <w:sz w:val="32"/>
          <w:szCs w:val="32"/>
        </w:rPr>
        <w:t>，联系电话：0537—</w:t>
      </w:r>
      <w:r>
        <w:rPr>
          <w:rFonts w:hint="eastAsia" w:ascii="方正仿宋简体" w:eastAsia="方正仿宋简体"/>
          <w:b/>
          <w:color w:val="000000"/>
          <w:sz w:val="32"/>
          <w:szCs w:val="32"/>
          <w:lang w:val="en-US" w:eastAsia="zh-CN"/>
        </w:rPr>
        <w:t>3255058</w:t>
      </w:r>
      <w:r>
        <w:rPr>
          <w:rFonts w:hint="eastAsia" w:ascii="方正仿宋简体" w:eastAsia="方正仿宋简体"/>
          <w:b/>
          <w:color w:val="000000"/>
          <w:sz w:val="32"/>
          <w:szCs w:val="32"/>
        </w:rPr>
        <w:t>）。</w:t>
      </w:r>
    </w:p>
    <w:p>
      <w:pPr>
        <w:spacing w:line="590" w:lineRule="exact"/>
        <w:ind w:right="-100" w:rightChars="-50" w:firstLine="641" w:firstLineChars="200"/>
        <w:rPr>
          <w:rFonts w:ascii="方正黑体简体" w:eastAsia="方正黑体简体"/>
          <w:b/>
          <w:color w:val="000000"/>
          <w:sz w:val="32"/>
          <w:szCs w:val="32"/>
        </w:rPr>
      </w:pPr>
      <w:r>
        <w:rPr>
          <w:rFonts w:hint="eastAsia" w:ascii="方正黑体简体" w:eastAsia="方正黑体简体"/>
          <w:b/>
          <w:color w:val="000000"/>
          <w:sz w:val="32"/>
          <w:szCs w:val="32"/>
        </w:rPr>
        <w:t>一、总体情况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方正仿宋简体" w:hAnsi="Times New Roman" w:eastAsia="方正仿宋简体" w:cs="Times New Roman"/>
          <w:b/>
          <w:color w:val="000000"/>
          <w:kern w:val="0"/>
          <w:sz w:val="32"/>
          <w:szCs w:val="32"/>
          <w:lang w:val="en-US" w:eastAsia="zh-CN" w:bidi="ar-SA"/>
        </w:rPr>
      </w:pPr>
      <w:r>
        <w:rPr>
          <w:rFonts w:hint="eastAsia" w:ascii="方正仿宋简体" w:hAnsi="Times New Roman" w:eastAsia="方正仿宋简体" w:cs="Times New Roman"/>
          <w:b/>
          <w:color w:val="000000"/>
          <w:kern w:val="0"/>
          <w:sz w:val="32"/>
          <w:szCs w:val="32"/>
          <w:lang w:val="en-US" w:eastAsia="zh-CN" w:bidi="ar-SA"/>
        </w:rPr>
        <w:t>2022年，济宁高新区投资促进局坚持以习近平新时代中国特色社会主义思想为指导，认真贯彻《中华人民共和国政府信息公开条例》和《山东省政府信息公开办法》，严格落实高新区管委会2022年重点工作安排，不断规范政府信息公开的内容、程序、形式及监督保障措施，通过信息公开不断优化对“双招招引”、“产业促进”的服务，进一步增强了工作透明度，切实推动了政务信息公开工作不断发展进步。</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（一）主动公开情况</w:t>
      </w:r>
    </w:p>
    <w:p>
      <w:pPr>
        <w:spacing w:line="590" w:lineRule="exact"/>
        <w:ind w:right="-100" w:rightChars="-50" w:firstLine="643" w:firstLineChars="200"/>
        <w:rPr>
          <w:rFonts w:hint="eastAsia" w:ascii="方正仿宋简体" w:hAnsi="Times New Roman" w:eastAsia="方正仿宋简体" w:cs="Times New Roman"/>
          <w:b/>
          <w:color w:val="000000"/>
          <w:kern w:val="0"/>
          <w:sz w:val="32"/>
          <w:szCs w:val="32"/>
          <w:lang w:val="en-US" w:eastAsia="zh-CN" w:bidi="ar-SA"/>
        </w:rPr>
      </w:pPr>
      <w:r>
        <w:rPr>
          <w:rFonts w:hint="eastAsia" w:ascii="方正仿宋简体" w:hAnsi="Times New Roman" w:eastAsia="方正仿宋简体" w:cs="Times New Roman"/>
          <w:b/>
          <w:color w:val="000000"/>
          <w:kern w:val="0"/>
          <w:sz w:val="32"/>
          <w:szCs w:val="32"/>
          <w:lang w:val="en-US" w:eastAsia="zh-CN" w:bidi="ar-SA"/>
        </w:rPr>
        <w:t>202</w:t>
      </w:r>
      <w:r>
        <w:rPr>
          <w:rFonts w:hint="eastAsia" w:ascii="方正仿宋简体" w:eastAsia="方正仿宋简体" w:cs="Times New Roman"/>
          <w:b/>
          <w:color w:val="000000"/>
          <w:kern w:val="0"/>
          <w:sz w:val="32"/>
          <w:szCs w:val="32"/>
          <w:lang w:val="en-US" w:eastAsia="zh-CN" w:bidi="ar-SA"/>
        </w:rPr>
        <w:t>2</w:t>
      </w:r>
      <w:r>
        <w:rPr>
          <w:rFonts w:hint="eastAsia" w:ascii="方正仿宋简体" w:hAnsi="Times New Roman" w:eastAsia="方正仿宋简体" w:cs="Times New Roman"/>
          <w:b/>
          <w:color w:val="000000"/>
          <w:kern w:val="0"/>
          <w:sz w:val="32"/>
          <w:szCs w:val="32"/>
          <w:lang w:val="en-US" w:eastAsia="zh-CN" w:bidi="ar-SA"/>
        </w:rPr>
        <w:t>年度，济宁高新区投资促进</w:t>
      </w:r>
      <w:r>
        <w:rPr>
          <w:rFonts w:hint="eastAsia" w:ascii="方正仿宋简体" w:eastAsia="方正仿宋简体" w:cs="Times New Roman"/>
          <w:b/>
          <w:color w:val="000000"/>
          <w:kern w:val="0"/>
          <w:sz w:val="32"/>
          <w:szCs w:val="32"/>
          <w:lang w:val="en-US" w:eastAsia="zh-CN" w:bidi="ar-SA"/>
        </w:rPr>
        <w:t>局</w:t>
      </w:r>
      <w:r>
        <w:rPr>
          <w:rFonts w:hint="eastAsia" w:ascii="方正仿宋简体" w:hAnsi="Times New Roman" w:eastAsia="方正仿宋简体" w:cs="Times New Roman"/>
          <w:b/>
          <w:color w:val="000000"/>
          <w:kern w:val="0"/>
          <w:sz w:val="32"/>
          <w:szCs w:val="32"/>
          <w:lang w:val="en-US" w:eastAsia="zh-CN" w:bidi="ar-SA"/>
        </w:rPr>
        <w:t>公示政务信息</w:t>
      </w:r>
      <w:r>
        <w:rPr>
          <w:rFonts w:hint="eastAsia" w:ascii="方正仿宋简体" w:eastAsia="方正仿宋简体" w:cs="Times New Roman"/>
          <w:b/>
          <w:color w:val="000000"/>
          <w:kern w:val="0"/>
          <w:sz w:val="32"/>
          <w:szCs w:val="32"/>
          <w:lang w:val="en-US" w:eastAsia="zh-CN" w:bidi="ar-SA"/>
        </w:rPr>
        <w:t>185</w:t>
      </w:r>
      <w:r>
        <w:rPr>
          <w:rFonts w:hint="eastAsia" w:ascii="方正仿宋简体" w:hAnsi="Times New Roman" w:eastAsia="方正仿宋简体" w:cs="Times New Roman"/>
          <w:b/>
          <w:color w:val="000000"/>
          <w:kern w:val="0"/>
          <w:sz w:val="32"/>
          <w:szCs w:val="32"/>
          <w:lang w:val="en-US" w:eastAsia="zh-CN" w:bidi="ar-SA"/>
        </w:rPr>
        <w:t>条，其中政策文件（含法规）</w:t>
      </w:r>
      <w:r>
        <w:rPr>
          <w:rFonts w:hint="eastAsia" w:ascii="方正仿宋简体" w:eastAsia="方正仿宋简体" w:cs="Times New Roman"/>
          <w:b/>
          <w:color w:val="000000"/>
          <w:kern w:val="0"/>
          <w:sz w:val="32"/>
          <w:szCs w:val="32"/>
          <w:lang w:val="en-US" w:eastAsia="zh-CN" w:bidi="ar-SA"/>
        </w:rPr>
        <w:t>1</w:t>
      </w:r>
      <w:r>
        <w:rPr>
          <w:rFonts w:hint="eastAsia" w:ascii="方正仿宋简体" w:hAnsi="Times New Roman" w:eastAsia="方正仿宋简体" w:cs="Times New Roman"/>
          <w:b/>
          <w:color w:val="000000"/>
          <w:kern w:val="0"/>
          <w:sz w:val="32"/>
          <w:szCs w:val="32"/>
          <w:lang w:val="en-US" w:eastAsia="zh-CN" w:bidi="ar-SA"/>
        </w:rPr>
        <w:t>条，会议公开</w:t>
      </w:r>
      <w:r>
        <w:rPr>
          <w:rFonts w:hint="eastAsia" w:ascii="方正仿宋简体" w:eastAsia="方正仿宋简体" w:cs="Times New Roman"/>
          <w:b/>
          <w:color w:val="000000"/>
          <w:kern w:val="0"/>
          <w:sz w:val="32"/>
          <w:szCs w:val="32"/>
          <w:lang w:val="en-US" w:eastAsia="zh-CN" w:bidi="ar-SA"/>
        </w:rPr>
        <w:t>17</w:t>
      </w:r>
      <w:r>
        <w:rPr>
          <w:rFonts w:hint="eastAsia" w:ascii="方正仿宋简体" w:hAnsi="Times New Roman" w:eastAsia="方正仿宋简体" w:cs="Times New Roman"/>
          <w:b/>
          <w:color w:val="000000"/>
          <w:kern w:val="0"/>
          <w:sz w:val="32"/>
          <w:szCs w:val="32"/>
          <w:lang w:val="en-US" w:eastAsia="zh-CN" w:bidi="ar-SA"/>
        </w:rPr>
        <w:t>条，政策解读</w:t>
      </w:r>
      <w:r>
        <w:rPr>
          <w:rFonts w:hint="eastAsia" w:ascii="方正仿宋简体" w:eastAsia="方正仿宋简体" w:cs="Times New Roman"/>
          <w:b/>
          <w:color w:val="000000"/>
          <w:kern w:val="0"/>
          <w:sz w:val="32"/>
          <w:szCs w:val="32"/>
          <w:lang w:val="en-US" w:eastAsia="zh-CN" w:bidi="ar-SA"/>
        </w:rPr>
        <w:t>4</w:t>
      </w:r>
      <w:r>
        <w:rPr>
          <w:rFonts w:hint="eastAsia" w:ascii="方正仿宋简体" w:hAnsi="Times New Roman" w:eastAsia="方正仿宋简体" w:cs="Times New Roman"/>
          <w:b/>
          <w:color w:val="000000"/>
          <w:kern w:val="0"/>
          <w:sz w:val="32"/>
          <w:szCs w:val="32"/>
          <w:lang w:val="en-US" w:eastAsia="zh-CN" w:bidi="ar-SA"/>
        </w:rPr>
        <w:t>条（文字解读</w:t>
      </w:r>
      <w:r>
        <w:rPr>
          <w:rFonts w:hint="eastAsia" w:ascii="方正仿宋简体" w:eastAsia="方正仿宋简体" w:cs="Times New Roman"/>
          <w:b/>
          <w:color w:val="000000"/>
          <w:kern w:val="0"/>
          <w:sz w:val="32"/>
          <w:szCs w:val="32"/>
          <w:lang w:val="en-US" w:eastAsia="zh-CN" w:bidi="ar-SA"/>
        </w:rPr>
        <w:t>3</w:t>
      </w:r>
      <w:r>
        <w:rPr>
          <w:rFonts w:hint="eastAsia" w:ascii="方正仿宋简体" w:hAnsi="Times New Roman" w:eastAsia="方正仿宋简体" w:cs="Times New Roman"/>
          <w:b/>
          <w:color w:val="000000"/>
          <w:kern w:val="0"/>
          <w:sz w:val="32"/>
          <w:szCs w:val="32"/>
          <w:lang w:val="en-US" w:eastAsia="zh-CN" w:bidi="ar-SA"/>
        </w:rPr>
        <w:t>条、图文解读1条），主动公开基本目录（部门单位）1条，产业促进16</w:t>
      </w:r>
      <w:r>
        <w:rPr>
          <w:rFonts w:hint="eastAsia" w:ascii="方正仿宋简体" w:eastAsia="方正仿宋简体" w:cs="Times New Roman"/>
          <w:b/>
          <w:color w:val="000000"/>
          <w:kern w:val="0"/>
          <w:sz w:val="32"/>
          <w:szCs w:val="32"/>
          <w:lang w:val="en-US" w:eastAsia="zh-CN" w:bidi="ar-SA"/>
        </w:rPr>
        <w:t>3</w:t>
      </w:r>
      <w:r>
        <w:rPr>
          <w:rFonts w:hint="eastAsia" w:ascii="方正仿宋简体" w:hAnsi="Times New Roman" w:eastAsia="方正仿宋简体" w:cs="Times New Roman"/>
          <w:b/>
          <w:color w:val="000000"/>
          <w:kern w:val="0"/>
          <w:sz w:val="32"/>
          <w:szCs w:val="32"/>
          <w:lang w:val="en-US" w:eastAsia="zh-CN" w:bidi="ar-SA"/>
        </w:rPr>
        <w:t>条（产业动态</w:t>
      </w:r>
      <w:r>
        <w:rPr>
          <w:rFonts w:hint="eastAsia" w:ascii="方正仿宋简体" w:eastAsia="方正仿宋简体" w:cs="Times New Roman"/>
          <w:b/>
          <w:color w:val="000000"/>
          <w:kern w:val="0"/>
          <w:sz w:val="32"/>
          <w:szCs w:val="32"/>
          <w:lang w:val="en-US" w:eastAsia="zh-CN" w:bidi="ar-SA"/>
        </w:rPr>
        <w:t>54</w:t>
      </w:r>
      <w:r>
        <w:rPr>
          <w:rFonts w:hint="eastAsia" w:ascii="方正仿宋简体" w:hAnsi="Times New Roman" w:eastAsia="方正仿宋简体" w:cs="Times New Roman"/>
          <w:b/>
          <w:color w:val="000000"/>
          <w:kern w:val="0"/>
          <w:sz w:val="32"/>
          <w:szCs w:val="32"/>
          <w:lang w:val="en-US" w:eastAsia="zh-CN" w:bidi="ar-SA"/>
        </w:rPr>
        <w:t>条，投资政策4</w:t>
      </w:r>
      <w:r>
        <w:rPr>
          <w:rFonts w:hint="eastAsia" w:ascii="方正仿宋简体" w:eastAsia="方正仿宋简体" w:cs="Times New Roman"/>
          <w:b/>
          <w:color w:val="000000"/>
          <w:kern w:val="0"/>
          <w:sz w:val="32"/>
          <w:szCs w:val="32"/>
          <w:lang w:val="en-US" w:eastAsia="zh-CN" w:bidi="ar-SA"/>
        </w:rPr>
        <w:t>6</w:t>
      </w:r>
      <w:r>
        <w:rPr>
          <w:rFonts w:hint="eastAsia" w:ascii="方正仿宋简体" w:hAnsi="Times New Roman" w:eastAsia="方正仿宋简体" w:cs="Times New Roman"/>
          <w:b/>
          <w:color w:val="000000"/>
          <w:kern w:val="0"/>
          <w:sz w:val="32"/>
          <w:szCs w:val="32"/>
          <w:lang w:val="en-US" w:eastAsia="zh-CN" w:bidi="ar-SA"/>
        </w:rPr>
        <w:t>条，投资环境</w:t>
      </w:r>
      <w:r>
        <w:rPr>
          <w:rFonts w:hint="eastAsia" w:ascii="方正仿宋简体" w:eastAsia="方正仿宋简体" w:cs="Times New Roman"/>
          <w:b/>
          <w:color w:val="000000"/>
          <w:kern w:val="0"/>
          <w:sz w:val="32"/>
          <w:szCs w:val="32"/>
          <w:lang w:val="en-US" w:eastAsia="zh-CN" w:bidi="ar-SA"/>
        </w:rPr>
        <w:t>35</w:t>
      </w:r>
      <w:r>
        <w:rPr>
          <w:rFonts w:hint="eastAsia" w:ascii="方正仿宋简体" w:hAnsi="Times New Roman" w:eastAsia="方正仿宋简体" w:cs="Times New Roman"/>
          <w:b/>
          <w:color w:val="000000"/>
          <w:kern w:val="0"/>
          <w:sz w:val="32"/>
          <w:szCs w:val="32"/>
          <w:lang w:val="en-US" w:eastAsia="zh-CN" w:bidi="ar-SA"/>
        </w:rPr>
        <w:t>条、明星企业2</w:t>
      </w:r>
      <w:r>
        <w:rPr>
          <w:rFonts w:hint="eastAsia" w:ascii="方正仿宋简体" w:eastAsia="方正仿宋简体" w:cs="Times New Roman"/>
          <w:b/>
          <w:color w:val="000000"/>
          <w:kern w:val="0"/>
          <w:sz w:val="32"/>
          <w:szCs w:val="32"/>
          <w:lang w:val="en-US" w:eastAsia="zh-CN" w:bidi="ar-SA"/>
        </w:rPr>
        <w:t>8</w:t>
      </w:r>
      <w:r>
        <w:rPr>
          <w:rFonts w:hint="eastAsia" w:ascii="方正仿宋简体" w:hAnsi="Times New Roman" w:eastAsia="方正仿宋简体" w:cs="Times New Roman"/>
          <w:b/>
          <w:color w:val="000000"/>
          <w:kern w:val="0"/>
          <w:sz w:val="32"/>
          <w:szCs w:val="32"/>
          <w:lang w:val="en-US" w:eastAsia="zh-CN" w:bidi="ar-SA"/>
        </w:rPr>
        <w:t>条）。</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3" w:firstLineChars="200"/>
        <w:textAlignment w:val="auto"/>
        <w:rPr>
          <w:rFonts w:ascii="方正楷体简体" w:eastAsia="方正楷体简体"/>
          <w:b/>
          <w:color w:val="000000"/>
          <w:sz w:val="32"/>
          <w:szCs w:val="32"/>
        </w:rPr>
      </w:pPr>
      <w:r>
        <w:rPr>
          <w:rFonts w:hint="eastAsia" w:ascii="方正仿宋简体" w:hAnsi="Times New Roman" w:eastAsia="方正仿宋简体" w:cs="Times New Roman"/>
          <w:b/>
          <w:color w:val="000000"/>
          <w:kern w:val="0"/>
          <w:sz w:val="32"/>
          <w:szCs w:val="32"/>
          <w:lang w:val="en-US" w:eastAsia="zh-CN" w:bidi="ar-SA"/>
        </w:rPr>
        <w:object>
          <v:shape id="_x0000_i1025" o:spt="75" type="#_x0000_t75" style="height:222.75pt;width:440.25pt;" o:ole="t" filled="f" o:preferrelative="t" stroked="f" coordsize="21600,21600">
            <v:path/>
            <v:fill on="f" focussize="0,0"/>
            <v:stroke on="f"/>
            <v:imagedata r:id="rId5" o:title=""/>
            <o:lock v:ext="edit" aspectratio="t"/>
            <w10:wrap type="none"/>
            <w10:anchorlock/>
          </v:shape>
          <o:OLEObject Type="Embed" ProgID="Excel.Chart.8" ShapeID="_x0000_i1025" DrawAspect="Content" ObjectID="_1468075725" r:id="rId4">
            <o:LockedField>false</o:LockedField>
          </o:OLEObject>
        </w:object>
      </w:r>
      <w:r>
        <w:rPr>
          <w:rFonts w:hint="eastAsia" w:ascii="方正仿宋简体" w:eastAsia="方正仿宋简体" w:cs="Times New Roman"/>
          <w:b/>
          <w:color w:val="000000"/>
          <w:kern w:val="0"/>
          <w:sz w:val="32"/>
          <w:szCs w:val="32"/>
          <w:lang w:val="en-US" w:eastAsia="zh-CN" w:bidi="ar-SA"/>
        </w:rPr>
        <w:t xml:space="preserve">  </w:t>
      </w:r>
      <w:r>
        <w:rPr>
          <w:rFonts w:hint="eastAsia" w:ascii="方正楷体简体" w:eastAsia="方正楷体简体"/>
          <w:b/>
          <w:color w:val="000000"/>
          <w:sz w:val="32"/>
          <w:szCs w:val="32"/>
        </w:rPr>
        <w:t>（二）依申请公开情况</w:t>
      </w:r>
    </w:p>
    <w:p>
      <w:pPr>
        <w:spacing w:line="590" w:lineRule="exact"/>
        <w:ind w:right="-100" w:rightChars="-50" w:firstLine="643" w:firstLineChars="200"/>
        <w:rPr>
          <w:rFonts w:hint="eastAsia" w:ascii="方正仿宋简体" w:hAnsi="Times New Roman" w:eastAsia="方正仿宋简体" w:cs="Times New Roman"/>
          <w:b/>
          <w:color w:val="000000"/>
          <w:kern w:val="0"/>
          <w:sz w:val="32"/>
          <w:szCs w:val="32"/>
          <w:lang w:val="en-US" w:eastAsia="zh-CN" w:bidi="ar-SA"/>
        </w:rPr>
      </w:pPr>
      <w:r>
        <w:rPr>
          <w:rFonts w:hint="eastAsia" w:ascii="方正仿宋简体" w:hAnsi="Times New Roman" w:eastAsia="方正仿宋简体" w:cs="Times New Roman"/>
          <w:b/>
          <w:color w:val="000000"/>
          <w:kern w:val="0"/>
          <w:sz w:val="32"/>
          <w:szCs w:val="32"/>
          <w:lang w:val="en-US" w:eastAsia="zh-CN" w:bidi="ar-SA"/>
        </w:rPr>
        <w:t>2022年未收到依申请公开相关信息。</w:t>
      </w:r>
    </w:p>
    <w:p>
      <w:pPr>
        <w:spacing w:line="590" w:lineRule="exact"/>
        <w:ind w:right="-100" w:rightChars="-50" w:firstLine="643" w:firstLineChars="200"/>
        <w:rPr>
          <w:rFonts w:hint="eastAsia" w:ascii="方正仿宋简体" w:hAnsi="Times New Roman" w:eastAsia="方正仿宋简体" w:cs="Times New Roman"/>
          <w:b/>
          <w:color w:val="000000"/>
          <w:kern w:val="0"/>
          <w:sz w:val="32"/>
          <w:szCs w:val="32"/>
          <w:lang w:val="en-US" w:eastAsia="zh-CN" w:bidi="ar-SA"/>
        </w:rPr>
      </w:pPr>
      <w:r>
        <w:rPr>
          <w:rFonts w:hint="eastAsia" w:ascii="方正仿宋简体" w:hAnsi="Times New Roman" w:eastAsia="方正仿宋简体" w:cs="Times New Roman"/>
          <w:b/>
          <w:color w:val="000000"/>
          <w:kern w:val="0"/>
          <w:sz w:val="32"/>
          <w:szCs w:val="32"/>
          <w:lang w:val="en-US" w:eastAsia="zh-CN" w:bidi="ar-SA"/>
        </w:rPr>
        <w:t>（三）政府信息管理情况</w:t>
      </w:r>
    </w:p>
    <w:p>
      <w:pPr>
        <w:spacing w:line="590" w:lineRule="exact"/>
        <w:ind w:right="-100" w:rightChars="-50" w:firstLine="643" w:firstLineChars="200"/>
        <w:rPr>
          <w:rFonts w:hint="default" w:ascii="方正仿宋简体" w:hAnsi="Times New Roman" w:eastAsia="方正仿宋简体" w:cs="Times New Roman"/>
          <w:b/>
          <w:color w:val="000000"/>
          <w:kern w:val="0"/>
          <w:sz w:val="32"/>
          <w:szCs w:val="32"/>
          <w:lang w:val="en-US" w:eastAsia="zh-CN" w:bidi="ar-SA"/>
        </w:rPr>
      </w:pPr>
      <w:r>
        <w:rPr>
          <w:rFonts w:hint="eastAsia" w:ascii="方正仿宋简体" w:hAnsi="Times New Roman" w:eastAsia="方正仿宋简体" w:cs="Times New Roman"/>
          <w:b/>
          <w:color w:val="000000"/>
          <w:kern w:val="0"/>
          <w:sz w:val="32"/>
          <w:szCs w:val="32"/>
          <w:lang w:val="en-US" w:eastAsia="zh-CN" w:bidi="ar-SA"/>
        </w:rPr>
        <w:t>严格执行政府信息公开管理制度，完善</w:t>
      </w:r>
      <w:r>
        <w:rPr>
          <w:rFonts w:hint="default" w:ascii="方正仿宋简体" w:hAnsi="Times New Roman" w:eastAsia="方正仿宋简体" w:cs="Times New Roman"/>
          <w:b/>
          <w:color w:val="000000"/>
          <w:kern w:val="0"/>
          <w:sz w:val="32"/>
          <w:szCs w:val="32"/>
          <w:lang w:val="en-US" w:eastAsia="zh-CN" w:bidi="ar-SA"/>
        </w:rPr>
        <w:t>各处室信息联络员制度，负责本处室政府信息公开的日常工作。严格遵循“以公开为原则、不公开为例外”和“谁制作、谁公开、谁负责”的原则，切实提升信息公开的主动性、规范性、实效性。</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（四）政府信息公开平台建设情况</w:t>
      </w:r>
    </w:p>
    <w:p>
      <w:pPr>
        <w:spacing w:line="590" w:lineRule="exact"/>
        <w:ind w:right="-100" w:rightChars="-50" w:firstLine="643" w:firstLineChars="200"/>
        <w:rPr>
          <w:rFonts w:hint="eastAsia" w:ascii="方正仿宋简体" w:hAnsi="Times New Roman" w:eastAsia="方正仿宋简体" w:cs="Times New Roman"/>
          <w:b/>
          <w:color w:val="000000"/>
          <w:kern w:val="0"/>
          <w:sz w:val="32"/>
          <w:szCs w:val="32"/>
          <w:lang w:val="en-US" w:eastAsia="zh-CN" w:bidi="ar-SA"/>
        </w:rPr>
      </w:pPr>
      <w:r>
        <w:rPr>
          <w:rFonts w:hint="eastAsia" w:ascii="方正仿宋简体" w:hAnsi="Times New Roman" w:eastAsia="方正仿宋简体" w:cs="Times New Roman"/>
          <w:b/>
          <w:color w:val="000000"/>
          <w:kern w:val="0"/>
          <w:sz w:val="32"/>
          <w:szCs w:val="32"/>
          <w:lang w:val="en-US" w:eastAsia="zh-CN" w:bidi="ar-SA"/>
        </w:rPr>
        <w:t>发挥政府政务公开平台政务公开主阵地作用，</w:t>
      </w:r>
      <w:r>
        <w:rPr>
          <w:rFonts w:hint="eastAsia" w:ascii="方正仿宋简体" w:eastAsia="方正仿宋简体" w:cs="Times New Roman"/>
          <w:b/>
          <w:color w:val="000000"/>
          <w:kern w:val="0"/>
          <w:sz w:val="32"/>
          <w:szCs w:val="32"/>
          <w:lang w:val="en-US" w:eastAsia="zh-CN" w:bidi="ar-SA"/>
        </w:rPr>
        <w:t>济宁高新区投资促进局</w:t>
      </w:r>
      <w:r>
        <w:rPr>
          <w:rFonts w:hint="eastAsia" w:ascii="方正仿宋简体" w:hAnsi="Times New Roman" w:eastAsia="方正仿宋简体" w:cs="Times New Roman"/>
          <w:b/>
          <w:color w:val="000000"/>
          <w:kern w:val="0"/>
          <w:sz w:val="32"/>
          <w:szCs w:val="32"/>
          <w:lang w:val="en-US" w:eastAsia="zh-CN" w:bidi="ar-SA"/>
        </w:rPr>
        <w:t>年度发布产业促进1</w:t>
      </w:r>
      <w:r>
        <w:rPr>
          <w:rFonts w:hint="eastAsia" w:ascii="方正仿宋简体" w:eastAsia="方正仿宋简体" w:cs="Times New Roman"/>
          <w:b/>
          <w:color w:val="000000"/>
          <w:kern w:val="0"/>
          <w:sz w:val="32"/>
          <w:szCs w:val="32"/>
          <w:lang w:val="en-US" w:eastAsia="zh-CN" w:bidi="ar-SA"/>
        </w:rPr>
        <w:t>85</w:t>
      </w:r>
      <w:r>
        <w:rPr>
          <w:rFonts w:hint="eastAsia" w:ascii="方正仿宋简体" w:hAnsi="Times New Roman" w:eastAsia="方正仿宋简体" w:cs="Times New Roman"/>
          <w:b/>
          <w:color w:val="000000"/>
          <w:kern w:val="0"/>
          <w:sz w:val="32"/>
          <w:szCs w:val="32"/>
          <w:lang w:val="en-US" w:eastAsia="zh-CN" w:bidi="ar-SA"/>
        </w:rPr>
        <w:t>条；开设产业动态、投资政策、投资环境、明星企业等栏目。</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（五）监督保障情况</w:t>
      </w:r>
    </w:p>
    <w:p>
      <w:pPr>
        <w:spacing w:line="590" w:lineRule="exact"/>
        <w:ind w:right="-100" w:rightChars="-50" w:firstLine="643" w:firstLineChars="200"/>
        <w:rPr>
          <w:rFonts w:hint="default" w:ascii="方正仿宋简体" w:eastAsia="方正仿宋简体" w:cs="Times New Roman"/>
          <w:b/>
          <w:color w:val="000000"/>
          <w:kern w:val="0"/>
          <w:sz w:val="32"/>
          <w:szCs w:val="32"/>
          <w:lang w:val="en-US" w:eastAsia="zh-CN" w:bidi="ar-SA"/>
        </w:rPr>
      </w:pPr>
      <w:r>
        <w:rPr>
          <w:rFonts w:hint="eastAsia" w:ascii="方正仿宋简体" w:eastAsia="方正仿宋简体" w:cs="Times New Roman"/>
          <w:b/>
          <w:color w:val="000000"/>
          <w:kern w:val="0"/>
          <w:sz w:val="32"/>
          <w:szCs w:val="32"/>
          <w:lang w:val="en-US" w:eastAsia="zh-CN" w:bidi="ar-SA"/>
        </w:rPr>
        <w:t>通过济宁高新区投资促进局领导班子</w:t>
      </w:r>
      <w:r>
        <w:rPr>
          <w:rFonts w:hint="eastAsia" w:ascii="方正仿宋简体" w:hAnsi="Times New Roman" w:eastAsia="方正仿宋简体" w:cs="Times New Roman"/>
          <w:b/>
          <w:color w:val="000000"/>
          <w:kern w:val="0"/>
          <w:sz w:val="32"/>
          <w:szCs w:val="32"/>
          <w:lang w:val="en-US" w:eastAsia="zh-CN" w:bidi="ar-SA"/>
        </w:rPr>
        <w:t>研究布置政府信息公开工作；建立由</w:t>
      </w:r>
      <w:r>
        <w:rPr>
          <w:rFonts w:hint="eastAsia" w:ascii="方正仿宋简体" w:eastAsia="方正仿宋简体" w:cs="Times New Roman"/>
          <w:b/>
          <w:color w:val="000000"/>
          <w:kern w:val="0"/>
          <w:sz w:val="32"/>
          <w:szCs w:val="32"/>
          <w:lang w:val="en-US" w:eastAsia="zh-CN" w:bidi="ar-SA"/>
        </w:rPr>
        <w:t>综合处+产业处室的政务信息采集和发布的“贯穿”机制，综合处负责政策汇编和会议内容发布，各产业处室提供产业动态、投资环境、明星企业的信息收集。此外济宁高新区投资促进局积极开展业务培训和对标学习，认真学习省内外重点城市产业信息内容，高效率运用在现有产业信息动态中。</w:t>
      </w:r>
    </w:p>
    <w:p>
      <w:pPr>
        <w:spacing w:line="590" w:lineRule="exact"/>
        <w:ind w:right="-100" w:rightChars="-50" w:firstLine="641" w:firstLineChars="200"/>
        <w:rPr>
          <w:rFonts w:ascii="方正黑体简体" w:eastAsia="方正黑体简体"/>
          <w:b/>
          <w:color w:val="000000"/>
          <w:sz w:val="32"/>
          <w:szCs w:val="32"/>
        </w:rPr>
      </w:pPr>
      <w:r>
        <w:rPr>
          <w:rFonts w:hint="eastAsia" w:ascii="方正黑体简体" w:eastAsia="方正黑体简体"/>
          <w:b/>
          <w:color w:val="000000"/>
          <w:sz w:val="32"/>
          <w:szCs w:val="32"/>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widowControl/>
              <w:spacing w:line="340" w:lineRule="exact"/>
              <w:jc w:val="center"/>
              <w:rPr>
                <w:rFonts w:ascii="方正黑体简体" w:eastAsia="方正黑体简体"/>
                <w:b/>
                <w:sz w:val="24"/>
              </w:rPr>
            </w:pPr>
            <w:r>
              <w:rPr>
                <w:rFonts w:hint="eastAsia" w:ascii="方正黑体简体" w:hAnsi="宋体" w:eastAsia="方正黑体简体" w:cs="宋体"/>
                <w:b/>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2133"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本年制发件数</w:t>
            </w:r>
          </w:p>
        </w:tc>
        <w:tc>
          <w:tcPr>
            <w:tcW w:w="2216"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本年废止件数</w:t>
            </w:r>
          </w:p>
        </w:tc>
        <w:tc>
          <w:tcPr>
            <w:tcW w:w="1989"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规章</w:t>
            </w:r>
          </w:p>
        </w:tc>
        <w:tc>
          <w:tcPr>
            <w:tcW w:w="2133"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c>
          <w:tcPr>
            <w:tcW w:w="2216"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c>
          <w:tcPr>
            <w:tcW w:w="1989"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行政规范性文件</w:t>
            </w:r>
          </w:p>
        </w:tc>
        <w:tc>
          <w:tcPr>
            <w:tcW w:w="2133"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c>
          <w:tcPr>
            <w:tcW w:w="2216"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c>
          <w:tcPr>
            <w:tcW w:w="1989"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行政许可</w:t>
            </w:r>
          </w:p>
        </w:tc>
        <w:tc>
          <w:tcPr>
            <w:tcW w:w="6338" w:type="dxa"/>
            <w:gridSpan w:val="3"/>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行政处罚</w:t>
            </w:r>
          </w:p>
        </w:tc>
        <w:tc>
          <w:tcPr>
            <w:tcW w:w="6338" w:type="dxa"/>
            <w:gridSpan w:val="3"/>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行政强制</w:t>
            </w:r>
          </w:p>
        </w:tc>
        <w:tc>
          <w:tcPr>
            <w:tcW w:w="6338" w:type="dxa"/>
            <w:gridSpan w:val="3"/>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行政事业性收费</w:t>
            </w:r>
          </w:p>
        </w:tc>
        <w:tc>
          <w:tcPr>
            <w:tcW w:w="6338" w:type="dxa"/>
            <w:gridSpan w:val="3"/>
            <w:shd w:val="clear" w:color="auto" w:fill="auto"/>
            <w:noWrap w:val="0"/>
            <w:tcMar>
              <w:left w:w="57" w:type="dxa"/>
              <w:right w:w="57" w:type="dxa"/>
            </w:tcMar>
            <w:vAlign w:val="center"/>
          </w:tcPr>
          <w:p>
            <w:pPr>
              <w:spacing w:line="340" w:lineRule="exact"/>
              <w:jc w:val="center"/>
              <w:rPr>
                <w:rFonts w:hint="eastAsia" w:ascii="方正仿宋简体" w:eastAsia="方正仿宋简体"/>
                <w:b/>
                <w:sz w:val="24"/>
                <w:lang w:val="en-US" w:eastAsia="zh-CN"/>
              </w:rPr>
            </w:pPr>
            <w:r>
              <w:rPr>
                <w:rFonts w:hint="eastAsia" w:ascii="方正仿宋简体" w:eastAsia="方正仿宋简体"/>
                <w:b/>
                <w:sz w:val="24"/>
                <w:lang w:val="en-US" w:eastAsia="zh-CN"/>
              </w:rPr>
              <w:t>0</w:t>
            </w:r>
          </w:p>
        </w:tc>
      </w:tr>
    </w:tbl>
    <w:p>
      <w:pPr>
        <w:spacing w:before="62" w:beforeLines="10" w:after="62" w:afterLines="10" w:line="600" w:lineRule="exact"/>
        <w:ind w:firstLine="641"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599"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noWrap w:val="0"/>
            <w:tcMar>
              <w:left w:w="108" w:type="dxa"/>
              <w:right w:w="108"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bl>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3"/>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行政复议</w:t>
            </w:r>
          </w:p>
        </w:tc>
        <w:tc>
          <w:tcPr>
            <w:tcW w:w="5922" w:type="dxa"/>
            <w:gridSpan w:val="10"/>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结果维持</w:t>
            </w:r>
          </w:p>
        </w:tc>
        <w:tc>
          <w:tcPr>
            <w:tcW w:w="621" w:type="dxa"/>
            <w:vMerge w:val="restart"/>
            <w:noWrap w:val="0"/>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sz w:val="21"/>
                <w:szCs w:val="21"/>
                <w:lang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00" w:type="dxa"/>
            <w:vMerge w:val="restart"/>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其他</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p>
        </w:tc>
        <w:tc>
          <w:tcPr>
            <w:tcW w:w="591" w:type="dxa"/>
            <w:vMerge w:val="restart"/>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尚未</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审结</w:t>
            </w:r>
          </w:p>
        </w:tc>
        <w:tc>
          <w:tcPr>
            <w:tcW w:w="461" w:type="dxa"/>
            <w:vMerge w:val="restart"/>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c>
          <w:tcPr>
            <w:tcW w:w="3010" w:type="dxa"/>
            <w:gridSpan w:val="5"/>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未经复议直接起诉</w:t>
            </w:r>
          </w:p>
        </w:tc>
        <w:tc>
          <w:tcPr>
            <w:tcW w:w="2912" w:type="dxa"/>
            <w:gridSpan w:val="5"/>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noWrap w:val="0"/>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21" w:type="dxa"/>
            <w:vMerge w:val="continue"/>
            <w:noWrap w:val="0"/>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00" w:type="dxa"/>
            <w:vMerge w:val="continue"/>
            <w:noWrap w:val="0"/>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591" w:type="dxa"/>
            <w:vMerge w:val="continue"/>
            <w:noWrap w:val="0"/>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461" w:type="dxa"/>
            <w:vMerge w:val="continue"/>
            <w:noWrap w:val="0"/>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49" w:type="dxa"/>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维持</w:t>
            </w:r>
          </w:p>
        </w:tc>
        <w:tc>
          <w:tcPr>
            <w:tcW w:w="649" w:type="dxa"/>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50" w:type="dxa"/>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其他</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p>
        </w:tc>
        <w:tc>
          <w:tcPr>
            <w:tcW w:w="636" w:type="dxa"/>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尚未</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审结</w:t>
            </w:r>
          </w:p>
        </w:tc>
        <w:tc>
          <w:tcPr>
            <w:tcW w:w="426"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c>
          <w:tcPr>
            <w:tcW w:w="650" w:type="dxa"/>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维持</w:t>
            </w:r>
          </w:p>
        </w:tc>
        <w:tc>
          <w:tcPr>
            <w:tcW w:w="650" w:type="dxa"/>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50" w:type="dxa"/>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其他</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p>
        </w:tc>
        <w:tc>
          <w:tcPr>
            <w:tcW w:w="555" w:type="dxa"/>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尚未</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审结</w:t>
            </w:r>
          </w:p>
        </w:tc>
        <w:tc>
          <w:tcPr>
            <w:tcW w:w="407"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21" w:type="dxa"/>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00" w:type="dxa"/>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591"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461" w:type="dxa"/>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49" w:type="dxa"/>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49"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50" w:type="dxa"/>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36"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426"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50" w:type="dxa"/>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50" w:type="dxa"/>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50"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555" w:type="dxa"/>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407" w:type="dxa"/>
            <w:noWrap w:val="0"/>
            <w:tcMar>
              <w:left w:w="108" w:type="dxa"/>
              <w:right w:w="108" w:type="dxa"/>
            </w:tcMar>
            <w:vAlign w:val="center"/>
          </w:tcPr>
          <w:p>
            <w:pPr>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eastAsia="方正黑体简体"/>
                <w:sz w:val="21"/>
                <w:szCs w:val="21"/>
                <w:lang w:val="en-US" w:eastAsia="zh-CN"/>
              </w:rPr>
              <w:t>0</w:t>
            </w:r>
          </w:p>
        </w:tc>
      </w:tr>
    </w:tbl>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方正仿宋简体" w:hAnsi="Times New Roman" w:eastAsia="方正仿宋简体" w:cs="Times New Roman"/>
          <w:b/>
          <w:color w:val="000000"/>
          <w:kern w:val="0"/>
          <w:sz w:val="32"/>
          <w:szCs w:val="32"/>
          <w:lang w:val="en-US" w:eastAsia="zh-CN" w:bidi="ar-SA"/>
        </w:rPr>
      </w:pPr>
      <w:r>
        <w:rPr>
          <w:rFonts w:hint="eastAsia" w:ascii="方正仿宋简体" w:hAnsi="Times New Roman" w:eastAsia="方正仿宋简体" w:cs="Times New Roman"/>
          <w:b/>
          <w:color w:val="000000"/>
          <w:kern w:val="0"/>
          <w:sz w:val="32"/>
          <w:szCs w:val="32"/>
          <w:lang w:val="en-US" w:eastAsia="zh-CN" w:bidi="ar-SA"/>
        </w:rPr>
        <w:t>2022年，我局政务公开工作虽然取得了一定成绩，但仍然存在一些问题，</w:t>
      </w:r>
      <w:r>
        <w:rPr>
          <w:rFonts w:hint="default" w:ascii="方正仿宋简体" w:hAnsi="Times New Roman" w:eastAsia="方正仿宋简体" w:cs="Times New Roman"/>
          <w:b/>
          <w:color w:val="000000"/>
          <w:kern w:val="0"/>
          <w:sz w:val="32"/>
          <w:szCs w:val="32"/>
          <w:lang w:val="en-US" w:eastAsia="zh-CN" w:bidi="ar-SA"/>
        </w:rPr>
        <w:t>主要表现在：工作的标准要求还不够高，对标对表严的标准和要求，还存在部分公开内容不够规范，形式和手段不够丰富等问题。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方正仿宋简体" w:hAnsi="Times New Roman" w:eastAsia="方正仿宋简体" w:cs="Times New Roman"/>
          <w:b/>
          <w:color w:val="000000"/>
          <w:kern w:val="0"/>
          <w:sz w:val="32"/>
          <w:szCs w:val="32"/>
          <w:lang w:val="en-US" w:eastAsia="zh-CN" w:bidi="ar-SA"/>
        </w:rPr>
      </w:pPr>
      <w:r>
        <w:rPr>
          <w:rFonts w:hint="default" w:ascii="方正仿宋简体" w:hAnsi="Times New Roman" w:eastAsia="方正仿宋简体" w:cs="Times New Roman"/>
          <w:b/>
          <w:color w:val="000000"/>
          <w:kern w:val="0"/>
          <w:sz w:val="32"/>
          <w:szCs w:val="32"/>
          <w:lang w:val="en-US" w:eastAsia="zh-CN" w:bidi="ar-SA"/>
        </w:rPr>
        <w:t>针对上述问题，我们积极采取改进措施：从制度上加以规范。印发政务公开工作要点，明确公开重点内容、时限、责任处室等，确保工作落实在平时、成效体现在日常。严格对照季度整改清单，做到立行立改、逐一销号。在政策解读等方面，积极丰富形式，全年发布的6个文件，从一图、视频、文字等多角度发布解读文件21件，逐步丰富公开的手段和形式。</w:t>
      </w:r>
    </w:p>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rPr>
        <w:t>六、其他需要报告的事项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方正仿宋简体" w:hAnsi="Times New Roman" w:eastAsia="方正仿宋简体" w:cs="Times New Roman"/>
          <w:b/>
          <w:color w:val="000000"/>
          <w:kern w:val="0"/>
          <w:sz w:val="32"/>
          <w:szCs w:val="32"/>
          <w:lang w:val="en-US" w:eastAsia="zh-CN" w:bidi="ar-SA"/>
        </w:rPr>
      </w:pPr>
      <w:r>
        <w:rPr>
          <w:rFonts w:hint="eastAsia" w:ascii="方正仿宋简体" w:hAnsi="Times New Roman" w:eastAsia="方正仿宋简体" w:cs="Times New Roman"/>
          <w:b/>
          <w:color w:val="000000"/>
          <w:kern w:val="0"/>
          <w:sz w:val="32"/>
          <w:szCs w:val="32"/>
          <w:lang w:val="en-US" w:eastAsia="zh-CN" w:bidi="ar-SA"/>
        </w:rPr>
        <w:t>（一）依据《政府信息公开信息处理费管理办法》收取信息处理费的情况：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default" w:ascii="方正仿宋简体" w:hAnsi="Times New Roman" w:eastAsia="方正仿宋简体" w:cs="Times New Roman"/>
          <w:b/>
          <w:color w:val="000000"/>
          <w:kern w:val="0"/>
          <w:sz w:val="32"/>
          <w:szCs w:val="32"/>
          <w:lang w:val="en-US" w:eastAsia="zh-CN" w:bidi="ar-SA"/>
        </w:rPr>
      </w:pPr>
      <w:r>
        <w:rPr>
          <w:rFonts w:hint="eastAsia" w:ascii="方正仿宋简体" w:hAnsi="Times New Roman" w:eastAsia="方正仿宋简体" w:cs="Times New Roman"/>
          <w:b/>
          <w:color w:val="000000"/>
          <w:kern w:val="0"/>
          <w:sz w:val="32"/>
          <w:szCs w:val="32"/>
          <w:lang w:val="en-US" w:eastAsia="zh-CN" w:bidi="ar-SA"/>
        </w:rPr>
        <w:t>济宁高新区投资促进局2022年未收到信息公开申请事项，也无收费情况。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default" w:ascii="方正仿宋简体" w:hAnsi="Times New Roman" w:eastAsia="方正仿宋简体" w:cs="Times New Roman"/>
          <w:b/>
          <w:color w:val="000000"/>
          <w:kern w:val="0"/>
          <w:sz w:val="32"/>
          <w:szCs w:val="32"/>
          <w:lang w:val="en-US" w:eastAsia="zh-CN" w:bidi="ar-SA"/>
        </w:rPr>
      </w:pPr>
      <w:r>
        <w:rPr>
          <w:rFonts w:hint="eastAsia" w:ascii="方正仿宋简体" w:hAnsi="Times New Roman" w:eastAsia="方正仿宋简体" w:cs="Times New Roman"/>
          <w:b/>
          <w:color w:val="000000"/>
          <w:kern w:val="0"/>
          <w:sz w:val="32"/>
          <w:szCs w:val="32"/>
          <w:lang w:val="en-US" w:eastAsia="zh-CN" w:bidi="ar-SA"/>
        </w:rPr>
        <w:t>（二）落实上级年度政务公开工作要点情况：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方正仿宋简体" w:hAnsi="Times New Roman" w:eastAsia="方正仿宋简体" w:cs="Times New Roman"/>
          <w:b/>
          <w:color w:val="000000"/>
          <w:kern w:val="0"/>
          <w:sz w:val="32"/>
          <w:szCs w:val="32"/>
          <w:lang w:val="en-US" w:eastAsia="zh-CN" w:bidi="ar-SA"/>
        </w:rPr>
      </w:pPr>
      <w:r>
        <w:rPr>
          <w:rFonts w:hint="eastAsia" w:ascii="方正仿宋简体" w:hAnsi="Times New Roman" w:eastAsia="方正仿宋简体" w:cs="Times New Roman"/>
          <w:b/>
          <w:color w:val="000000"/>
          <w:kern w:val="0"/>
          <w:sz w:val="32"/>
          <w:szCs w:val="32"/>
          <w:lang w:val="en-US" w:eastAsia="zh-CN" w:bidi="ar-SA"/>
        </w:rPr>
        <w:t>济宁高新区投资促进局认真落实省、市、区关于政务公开工作的要求，一是把信息公开作为开展招商引资、宣传营商环境、拓宽招商引资渠道、加强廉政建设的重要举措，不断强化领导，健全完善机制，加强监督；二是全面推进政策内容公开、产业动态公开、营商环境公开、重点项目公开和招商成果公开，以公开促产业、以公开促监督、以公开促效能，推动招商引资、项目推动的发展；三是开展多渠道信息公开，积极参与“网络问政”、“新闻发布会”、第一时间宣传高新、公开高新。</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方正仿宋简体" w:hAnsi="Times New Roman" w:eastAsia="方正仿宋简体" w:cs="Times New Roman"/>
          <w:b/>
          <w:color w:val="000000"/>
          <w:kern w:val="0"/>
          <w:sz w:val="32"/>
          <w:szCs w:val="32"/>
          <w:lang w:val="en-US" w:eastAsia="zh-CN" w:bidi="ar-SA"/>
        </w:rPr>
      </w:pPr>
      <w:r>
        <w:rPr>
          <w:rFonts w:hint="eastAsia" w:ascii="方正仿宋简体" w:hAnsi="Times New Roman" w:eastAsia="方正仿宋简体" w:cs="Times New Roman"/>
          <w:b/>
          <w:color w:val="000000"/>
          <w:kern w:val="0"/>
          <w:sz w:val="32"/>
          <w:szCs w:val="32"/>
          <w:lang w:val="en-US" w:eastAsia="zh-CN" w:bidi="ar-SA"/>
        </w:rPr>
        <w:t>本行政机关人大代表建议和政协提案办理结果公开情况：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left"/>
        <w:textAlignment w:val="auto"/>
        <w:rPr>
          <w:rFonts w:hint="eastAsia" w:ascii="方正仿宋简体" w:hAnsi="Times New Roman" w:eastAsia="方正仿宋简体" w:cs="Times New Roman"/>
          <w:b/>
          <w:color w:val="000000"/>
          <w:kern w:val="0"/>
          <w:sz w:val="32"/>
          <w:szCs w:val="32"/>
          <w:lang w:val="en-US" w:eastAsia="zh-CN" w:bidi="ar-SA"/>
        </w:rPr>
      </w:pPr>
      <w:r>
        <w:rPr>
          <w:rFonts w:hint="eastAsia" w:ascii="方正仿宋简体" w:hAnsi="Times New Roman" w:eastAsia="方正仿宋简体" w:cs="Times New Roman"/>
          <w:b/>
          <w:color w:val="000000"/>
          <w:kern w:val="0"/>
          <w:sz w:val="32"/>
          <w:szCs w:val="32"/>
          <w:lang w:val="en-US" w:eastAsia="zh-CN" w:bidi="ar-SA"/>
        </w:rPr>
        <w:t>济宁高新区投资促进局2022年未有人大代表建议和政协提案办理事项。</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left"/>
        <w:textAlignment w:val="auto"/>
        <w:rPr>
          <w:rFonts w:hint="eastAsia" w:ascii="方正仿宋简体" w:hAnsi="Times New Roman" w:eastAsia="方正仿宋简体" w:cs="Times New Roman"/>
          <w:b/>
          <w:color w:val="000000"/>
          <w:kern w:val="0"/>
          <w:sz w:val="32"/>
          <w:szCs w:val="32"/>
          <w:lang w:val="en-US" w:eastAsia="zh-CN" w:bidi="ar-SA"/>
        </w:rPr>
      </w:pPr>
      <w:r>
        <w:rPr>
          <w:rFonts w:hint="eastAsia" w:ascii="方正仿宋简体" w:hAnsi="Times New Roman" w:eastAsia="方正仿宋简体" w:cs="Times New Roman"/>
          <w:b/>
          <w:color w:val="000000"/>
          <w:kern w:val="0"/>
          <w:sz w:val="32"/>
          <w:szCs w:val="32"/>
          <w:lang w:val="en-US" w:eastAsia="zh-CN" w:bidi="ar-SA"/>
        </w:rPr>
        <w:t>本行政机关年度政务公开工作创新情况：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left"/>
        <w:textAlignment w:val="auto"/>
        <w:rPr>
          <w:rFonts w:hint="default" w:ascii="方正仿宋简体" w:hAnsi="Times New Roman" w:eastAsia="方正仿宋简体" w:cs="Times New Roman"/>
          <w:b/>
          <w:color w:val="000000"/>
          <w:kern w:val="0"/>
          <w:sz w:val="32"/>
          <w:szCs w:val="32"/>
          <w:lang w:val="en-US" w:eastAsia="zh-CN" w:bidi="ar-SA"/>
        </w:rPr>
      </w:pPr>
      <w:r>
        <w:rPr>
          <w:rFonts w:hint="eastAsia" w:ascii="方正仿宋简体" w:hAnsi="Times New Roman" w:eastAsia="方正仿宋简体" w:cs="Times New Roman"/>
          <w:b/>
          <w:color w:val="000000"/>
          <w:kern w:val="0"/>
          <w:sz w:val="32"/>
          <w:szCs w:val="32"/>
          <w:lang w:val="en-US" w:eastAsia="zh-CN" w:bidi="ar-SA"/>
        </w:rPr>
        <w:t>一是成功举办“济宁高新区重点项目推进情况”新闻发布会，向全市、区人民传达“打造产业发展新能级”、“打造对外开放新高地”、“项目入区标准”等重点信息。二是运用“民意5来听”等平台建设政务信息服务平台，听取广大社区居民提供招商引资方面的建议和要求。三是依托济宁高新招商发展集团有限公司微信公众号，传达高新区产业动态和营商环境。</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default" w:ascii="方正仿宋简体" w:hAnsi="Times New Roman" w:eastAsia="方正仿宋简体" w:cs="Times New Roman"/>
          <w:b/>
          <w:color w:val="000000"/>
          <w:kern w:val="0"/>
          <w:sz w:val="32"/>
          <w:szCs w:val="32"/>
          <w:lang w:val="en-US" w:eastAsia="zh-CN" w:bidi="ar-SA"/>
        </w:rPr>
      </w:pPr>
      <w:r>
        <w:rPr>
          <w:rFonts w:hint="eastAsia" w:ascii="方正仿宋简体" w:hAnsi="Times New Roman" w:eastAsia="方正仿宋简体" w:cs="Times New Roman"/>
          <w:b/>
          <w:color w:val="000000"/>
          <w:kern w:val="0"/>
          <w:sz w:val="32"/>
          <w:szCs w:val="32"/>
          <w:lang w:val="en-US" w:eastAsia="zh-CN" w:bidi="ar-SA"/>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D41DA9"/>
    <w:multiLevelType w:val="singleLevel"/>
    <w:tmpl w:val="99D41DA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MTk5NWFjYzNkZGIzMTVmZTdkZjZjN2M5NDc5NjcifQ=="/>
  </w:docVars>
  <w:rsids>
    <w:rsidRoot w:val="4CF11C8B"/>
    <w:rsid w:val="23964B27"/>
    <w:rsid w:val="34060D06"/>
    <w:rsid w:val="3AED1D69"/>
    <w:rsid w:val="4CF11C8B"/>
    <w:rsid w:val="6D281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2708</Words>
  <Characters>2807</Characters>
  <Lines>0</Lines>
  <Paragraphs>0</Paragraphs>
  <TotalTime>0</TotalTime>
  <ScaleCrop>false</ScaleCrop>
  <LinksUpToDate>false</LinksUpToDate>
  <CharactersWithSpaces>2811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2023-02-03T09:26:00Z</dcterms:created>
  <dc:creator>……</dc:creator>
  <cp:lastModifiedBy>……</cp:lastModifiedBy>
  <dcterms:modified xsi:type="dcterms:W3CDTF">2023-02-07T08:13:40Z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6A89F912130E4FE9A03FBAB1B7FF3FE7</vt:lpwstr>
  </property>
</Properties>
</file>