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安全生产领域基层政务公开标准目录</w:t>
      </w:r>
      <w:bookmarkEnd w:id="0"/>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ign w:val="center"/>
          </w:tcPr>
          <w:p>
            <w:pPr>
              <w:widowControl/>
              <w:jc w:val="center"/>
              <w:rPr>
                <w:rFonts w:ascii="仿宋_GB2312" w:hAnsi="Times New Roman" w:eastAsia="仿宋_GB2312"/>
                <w:color w:val="000000"/>
                <w:kern w:val="0"/>
                <w:sz w:val="18"/>
                <w:szCs w:val="18"/>
              </w:rPr>
            </w:pPr>
          </w:p>
        </w:tc>
        <w:tc>
          <w:tcPr>
            <w:tcW w:w="90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ign w:val="center"/>
          </w:tcPr>
          <w:p>
            <w:pPr>
              <w:widowControl/>
              <w:jc w:val="left"/>
              <w:rPr>
                <w:rFonts w:ascii="黑体" w:hAnsi="宋体" w:eastAsia="黑体" w:cs="宋体"/>
                <w:color w:val="000000"/>
                <w:kern w:val="0"/>
                <w:sz w:val="22"/>
              </w:rPr>
            </w:pPr>
          </w:p>
        </w:tc>
        <w:tc>
          <w:tcPr>
            <w:tcW w:w="2520" w:type="dxa"/>
            <w:vMerge w:val="continue"/>
            <w:noWrap/>
            <w:vAlign w:val="center"/>
          </w:tcPr>
          <w:p>
            <w:pPr>
              <w:widowControl/>
              <w:jc w:val="left"/>
              <w:rPr>
                <w:rFonts w:ascii="黑体" w:hAnsi="宋体" w:eastAsia="黑体" w:cs="宋体"/>
                <w:color w:val="000000"/>
                <w:kern w:val="0"/>
                <w:sz w:val="22"/>
              </w:rPr>
            </w:pPr>
          </w:p>
        </w:tc>
        <w:tc>
          <w:tcPr>
            <w:tcW w:w="1800" w:type="dxa"/>
            <w:vMerge w:val="continue"/>
            <w:noWrap/>
            <w:vAlign w:val="center"/>
          </w:tcPr>
          <w:p>
            <w:pPr>
              <w:widowControl/>
              <w:jc w:val="left"/>
              <w:rPr>
                <w:rFonts w:ascii="黑体" w:hAnsi="宋体" w:eastAsia="黑体" w:cs="宋体"/>
                <w:color w:val="000000"/>
                <w:kern w:val="0"/>
                <w:sz w:val="22"/>
              </w:rPr>
            </w:pPr>
          </w:p>
        </w:tc>
        <w:tc>
          <w:tcPr>
            <w:tcW w:w="900" w:type="dxa"/>
            <w:vMerge w:val="continue"/>
            <w:noWrap/>
            <w:vAlign w:val="center"/>
          </w:tcPr>
          <w:p>
            <w:pPr>
              <w:widowControl/>
              <w:jc w:val="center"/>
              <w:rPr>
                <w:rFonts w:ascii="黑体" w:hAnsi="宋体" w:eastAsia="黑体" w:cs="宋体"/>
                <w:color w:val="000000"/>
                <w:kern w:val="0"/>
                <w:sz w:val="22"/>
              </w:rPr>
            </w:pPr>
          </w:p>
        </w:tc>
        <w:tc>
          <w:tcPr>
            <w:tcW w:w="1496" w:type="dxa"/>
            <w:vMerge w:val="continue"/>
            <w:noWrap/>
            <w:vAlign w:val="center"/>
          </w:tcPr>
          <w:p>
            <w:pPr>
              <w:widowControl/>
              <w:jc w:val="left"/>
              <w:rPr>
                <w:rFonts w:ascii="黑体" w:hAnsi="宋体" w:eastAsia="黑体" w:cs="宋体"/>
                <w:kern w:val="0"/>
                <w:sz w:val="22"/>
              </w:rPr>
            </w:pPr>
          </w:p>
        </w:tc>
        <w:tc>
          <w:tcPr>
            <w:tcW w:w="664"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vMerge w:val="restart"/>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vMerge w:val="continue"/>
            <w:noWrap/>
            <w:vAlign w:val="center"/>
          </w:tcPr>
          <w:p>
            <w:pPr>
              <w:spacing w:line="240" w:lineRule="exact"/>
              <w:jc w:val="left"/>
              <w:rPr>
                <w:rFonts w:ascii="仿宋_GB2312" w:eastAsia="仿宋_GB2312"/>
                <w:sz w:val="18"/>
                <w:szCs w:val="18"/>
              </w:rPr>
            </w:pP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vMerge w:val="continue"/>
            <w:noWrap/>
            <w:vAlign w:val="center"/>
          </w:tcPr>
          <w:p>
            <w:pPr>
              <w:spacing w:line="240" w:lineRule="exact"/>
              <w:jc w:val="left"/>
              <w:rPr>
                <w:rFonts w:ascii="仿宋_GB2312" w:eastAsia="仿宋_GB2312"/>
                <w:sz w:val="18"/>
                <w:szCs w:val="18"/>
              </w:rPr>
            </w:pP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vMerge w:val="continue"/>
            <w:noWrap/>
            <w:vAlign w:val="center"/>
          </w:tcPr>
          <w:p>
            <w:pPr>
              <w:spacing w:line="240" w:lineRule="exact"/>
              <w:jc w:val="left"/>
              <w:rPr>
                <w:rFonts w:ascii="仿宋_GB2312" w:eastAsia="仿宋_GB2312"/>
                <w:sz w:val="18"/>
                <w:szCs w:val="18"/>
              </w:rPr>
            </w:pP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noWrap/>
          </w:tcPr>
          <w:p>
            <w:r>
              <w:rPr>
                <w:rFonts w:hint="eastAsia" w:ascii="仿宋_GB2312" w:eastAsia="仿宋_GB2312"/>
                <w:bCs/>
                <w:color w:val="000000"/>
                <w:sz w:val="18"/>
                <w:szCs w:val="18"/>
              </w:rPr>
              <w:t>《政府信息公开条例》、《关于全面推进政务公开工作的意见》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r>
              <w:rPr>
                <w:rFonts w:hint="eastAsia" w:ascii="仿宋_GB2312" w:eastAsia="仿宋_GB2312"/>
                <w:sz w:val="18"/>
                <w:szCs w:val="18"/>
              </w:rPr>
              <w:t xml:space="preserve">   ■广播电视   </w:t>
            </w:r>
          </w:p>
          <w:p>
            <w:pPr>
              <w:spacing w:line="240" w:lineRule="exact"/>
              <w:jc w:val="left"/>
              <w:rPr>
                <w:rFonts w:ascii="仿宋_GB2312" w:eastAsia="仿宋_GB2312"/>
                <w:sz w:val="18"/>
                <w:szCs w:val="18"/>
              </w:rPr>
            </w:pPr>
            <w:r>
              <w:rPr>
                <w:rFonts w:hint="eastAsia" w:ascii="仿宋_GB2312" w:eastAsia="仿宋_GB2312"/>
                <w:sz w:val="18"/>
                <w:szCs w:val="18"/>
              </w:rPr>
              <w:t>■纸质媒体</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tcPr>
          <w:p>
            <w:r>
              <w:rPr>
                <w:rFonts w:hint="eastAsia" w:ascii="仿宋_GB2312" w:eastAsia="仿宋_GB2312"/>
                <w:bCs/>
                <w:color w:val="000000"/>
                <w:sz w:val="18"/>
                <w:szCs w:val="18"/>
              </w:rPr>
              <w:t>《政府信息公开条例》、《关于全面推进政务公开工作的意见》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noWrap/>
          </w:tcPr>
          <w:p>
            <w:r>
              <w:rPr>
                <w:rFonts w:hint="eastAsia" w:ascii="仿宋_GB2312" w:eastAsia="仿宋_GB2312"/>
                <w:bCs/>
                <w:color w:val="000000"/>
                <w:sz w:val="18"/>
                <w:szCs w:val="18"/>
              </w:rPr>
              <w:t>《政府信息公开条例》、《关于全面推进政务公开工作的意见》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r>
              <w:rPr>
                <w:rFonts w:hint="eastAsia" w:ascii="仿宋_GB2312" w:eastAsia="仿宋_GB2312"/>
                <w:sz w:val="18"/>
                <w:szCs w:val="18"/>
              </w:rPr>
              <w:br w:type="textWrapping"/>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ign w:val="center"/>
          </w:tcPr>
          <w:p>
            <w:pPr>
              <w:jc w:val="left"/>
              <w:rPr>
                <w:rFonts w:ascii="仿宋_GB2312" w:hAnsi="宋体" w:eastAsia="仿宋_GB2312" w:cs="宋体"/>
                <w:bCs/>
                <w:sz w:val="18"/>
                <w:szCs w:val="18"/>
              </w:rPr>
            </w:pPr>
            <w:r>
              <w:rPr>
                <w:rFonts w:hint="eastAsia" w:ascii="仿宋_GB2312" w:eastAsia="仿宋_GB2312"/>
                <w:bCs/>
                <w:sz w:val="18"/>
                <w:szCs w:val="18"/>
              </w:rPr>
              <w:t xml:space="preserve">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r>
              <w:rPr>
                <w:rFonts w:hint="eastAsia" w:ascii="仿宋_GB2312" w:eastAsia="仿宋_GB2312"/>
                <w:sz w:val="18"/>
                <w:szCs w:val="18"/>
              </w:rPr>
              <w:t xml:space="preserve">  ■两微一端   ■广播电视 </w:t>
            </w:r>
          </w:p>
          <w:p>
            <w:pPr>
              <w:spacing w:line="240" w:lineRule="exact"/>
              <w:jc w:val="left"/>
              <w:rPr>
                <w:rFonts w:ascii="仿宋_GB2312" w:eastAsia="仿宋_GB2312"/>
                <w:sz w:val="18"/>
                <w:szCs w:val="18"/>
              </w:rPr>
            </w:pPr>
            <w:r>
              <w:rPr>
                <w:rFonts w:hint="eastAsia" w:ascii="仿宋_GB2312" w:eastAsia="仿宋_GB2312"/>
                <w:sz w:val="18"/>
                <w:szCs w:val="18"/>
              </w:rPr>
              <w:t>■入户/现场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color w:val="000000"/>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p>
            <w:pPr>
              <w:spacing w:line="240" w:lineRule="exact"/>
              <w:jc w:val="left"/>
              <w:rPr>
                <w:rFonts w:ascii="仿宋_GB2312" w:eastAsia="仿宋_GB2312"/>
                <w:sz w:val="18"/>
                <w:szCs w:val="18"/>
              </w:rPr>
            </w:pPr>
            <w:r>
              <w:rPr>
                <w:rFonts w:hint="eastAsia" w:ascii="仿宋_GB2312" w:eastAsia="仿宋_GB2312"/>
                <w:sz w:val="18"/>
                <w:szCs w:val="18"/>
              </w:rPr>
              <w:t>■政务服务中心</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p>
            <w:pPr>
              <w:spacing w:line="240" w:lineRule="exact"/>
              <w:jc w:val="left"/>
              <w:rPr>
                <w:rFonts w:ascii="仿宋_GB2312" w:eastAsia="仿宋_GB2312"/>
                <w:sz w:val="18"/>
                <w:szCs w:val="18"/>
              </w:rPr>
            </w:pPr>
            <w:r>
              <w:rPr>
                <w:rFonts w:hint="eastAsia" w:ascii="仿宋_GB2312" w:eastAsia="仿宋_GB2312"/>
                <w:sz w:val="18"/>
                <w:szCs w:val="18"/>
              </w:rPr>
              <w:t>■政务服务中心</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r>
              <w:rPr>
                <w:rFonts w:hint="eastAsia" w:ascii="仿宋_GB2312" w:eastAsia="仿宋_GB2312"/>
                <w:sz w:val="18"/>
                <w:szCs w:val="18"/>
              </w:rPr>
              <w:t xml:space="preserve">    ■政务服务中心</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color w:val="000000"/>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p>
            <w:pPr>
              <w:spacing w:line="240" w:lineRule="exact"/>
              <w:jc w:val="left"/>
              <w:rPr>
                <w:rFonts w:ascii="仿宋_GB2312" w:eastAsia="仿宋_GB2312"/>
                <w:sz w:val="18"/>
                <w:szCs w:val="18"/>
              </w:rPr>
            </w:pPr>
            <w:r>
              <w:rPr>
                <w:rFonts w:hint="eastAsia" w:ascii="仿宋_GB2312" w:eastAsia="仿宋_GB2312"/>
                <w:sz w:val="18"/>
                <w:szCs w:val="18"/>
              </w:rPr>
              <w:t>■政务服务中心</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3</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4</w:t>
            </w:r>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5</w:t>
            </w:r>
          </w:p>
        </w:tc>
        <w:tc>
          <w:tcPr>
            <w:tcW w:w="90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26</w:t>
            </w:r>
            <w:bookmarkStart w:id="1" w:name="_GoBack"/>
            <w:bookmarkEnd w:id="1"/>
          </w:p>
        </w:tc>
        <w:tc>
          <w:tcPr>
            <w:tcW w:w="900" w:type="dxa"/>
            <w:vMerge w:val="continue"/>
            <w:noWrap/>
            <w:vAlign w:val="center"/>
          </w:tcPr>
          <w:p>
            <w:pPr>
              <w:rPr>
                <w:rFonts w:ascii="仿宋_GB2312" w:hAnsi="宋体" w:eastAsia="仿宋_GB2312" w:cs="宋体"/>
                <w:color w:val="000000"/>
                <w:sz w:val="18"/>
                <w:szCs w:val="18"/>
              </w:rPr>
            </w:pPr>
          </w:p>
        </w:tc>
        <w:tc>
          <w:tcPr>
            <w:tcW w:w="108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noWrap/>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高新区应急管理局</w:t>
            </w:r>
          </w:p>
        </w:tc>
        <w:tc>
          <w:tcPr>
            <w:tcW w:w="1496" w:type="dxa"/>
            <w:noWrap/>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w:t>
            </w:r>
            <w:r>
              <w:rPr>
                <w:rFonts w:hint="eastAsia" w:ascii="仿宋_GB2312" w:hAnsi="宋体" w:eastAsia="仿宋_GB2312"/>
                <w:color w:val="000000"/>
                <w:sz w:val="18"/>
                <w:szCs w:val="18"/>
              </w:rPr>
              <w:t>高新区管委会门户网站</w:t>
            </w:r>
          </w:p>
        </w:tc>
        <w:tc>
          <w:tcPr>
            <w:tcW w:w="664"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noWrap/>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noWrap/>
            <w:vAlign w:val="center"/>
          </w:tcPr>
          <w:p>
            <w:pPr>
              <w:rPr>
                <w:rFonts w:ascii="仿宋_GB2312" w:hAnsi="宋体" w:eastAsia="仿宋_GB2312" w:cs="宋体"/>
                <w:bCs/>
                <w:sz w:val="18"/>
                <w:szCs w:val="18"/>
              </w:rPr>
            </w:pPr>
          </w:p>
        </w:tc>
      </w:tr>
    </w:tbl>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p>
  <w:p>
    <w:pPr>
      <w:pStyle w:val="5"/>
      <w:jc w:val="center"/>
    </w:pPr>
    <w:r>
      <w:fldChar w:fldCharType="begin"/>
    </w:r>
    <w:r>
      <w:rPr>
        <w:rStyle w:val="9"/>
      </w:rPr>
      <w:instrText xml:space="preserve"> PAGE </w:instrText>
    </w:r>
    <w:r>
      <w:fldChar w:fldCharType="separate"/>
    </w:r>
    <w:r>
      <w:rPr>
        <w:rStyle w:val="9"/>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6151C"/>
    <w:rsid w:val="00230116"/>
    <w:rsid w:val="0023661C"/>
    <w:rsid w:val="00BC6D91"/>
    <w:rsid w:val="5C26151C"/>
    <w:rsid w:val="62841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left="0" w:leftChars="0" w:firstLine="420" w:firstLineChars="200"/>
    </w:pPr>
    <w:rPr>
      <w:rFonts w:ascii="Times New Roman" w:hAnsi="Times New Roman" w:eastAsia="仿宋_GB2312"/>
      <w:sz w:val="32"/>
      <w:szCs w:val="20"/>
    </w:r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532</Words>
  <Characters>3035</Characters>
  <Lines>25</Lines>
  <Paragraphs>7</Paragraphs>
  <TotalTime>5</TotalTime>
  <ScaleCrop>false</ScaleCrop>
  <LinksUpToDate>false</LinksUpToDate>
  <CharactersWithSpaces>3560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2020-09-08T09:02:00Z</dcterms:created>
  <dc:creator>Administrator</dc:creator>
  <cp:lastModifiedBy>Administrator</cp:lastModifiedBy>
  <dcterms:modified xsi:type="dcterms:W3CDTF">2020-09-15T07:42:01Z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