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简体" w:cs="Times New Roman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/>
          <w:kern w:val="21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kern w:val="2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kern w:val="21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kern w:val="21"/>
          <w:sz w:val="44"/>
          <w:szCs w:val="44"/>
          <w:lang w:val="en-US" w:eastAsia="zh-CN" w:bidi="ar-SA"/>
        </w:rPr>
        <w:t>申报奖励资金的基本要求</w:t>
      </w:r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  <w:t>一、申报范围：在济宁高新区注册、纳税并符合</w:t>
      </w:r>
      <w:r>
        <w:rPr>
          <w:rFonts w:hint="eastAsia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  <w:t>四上</w:t>
      </w:r>
      <w:r>
        <w:rPr>
          <w:rFonts w:hint="eastAsia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  <w:t>企业标准的独立法人企业（单位），经国家统计局审定，由申报企业通过</w:t>
      </w:r>
      <w:r>
        <w:rPr>
          <w:rFonts w:hint="eastAsia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  <w:t>一套表</w:t>
      </w:r>
      <w:r>
        <w:rPr>
          <w:rFonts w:hint="eastAsia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  <w:t>联网直报平台，按照相关统计报表制度要求按时报送相关统计数据的企业。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  <w:t>二、企业在享受兑现奖励之前，如有迁移、退库、注销或者转移核心业务的，不予兑现奖励。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  <w:t>三、对存在下列情况的企业取消奖补资格并追缴已拨付资金：提供虚假材料骗取资金奖补的；存在失信行为、发生重大安全生产事故的；不符合《山东省财政厅等16部门印发〈关于深入推进财政涉企资金</w:t>
      </w:r>
      <w:r>
        <w:rPr>
          <w:rFonts w:hint="eastAsia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  <w:t>绿色门槛</w:t>
      </w:r>
      <w:r>
        <w:rPr>
          <w:rFonts w:hint="eastAsia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  <w:t>制度的实施意见〉的通知》（鲁财资环〔2022〕29号）文件中</w:t>
      </w:r>
      <w:r>
        <w:rPr>
          <w:rFonts w:hint="eastAsia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  <w:t>绿色门槛</w:t>
      </w:r>
      <w:r>
        <w:rPr>
          <w:rFonts w:hint="eastAsia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kern w:val="21"/>
          <w:sz w:val="32"/>
          <w:szCs w:val="32"/>
          <w:lang w:val="en-US" w:eastAsia="zh-CN" w:bidi="ar-SA"/>
        </w:rPr>
        <w:t>制度规定的；存在其他违法违规行为的。</w:t>
      </w:r>
    </w:p>
    <w:p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spacing w:val="0"/>
          <w:kern w:val="21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NTBlYjNmNzUyNmFhNDZlNTJhOTFjOWM3OWY2ODYifQ=="/>
  </w:docVars>
  <w:rsids>
    <w:rsidRoot w:val="3AA15781"/>
    <w:rsid w:val="3AA1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First Indent"/>
    <w:basedOn w:val="6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6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2023-06-15T09:45:00Z</dcterms:created>
  <dc:creator>糖炒栗子 ້໌ᮨ</dc:creator>
  <cp:lastModifiedBy>糖炒栗子 ້໌ᮨ</cp:lastModifiedBy>
  <dcterms:modified xsi:type="dcterms:W3CDTF">2023-06-15T09:45:59Z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994B3B8D70254947B4ABF8AE2BEB5B5D_11</vt:lpwstr>
  </property>
</Properties>
</file>