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食品小作坊补</w:t>
      </w:r>
      <w:r>
        <w:rPr>
          <w:rFonts w:hint="eastAsia" w:ascii="宋体" w:hAnsi="宋体" w:cs="宋体"/>
          <w:sz w:val="32"/>
          <w:szCs w:val="32"/>
          <w:lang w:val="en-US" w:eastAsia="zh-CN"/>
        </w:rPr>
        <w:t>证</w:t>
      </w:r>
      <w:r>
        <w:rPr>
          <w:rFonts w:hint="eastAsia" w:ascii="宋体" w:hAnsi="宋体" w:eastAsia="宋体" w:cs="宋体"/>
          <w:sz w:val="32"/>
          <w:szCs w:val="32"/>
          <w:lang w:val="en-US" w:eastAsia="zh-CN"/>
        </w:rPr>
        <w:t>登记服务指南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703"/>
        <w:gridCol w:w="453"/>
        <w:gridCol w:w="1572"/>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Theme="minorEastAsia" w:hAnsiTheme="minorEastAsia"/>
                <w:szCs w:val="21"/>
                <w:lang w:val="en-US" w:eastAsia="zh-CN"/>
              </w:rPr>
              <w:t>食品小作坊补证登记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Theme="minorEastAsia" w:hAnsiTheme="minorEastAsia"/>
                <w:szCs w:val="21"/>
              </w:rPr>
              <w:t>《食品经营许可和备案管理办法》第四条  在中华人民共和国境内从事食品销售和餐饮服务活动，应当依法取得食品经营许可。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cs="宋体"/>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asciiTheme="minorEastAsia" w:hAnsiTheme="minorEastAsia"/>
                <w:szCs w:val="21"/>
              </w:rPr>
              <w:t>小作坊补办申请书；</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top"/>
          </w:tcPr>
          <w:p>
            <w:pPr>
              <w:spacing w:line="360" w:lineRule="exact"/>
              <w:jc w:val="left"/>
              <w:rPr>
                <w:rFonts w:asciiTheme="minorEastAsia" w:hAnsiTheme="minorEastAsia"/>
                <w:szCs w:val="21"/>
              </w:rPr>
            </w:pPr>
            <w:r>
              <w:rPr>
                <w:rFonts w:hint="eastAsia" w:asciiTheme="minorEastAsia" w:hAnsiTheme="minorEastAsia"/>
                <w:szCs w:val="21"/>
              </w:rPr>
              <w:t>食品小作坊登记证损坏的，应当提交损坏的登记证原件。</w:t>
            </w:r>
          </w:p>
          <w:p>
            <w:pPr>
              <w:spacing w:line="360" w:lineRule="exact"/>
              <w:jc w:val="left"/>
              <w:rPr>
                <w:rFonts w:hint="eastAsia" w:ascii="宋体" w:hAnsi="宋体" w:eastAsia="宋体" w:cs="宋体"/>
                <w:sz w:val="21"/>
                <w:szCs w:val="21"/>
                <w:highlight w:val="none"/>
                <w:lang w:val="en-US" w:eastAsia="zh-CN"/>
              </w:rPr>
            </w:pPr>
            <w:r>
              <w:rPr>
                <w:rFonts w:hint="eastAsia" w:asciiTheme="minorEastAsia" w:hAnsiTheme="minorEastAsia"/>
                <w:szCs w:val="21"/>
              </w:rPr>
              <w:t>以上材料各一份（申请人对提交的申请材料真实性负责，提交的申请书等均需加盖公章或经营者签字确认）</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rPr>
                <w:rFonts w:asciiTheme="minorEastAsia" w:hAnsiTheme="minorEastAsia"/>
                <w:szCs w:val="21"/>
              </w:rPr>
            </w:pPr>
            <w:r>
              <w:rPr>
                <w:rFonts w:hint="eastAsia" w:asciiTheme="minorEastAsia" w:hAnsiTheme="minorEastAsia"/>
                <w:szCs w:val="21"/>
              </w:rPr>
              <w:t>1.申请人提报材料至大厅窗口（通过</w:t>
            </w:r>
            <w:r>
              <w:rPr>
                <w:rFonts w:asciiTheme="minorEastAsia" w:hAnsiTheme="minorEastAsia"/>
                <w:szCs w:val="21"/>
              </w:rPr>
              <w:t>http://amr.shandong.gov.cn/</w:t>
            </w:r>
            <w:r>
              <w:rPr>
                <w:rFonts w:hint="eastAsia" w:asciiTheme="minorEastAsia" w:hAnsiTheme="minorEastAsia"/>
                <w:szCs w:val="21"/>
              </w:rPr>
              <w:t>提报电子材料），窗口人员受理；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Theme="minorEastAsia" w:hAnsiTheme="minorEastAsia"/>
                <w:szCs w:val="21"/>
              </w:rPr>
              <w:t>2.证件办理完毕，通知申请人领取登记证（或快递送达）。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703" w:type="dxa"/>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lang w:eastAsia="zh-CN"/>
              </w:rPr>
              <w:t>监督</w:t>
            </w:r>
            <w:r>
              <w:rPr>
                <w:rFonts w:hint="eastAsia" w:asciiTheme="minorEastAsia" w:hAnsiTheme="minorEastAsia"/>
                <w:szCs w:val="21"/>
              </w:rPr>
              <w:t>投诉电话</w:t>
            </w:r>
          </w:p>
        </w:tc>
        <w:tc>
          <w:tcPr>
            <w:tcW w:w="3578" w:type="dxa"/>
            <w:gridSpan w:val="3"/>
            <w:noWrap w:val="0"/>
            <w:vAlign w:val="center"/>
          </w:tcPr>
          <w:p>
            <w:pP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bookmarkStart w:id="1" w:name="_GoBack"/>
            <w:bookmarkEnd w:id="1"/>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YjllMDQwY2MyYjRmNGMyMmJiYjdhYTIxMmFlODUifQ=="/>
  </w:docVars>
  <w:rsids>
    <w:rsidRoot w:val="00000000"/>
    <w:rsid w:val="023A109F"/>
    <w:rsid w:val="05192E51"/>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1C5E01"/>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215452"/>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5D6BA6"/>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0</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71D0404C9E2E4ED592DE130A74B26EA2_13</vt:lpwstr>
  </property>
</Properties>
</file>