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03407">
      <w:pPr>
        <w:spacing w:line="590" w:lineRule="exact"/>
        <w:ind w:right="-105"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lang w:val="en-US" w:eastAsia="zh-CN"/>
        </w:rPr>
        <w:t>济宁高新区科技创新局</w:t>
      </w:r>
      <w:r>
        <w:rPr>
          <w:rFonts w:hint="default" w:ascii="Times New Roman" w:hAnsi="Times New Roman" w:eastAsia="方正小标宋简体" w:cs="Times New Roman"/>
          <w:b/>
          <w:color w:val="000000"/>
          <w:sz w:val="44"/>
          <w:szCs w:val="44"/>
        </w:rPr>
        <w:t>202</w:t>
      </w:r>
      <w:r>
        <w:rPr>
          <w:rFonts w:hint="eastAsia" w:ascii="Times New Roman" w:hAnsi="Times New Roman" w:eastAsia="方正小标宋简体" w:cs="Times New Roman"/>
          <w:b/>
          <w:color w:val="000000"/>
          <w:sz w:val="44"/>
          <w:szCs w:val="44"/>
          <w:lang w:val="en-US" w:eastAsia="zh-CN"/>
        </w:rPr>
        <w:t>4</w:t>
      </w:r>
      <w:r>
        <w:rPr>
          <w:rFonts w:hint="default" w:ascii="Times New Roman" w:hAnsi="Times New Roman" w:eastAsia="方正小标宋简体" w:cs="Times New Roman"/>
          <w:b/>
          <w:color w:val="000000"/>
          <w:sz w:val="44"/>
          <w:szCs w:val="44"/>
        </w:rPr>
        <w:t>年政府信息</w:t>
      </w:r>
    </w:p>
    <w:p w14:paraId="6B8F17B2">
      <w:pPr>
        <w:spacing w:line="590" w:lineRule="exact"/>
        <w:ind w:right="-105"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公开工作年度报告</w:t>
      </w:r>
    </w:p>
    <w:p w14:paraId="14B124B8">
      <w:pPr>
        <w:rPr>
          <w:rFonts w:hint="default" w:ascii="Times New Roman" w:hAnsi="Times New Roman" w:cs="Times New Roman"/>
        </w:rPr>
      </w:pPr>
    </w:p>
    <w:p w14:paraId="7B93CC62">
      <w:pPr>
        <w:spacing w:line="600" w:lineRule="exact"/>
        <w:ind w:firstLine="643" w:firstLineChars="200"/>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pPr>
      <w:r>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t>本报告由济宁高新区科技创新局按照《中华人民共和国政府信息公开条例》（以下简称《条例》）和《中华人民共和国政府信息公开工作年度报告格式》（国办公开办函〔2021〕30号）要求编制。</w:t>
      </w:r>
    </w:p>
    <w:p w14:paraId="167F4D6F">
      <w:pPr>
        <w:spacing w:line="600" w:lineRule="exact"/>
        <w:ind w:firstLine="643" w:firstLineChars="200"/>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pPr>
      <w:r>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t>本报告内容包括总体情况、主动公开政府信息情况、收到和处理政府信息公开申请情况、政府信息公开行政复议和行政诉讼情况、存在的主要问题及改进情况、其他需要报告的事项等六部分内容。</w:t>
      </w:r>
    </w:p>
    <w:p w14:paraId="4C03495B">
      <w:pPr>
        <w:spacing w:line="600" w:lineRule="exact"/>
        <w:ind w:firstLine="643" w:firstLineChars="200"/>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pPr>
      <w:r>
        <w:rPr>
          <w:rStyle w:val="5"/>
          <w:rFonts w:hint="eastAsia" w:ascii="方正仿宋简体" w:hAnsi="方正仿宋简体" w:eastAsia="方正仿宋简体" w:cs="方正仿宋简体"/>
          <w:bCs w:val="0"/>
          <w:i w:val="0"/>
          <w:iCs w:val="0"/>
          <w:caps w:val="0"/>
          <w:color w:val="auto"/>
          <w:spacing w:val="0"/>
          <w:kern w:val="2"/>
          <w:sz w:val="32"/>
          <w:szCs w:val="32"/>
          <w:lang w:val="en-US" w:eastAsia="zh-CN" w:bidi="ar-SA"/>
        </w:rPr>
        <w:t>本报告所列数据的统计期限自2024年1月1日起至2024年12月31日止。</w:t>
      </w:r>
      <w:r>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t>本报告电子版可在“济宁国家高新技术产业开发区”管委会门户网站（http://www.jnhn.gov.cn）查阅或下载。如对本报告有疑问，请与济宁高新区科技创新局联系（济宁高新区海川路产学研基地T2栋10楼，联系电话：0537-3255911）。</w:t>
      </w:r>
    </w:p>
    <w:p w14:paraId="5D042C8D">
      <w:pPr>
        <w:spacing w:line="600" w:lineRule="exact"/>
        <w:ind w:firstLine="643" w:firstLineChars="200"/>
        <w:rPr>
          <w:rFonts w:hint="eastAsia" w:ascii="黑体" w:hAnsi="黑体" w:eastAsia="黑体" w:cs="黑体"/>
          <w:i w:val="0"/>
          <w:iCs w:val="0"/>
          <w:caps w:val="0"/>
          <w:color w:val="333333"/>
          <w:spacing w:val="0"/>
          <w:sz w:val="24"/>
          <w:szCs w:val="24"/>
        </w:rPr>
      </w:pPr>
      <w:r>
        <w:rPr>
          <w:rFonts w:hint="eastAsia" w:ascii="黑体" w:hAnsi="黑体" w:eastAsia="黑体" w:cs="黑体"/>
          <w:b/>
          <w:bCs/>
          <w:sz w:val="32"/>
          <w:szCs w:val="32"/>
        </w:rPr>
        <w:t>一、总体情况</w:t>
      </w:r>
    </w:p>
    <w:p w14:paraId="76B4B1A1">
      <w:pPr>
        <w:spacing w:line="600" w:lineRule="exact"/>
        <w:ind w:firstLine="643" w:firstLineChars="200"/>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pPr>
      <w:r>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t>202</w:t>
      </w:r>
      <w:r>
        <w:rPr>
          <w:rStyle w:val="5"/>
          <w:rFonts w:hint="eastAsia" w:ascii="方正仿宋简体" w:hAnsi="方正仿宋简体" w:eastAsia="方正仿宋简体" w:cs="方正仿宋简体"/>
          <w:bCs w:val="0"/>
          <w:i w:val="0"/>
          <w:iCs w:val="0"/>
          <w:caps w:val="0"/>
          <w:color w:val="auto"/>
          <w:spacing w:val="0"/>
          <w:kern w:val="2"/>
          <w:sz w:val="32"/>
          <w:szCs w:val="32"/>
          <w:lang w:val="en-US" w:eastAsia="zh-CN" w:bidi="ar-SA"/>
        </w:rPr>
        <w:t>4</w:t>
      </w:r>
      <w:r>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t>年，</w:t>
      </w:r>
      <w:r>
        <w:rPr>
          <w:rStyle w:val="5"/>
          <w:rFonts w:hint="eastAsia" w:ascii="方正仿宋简体" w:hAnsi="方正仿宋简体" w:eastAsia="方正仿宋简体" w:cs="方正仿宋简体"/>
          <w:bCs w:val="0"/>
          <w:i w:val="0"/>
          <w:iCs w:val="0"/>
          <w:caps w:val="0"/>
          <w:color w:val="auto"/>
          <w:spacing w:val="0"/>
          <w:kern w:val="2"/>
          <w:sz w:val="32"/>
          <w:szCs w:val="32"/>
          <w:lang w:val="en-US" w:eastAsia="zh-CN" w:bidi="ar-SA"/>
        </w:rPr>
        <w:t>济宁</w:t>
      </w:r>
      <w:r>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t>高新区</w:t>
      </w:r>
      <w:r>
        <w:rPr>
          <w:rStyle w:val="5"/>
          <w:rFonts w:hint="eastAsia" w:ascii="方正仿宋简体" w:hAnsi="方正仿宋简体" w:eastAsia="方正仿宋简体" w:cs="方正仿宋简体"/>
          <w:bCs w:val="0"/>
          <w:i w:val="0"/>
          <w:iCs w:val="0"/>
          <w:caps w:val="0"/>
          <w:color w:val="auto"/>
          <w:spacing w:val="0"/>
          <w:kern w:val="2"/>
          <w:sz w:val="32"/>
          <w:szCs w:val="32"/>
          <w:lang w:val="en-US" w:eastAsia="zh-CN" w:bidi="ar-SA"/>
        </w:rPr>
        <w:t>科技创新局</w:t>
      </w:r>
      <w:r>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t>按照党工委、管委会关于全面推进政务公开工作的安排部署，深入贯彻落实《中华人民共和国政府信息公开条例》和《山东省政府信息公开办法》要求，切实加强组织领导，不断健全完善政务信息公开工作制度，</w:t>
      </w:r>
      <w:r>
        <w:rPr>
          <w:rStyle w:val="5"/>
          <w:rFonts w:hint="eastAsia" w:ascii="方正仿宋简体" w:hAnsi="方正仿宋简体" w:eastAsia="方正仿宋简体" w:cs="方正仿宋简体"/>
          <w:bCs w:val="0"/>
          <w:i w:val="0"/>
          <w:iCs w:val="0"/>
          <w:caps w:val="0"/>
          <w:color w:val="auto"/>
          <w:spacing w:val="0"/>
          <w:kern w:val="2"/>
          <w:sz w:val="32"/>
          <w:szCs w:val="32"/>
          <w:lang w:val="en-US" w:eastAsia="zh-CN" w:bidi="ar-SA"/>
        </w:rPr>
        <w:t>力争</w:t>
      </w:r>
      <w:r>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t>积极、有序地推进科技创新政务公开工作。</w:t>
      </w:r>
    </w:p>
    <w:p w14:paraId="025E74F5">
      <w:pPr>
        <w:numPr>
          <w:ilvl w:val="0"/>
          <w:numId w:val="1"/>
        </w:numPr>
        <w:ind w:left="-13" w:leftChars="0" w:firstLine="643" w:firstLineChars="0"/>
        <w:rPr>
          <w:rStyle w:val="5"/>
          <w:rFonts w:hint="default" w:ascii="方正楷体简体" w:hAnsi="方正楷体简体" w:eastAsia="方正楷体简体" w:cs="方正楷体简体"/>
          <w:b/>
          <w:bCs w:val="0"/>
          <w:i w:val="0"/>
          <w:iCs w:val="0"/>
          <w:caps w:val="0"/>
          <w:color w:val="auto"/>
          <w:spacing w:val="0"/>
          <w:sz w:val="32"/>
          <w:szCs w:val="32"/>
          <w:lang w:eastAsia="zh-CN"/>
        </w:rPr>
      </w:pPr>
      <w:r>
        <w:rPr>
          <w:rStyle w:val="5"/>
          <w:rFonts w:hint="default" w:ascii="方正楷体简体" w:hAnsi="方正楷体简体" w:eastAsia="方正楷体简体" w:cs="方正楷体简体"/>
          <w:b/>
          <w:bCs w:val="0"/>
          <w:i w:val="0"/>
          <w:iCs w:val="0"/>
          <w:caps w:val="0"/>
          <w:color w:val="auto"/>
          <w:spacing w:val="0"/>
          <w:sz w:val="32"/>
          <w:szCs w:val="32"/>
          <w:lang w:eastAsia="zh-CN"/>
        </w:rPr>
        <w:t>主动公开情况</w:t>
      </w:r>
    </w:p>
    <w:p w14:paraId="0BBB4D80">
      <w:pPr>
        <w:spacing w:line="600" w:lineRule="exact"/>
        <w:ind w:firstLine="643" w:firstLineChars="200"/>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pPr>
      <w:r>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t>济宁高新区科技创新局</w:t>
      </w:r>
      <w:r>
        <w:rPr>
          <w:rStyle w:val="5"/>
          <w:rFonts w:hint="eastAsia" w:ascii="方正仿宋简体" w:hAnsi="方正仿宋简体" w:eastAsia="方正仿宋简体" w:cs="方正仿宋简体"/>
          <w:bCs w:val="0"/>
          <w:i w:val="0"/>
          <w:iCs w:val="0"/>
          <w:caps w:val="0"/>
          <w:color w:val="auto"/>
          <w:spacing w:val="0"/>
          <w:kern w:val="2"/>
          <w:sz w:val="32"/>
          <w:szCs w:val="32"/>
          <w:lang w:val="en-US" w:eastAsia="zh-CN" w:bidi="ar-SA"/>
        </w:rPr>
        <w:t>紧紧围绕政务公开工作部署要求，加强组织领导，扎实推进政务公开工作，坚持以公开为常态的原则，2024年度部门</w:t>
      </w:r>
      <w:r>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t>会议公开12次，年度重点工作落实</w:t>
      </w:r>
      <w:r>
        <w:rPr>
          <w:rStyle w:val="5"/>
          <w:rFonts w:hint="eastAsia" w:ascii="方正仿宋简体" w:hAnsi="方正仿宋简体" w:eastAsia="方正仿宋简体" w:cs="方正仿宋简体"/>
          <w:bCs w:val="0"/>
          <w:i w:val="0"/>
          <w:iCs w:val="0"/>
          <w:caps w:val="0"/>
          <w:color w:val="auto"/>
          <w:spacing w:val="0"/>
          <w:kern w:val="2"/>
          <w:sz w:val="32"/>
          <w:szCs w:val="32"/>
          <w:lang w:val="en-US" w:eastAsia="zh-CN" w:bidi="ar-SA"/>
        </w:rPr>
        <w:t>公开12次，</w:t>
      </w:r>
      <w:r>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t>主动公开基本目录</w:t>
      </w:r>
      <w:r>
        <w:rPr>
          <w:rStyle w:val="5"/>
          <w:rFonts w:hint="eastAsia" w:ascii="方正仿宋简体" w:hAnsi="方正仿宋简体" w:eastAsia="方正仿宋简体" w:cs="方正仿宋简体"/>
          <w:bCs w:val="0"/>
          <w:i w:val="0"/>
          <w:iCs w:val="0"/>
          <w:caps w:val="0"/>
          <w:color w:val="auto"/>
          <w:spacing w:val="0"/>
          <w:kern w:val="2"/>
          <w:sz w:val="32"/>
          <w:szCs w:val="32"/>
          <w:lang w:val="en-US" w:eastAsia="zh-CN" w:bidi="ar-SA"/>
        </w:rPr>
        <w:t>1次，</w:t>
      </w:r>
      <w:r>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t>信息公开年报</w:t>
      </w:r>
      <w:r>
        <w:rPr>
          <w:rStyle w:val="5"/>
          <w:rFonts w:hint="eastAsia" w:ascii="方正仿宋简体" w:hAnsi="方正仿宋简体" w:eastAsia="方正仿宋简体" w:cs="方正仿宋简体"/>
          <w:bCs w:val="0"/>
          <w:i w:val="0"/>
          <w:iCs w:val="0"/>
          <w:caps w:val="0"/>
          <w:color w:val="auto"/>
          <w:spacing w:val="0"/>
          <w:kern w:val="2"/>
          <w:sz w:val="32"/>
          <w:szCs w:val="32"/>
          <w:lang w:val="en-US" w:eastAsia="zh-CN" w:bidi="ar-SA"/>
        </w:rPr>
        <w:t>1次，</w:t>
      </w:r>
      <w:r>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t>回复政务热线</w:t>
      </w:r>
      <w:r>
        <w:rPr>
          <w:rStyle w:val="5"/>
          <w:rFonts w:hint="eastAsia" w:ascii="方正仿宋简体" w:hAnsi="方正仿宋简体" w:eastAsia="方正仿宋简体" w:cs="方正仿宋简体"/>
          <w:bCs w:val="0"/>
          <w:i w:val="0"/>
          <w:iCs w:val="0"/>
          <w:caps w:val="0"/>
          <w:color w:val="auto"/>
          <w:spacing w:val="0"/>
          <w:kern w:val="2"/>
          <w:sz w:val="32"/>
          <w:szCs w:val="32"/>
          <w:lang w:val="en-US" w:eastAsia="zh-CN" w:bidi="ar-SA"/>
        </w:rPr>
        <w:t>48</w:t>
      </w:r>
      <w:r>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t>条，</w:t>
      </w:r>
      <w:r>
        <w:rPr>
          <w:rStyle w:val="5"/>
          <w:rFonts w:hint="eastAsia" w:ascii="方正仿宋简体" w:hAnsi="方正仿宋简体" w:eastAsia="方正仿宋简体" w:cs="方正仿宋简体"/>
          <w:bCs w:val="0"/>
          <w:i w:val="0"/>
          <w:iCs w:val="0"/>
          <w:caps w:val="0"/>
          <w:color w:val="auto"/>
          <w:spacing w:val="0"/>
          <w:kern w:val="2"/>
          <w:sz w:val="32"/>
          <w:szCs w:val="32"/>
          <w:lang w:val="en-US" w:eastAsia="zh-CN" w:bidi="ar-SA"/>
        </w:rPr>
        <w:t>其他信息发布54</w:t>
      </w:r>
      <w:r>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t>篇。</w:t>
      </w:r>
      <w:r>
        <w:rPr>
          <w:rStyle w:val="5"/>
          <w:rFonts w:hint="eastAsia" w:ascii="方正仿宋简体" w:hAnsi="方正仿宋简体" w:eastAsia="方正仿宋简体" w:cs="方正仿宋简体"/>
          <w:bCs w:val="0"/>
          <w:i w:val="0"/>
          <w:iCs w:val="0"/>
          <w:caps w:val="0"/>
          <w:color w:val="auto"/>
          <w:spacing w:val="0"/>
          <w:kern w:val="2"/>
          <w:sz w:val="32"/>
          <w:szCs w:val="32"/>
          <w:lang w:val="en-US" w:eastAsia="zh-CN" w:bidi="ar-SA"/>
        </w:rPr>
        <w:t>做到了事事有回音、件件有答复。</w:t>
      </w:r>
    </w:p>
    <w:p w14:paraId="0CAA9901">
      <w:pPr>
        <w:numPr>
          <w:ilvl w:val="0"/>
          <w:numId w:val="1"/>
        </w:numPr>
        <w:ind w:left="-13" w:leftChars="0" w:firstLine="643" w:firstLineChars="0"/>
        <w:rPr>
          <w:rStyle w:val="5"/>
          <w:rFonts w:hint="default" w:ascii="方正楷体简体" w:hAnsi="方正楷体简体" w:eastAsia="方正楷体简体" w:cs="方正楷体简体"/>
          <w:b/>
          <w:bCs w:val="0"/>
          <w:i w:val="0"/>
          <w:iCs w:val="0"/>
          <w:caps w:val="0"/>
          <w:color w:val="auto"/>
          <w:spacing w:val="0"/>
          <w:sz w:val="32"/>
          <w:szCs w:val="32"/>
          <w:lang w:eastAsia="zh-CN"/>
        </w:rPr>
      </w:pPr>
      <w:r>
        <w:rPr>
          <w:rStyle w:val="5"/>
          <w:rFonts w:hint="default" w:ascii="方正楷体简体" w:hAnsi="方正楷体简体" w:eastAsia="方正楷体简体" w:cs="方正楷体简体"/>
          <w:b/>
          <w:bCs w:val="0"/>
          <w:i w:val="0"/>
          <w:iCs w:val="0"/>
          <w:caps w:val="0"/>
          <w:color w:val="auto"/>
          <w:spacing w:val="0"/>
          <w:sz w:val="32"/>
          <w:szCs w:val="32"/>
          <w:lang w:val="en-US" w:eastAsia="zh-CN"/>
        </w:rPr>
        <w:drawing>
          <wp:anchor distT="0" distB="0" distL="114300" distR="114300" simplePos="0" relativeHeight="251659264" behindDoc="0" locked="0" layoutInCell="1" allowOverlap="1">
            <wp:simplePos x="0" y="0"/>
            <wp:positionH relativeFrom="column">
              <wp:posOffset>40005</wp:posOffset>
            </wp:positionH>
            <wp:positionV relativeFrom="paragraph">
              <wp:posOffset>57150</wp:posOffset>
            </wp:positionV>
            <wp:extent cx="5256530" cy="2988310"/>
            <wp:effectExtent l="5080" t="4445" r="15240" b="17145"/>
            <wp:wrapSquare wrapText="bothSides"/>
            <wp:docPr id="3" name="图表 3" descr="7b0a202020202263686172745265734964223a202232303436393939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Style w:val="5"/>
          <w:rFonts w:hint="default" w:ascii="方正楷体简体" w:hAnsi="方正楷体简体" w:eastAsia="方正楷体简体" w:cs="方正楷体简体"/>
          <w:b/>
          <w:bCs w:val="0"/>
          <w:i w:val="0"/>
          <w:iCs w:val="0"/>
          <w:caps w:val="0"/>
          <w:color w:val="auto"/>
          <w:spacing w:val="0"/>
          <w:sz w:val="32"/>
          <w:szCs w:val="32"/>
          <w:lang w:eastAsia="zh-CN"/>
        </w:rPr>
        <w:t>依申请公开情况</w:t>
      </w:r>
    </w:p>
    <w:p w14:paraId="5B95F37C">
      <w:pPr>
        <w:spacing w:line="600" w:lineRule="exact"/>
        <w:ind w:firstLine="643" w:firstLineChars="200"/>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pPr>
      <w:r>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t>202</w:t>
      </w:r>
      <w:r>
        <w:rPr>
          <w:rStyle w:val="5"/>
          <w:rFonts w:hint="eastAsia" w:ascii="方正仿宋简体" w:hAnsi="方正仿宋简体" w:eastAsia="方正仿宋简体" w:cs="方正仿宋简体"/>
          <w:bCs w:val="0"/>
          <w:i w:val="0"/>
          <w:iCs w:val="0"/>
          <w:caps w:val="0"/>
          <w:color w:val="auto"/>
          <w:spacing w:val="0"/>
          <w:kern w:val="2"/>
          <w:sz w:val="32"/>
          <w:szCs w:val="32"/>
          <w:lang w:val="en-US" w:eastAsia="zh-CN" w:bidi="ar-SA"/>
        </w:rPr>
        <w:t>4</w:t>
      </w:r>
      <w:r>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t>年度，科技创新局未收到依申请公开政府信息。</w:t>
      </w:r>
    </w:p>
    <w:p w14:paraId="38A9FFA2">
      <w:pPr>
        <w:numPr>
          <w:ilvl w:val="0"/>
          <w:numId w:val="1"/>
        </w:numPr>
        <w:ind w:left="-13" w:leftChars="0" w:firstLine="643" w:firstLineChars="0"/>
        <w:rPr>
          <w:rStyle w:val="5"/>
          <w:rFonts w:hint="default" w:ascii="方正楷体简体" w:hAnsi="方正楷体简体" w:eastAsia="方正楷体简体" w:cs="方正楷体简体"/>
          <w:b/>
          <w:bCs w:val="0"/>
          <w:i w:val="0"/>
          <w:iCs w:val="0"/>
          <w:caps w:val="0"/>
          <w:color w:val="auto"/>
          <w:spacing w:val="0"/>
          <w:sz w:val="32"/>
          <w:szCs w:val="32"/>
          <w:lang w:eastAsia="zh-CN"/>
        </w:rPr>
      </w:pPr>
      <w:r>
        <w:rPr>
          <w:rStyle w:val="5"/>
          <w:rFonts w:hint="default" w:ascii="方正楷体简体" w:hAnsi="方正楷体简体" w:eastAsia="方正楷体简体" w:cs="方正楷体简体"/>
          <w:b/>
          <w:bCs w:val="0"/>
          <w:i w:val="0"/>
          <w:iCs w:val="0"/>
          <w:caps w:val="0"/>
          <w:color w:val="auto"/>
          <w:spacing w:val="0"/>
          <w:sz w:val="32"/>
          <w:szCs w:val="32"/>
          <w:lang w:eastAsia="zh-CN"/>
        </w:rPr>
        <w:t>政府信息管理情况</w:t>
      </w:r>
    </w:p>
    <w:p w14:paraId="411F95C7">
      <w:pPr>
        <w:spacing w:line="600" w:lineRule="exact"/>
        <w:ind w:firstLine="643" w:firstLineChars="200"/>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pPr>
      <w:r>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t>严格按照《条例》的有关要求，建立健全信息公开的制度和机制，确定责任领导和责任人，进一步完善信息主动公开目录，明确政府信息公开范围、内容以及公开形式，坚持依法依规做好信息公开；严格遵守“谁公开、谁审查，谁审查、谁负责”、“先审查、后公开”和“一事一审”原则，建立完善逐级审查制度，严格履行保密审查程序，确保政府信息公开工作安全。</w:t>
      </w:r>
    </w:p>
    <w:p w14:paraId="39738E94">
      <w:pPr>
        <w:numPr>
          <w:ilvl w:val="0"/>
          <w:numId w:val="1"/>
        </w:numPr>
        <w:ind w:left="-13" w:leftChars="0" w:firstLine="643" w:firstLineChars="0"/>
        <w:rPr>
          <w:rStyle w:val="5"/>
          <w:rFonts w:hint="default" w:ascii="方正楷体简体" w:hAnsi="方正楷体简体" w:eastAsia="方正楷体简体" w:cs="方正楷体简体"/>
          <w:b/>
          <w:bCs w:val="0"/>
          <w:i w:val="0"/>
          <w:iCs w:val="0"/>
          <w:caps w:val="0"/>
          <w:color w:val="auto"/>
          <w:spacing w:val="0"/>
          <w:sz w:val="32"/>
          <w:szCs w:val="32"/>
          <w:lang w:val="en-US" w:eastAsia="zh-CN"/>
        </w:rPr>
      </w:pPr>
      <w:r>
        <w:rPr>
          <w:rStyle w:val="5"/>
          <w:rFonts w:hint="eastAsia" w:ascii="方正楷体简体" w:hAnsi="方正楷体简体" w:eastAsia="方正楷体简体" w:cs="方正楷体简体"/>
          <w:b/>
          <w:bCs w:val="0"/>
          <w:i w:val="0"/>
          <w:iCs w:val="0"/>
          <w:caps w:val="0"/>
          <w:color w:val="auto"/>
          <w:spacing w:val="0"/>
          <w:sz w:val="32"/>
          <w:szCs w:val="32"/>
          <w:lang w:val="en-US" w:eastAsia="zh-CN"/>
        </w:rPr>
        <w:t>政府信息公开平台建设情况</w:t>
      </w:r>
    </w:p>
    <w:p w14:paraId="0B42DE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3" w:firstLineChars="200"/>
        <w:jc w:val="left"/>
        <w:rPr>
          <w:rFonts w:hint="eastAsia" w:ascii="Times New Roman" w:hAnsi="Times New Roman" w:eastAsia="仿宋_GB2312" w:cs="Times New Roman"/>
          <w:kern w:val="2"/>
          <w:sz w:val="32"/>
          <w:szCs w:val="32"/>
          <w:lang w:val="en-US" w:eastAsia="zh-CN" w:bidi="ar-SA"/>
        </w:rPr>
      </w:pPr>
      <w:r>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t>发挥</w:t>
      </w:r>
      <w:r>
        <w:rPr>
          <w:rStyle w:val="5"/>
          <w:rFonts w:hint="eastAsia" w:ascii="方正仿宋简体" w:hAnsi="方正仿宋简体" w:eastAsia="方正仿宋简体" w:cs="方正仿宋简体"/>
          <w:bCs w:val="0"/>
          <w:i w:val="0"/>
          <w:iCs w:val="0"/>
          <w:caps w:val="0"/>
          <w:color w:val="auto"/>
          <w:spacing w:val="0"/>
          <w:kern w:val="2"/>
          <w:sz w:val="32"/>
          <w:szCs w:val="32"/>
          <w:lang w:val="en-US" w:eastAsia="zh-CN" w:bidi="ar-SA"/>
        </w:rPr>
        <w:t>管委会网站信息公开</w:t>
      </w:r>
      <w:r>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t>主阵地作用，</w:t>
      </w:r>
      <w:r>
        <w:rPr>
          <w:rStyle w:val="5"/>
          <w:rFonts w:hint="eastAsia" w:ascii="方正仿宋简体" w:hAnsi="方正仿宋简体" w:eastAsia="方正仿宋简体" w:cs="方正仿宋简体"/>
          <w:bCs w:val="0"/>
          <w:i w:val="0"/>
          <w:iCs w:val="0"/>
          <w:caps w:val="0"/>
          <w:color w:val="auto"/>
          <w:spacing w:val="0"/>
          <w:kern w:val="2"/>
          <w:sz w:val="32"/>
          <w:szCs w:val="32"/>
          <w:lang w:val="en-US" w:eastAsia="zh-CN" w:bidi="ar-SA"/>
        </w:rPr>
        <w:t>全面提高科技创新局政务信息公开服务水平，利用“济宁高新科技中心”公众号发布科技馆的日常运营信息、活动预告等信息，使公众能够及时了解科技馆的最新动态，提升政府的透明度。</w:t>
      </w:r>
    </w:p>
    <w:p w14:paraId="47090C9A">
      <w:pPr>
        <w:numPr>
          <w:ilvl w:val="0"/>
          <w:numId w:val="1"/>
        </w:numPr>
        <w:ind w:left="-13" w:leftChars="0" w:firstLine="643" w:firstLineChars="0"/>
        <w:rPr>
          <w:rStyle w:val="5"/>
          <w:rFonts w:hint="eastAsia" w:ascii="方正楷体简体" w:hAnsi="方正楷体简体" w:eastAsia="方正楷体简体" w:cs="方正楷体简体"/>
          <w:b/>
          <w:bCs w:val="0"/>
          <w:i w:val="0"/>
          <w:iCs w:val="0"/>
          <w:caps w:val="0"/>
          <w:color w:val="auto"/>
          <w:spacing w:val="0"/>
          <w:sz w:val="32"/>
          <w:szCs w:val="32"/>
          <w:lang w:val="en-US" w:eastAsia="zh-CN"/>
        </w:rPr>
      </w:pPr>
      <w:r>
        <w:rPr>
          <w:rStyle w:val="5"/>
          <w:rFonts w:hint="eastAsia" w:ascii="方正楷体简体" w:hAnsi="方正楷体简体" w:eastAsia="方正楷体简体" w:cs="方正楷体简体"/>
          <w:b/>
          <w:bCs w:val="0"/>
          <w:i w:val="0"/>
          <w:iCs w:val="0"/>
          <w:caps w:val="0"/>
          <w:color w:val="auto"/>
          <w:spacing w:val="0"/>
          <w:sz w:val="32"/>
          <w:szCs w:val="32"/>
          <w:lang w:val="en-US" w:eastAsia="zh-CN"/>
        </w:rPr>
        <w:t>监督保障情况</w:t>
      </w:r>
    </w:p>
    <w:p w14:paraId="760C09A4">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Style w:val="5"/>
          <w:rFonts w:hint="eastAsia" w:ascii="方正仿宋简体" w:hAnsi="方正仿宋简体" w:eastAsia="方正仿宋简体" w:cs="方正仿宋简体"/>
          <w:bCs w:val="0"/>
          <w:i w:val="0"/>
          <w:iCs w:val="0"/>
          <w:caps w:val="0"/>
          <w:color w:val="auto"/>
          <w:spacing w:val="0"/>
          <w:kern w:val="2"/>
          <w:sz w:val="32"/>
          <w:szCs w:val="32"/>
          <w:lang w:val="en-US" w:eastAsia="zh-CN" w:bidi="ar-SA"/>
        </w:rPr>
      </w:pPr>
      <w:r>
        <w:rPr>
          <w:rStyle w:val="5"/>
          <w:rFonts w:hint="eastAsia" w:ascii="方正仿宋简体" w:hAnsi="方正仿宋简体" w:eastAsia="方正仿宋简体" w:cs="方正仿宋简体"/>
          <w:bCs w:val="0"/>
          <w:i w:val="0"/>
          <w:iCs w:val="0"/>
          <w:caps w:val="0"/>
          <w:color w:val="auto"/>
          <w:spacing w:val="0"/>
          <w:kern w:val="2"/>
          <w:sz w:val="32"/>
          <w:szCs w:val="32"/>
          <w:lang w:val="en-US" w:eastAsia="zh-CN" w:bidi="ar-SA"/>
        </w:rPr>
        <w:t>为进一步加强政务公开监督管理，确保各项政务公开工作落到实处，</w:t>
      </w:r>
      <w:r>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t>济宁高新区科技创新局建立常态化培训制度，组织相关</w:t>
      </w:r>
      <w:r>
        <w:rPr>
          <w:rStyle w:val="5"/>
          <w:rFonts w:hint="eastAsia" w:ascii="方正仿宋简体" w:hAnsi="方正仿宋简体" w:eastAsia="方正仿宋简体" w:cs="方正仿宋简体"/>
          <w:bCs w:val="0"/>
          <w:i w:val="0"/>
          <w:iCs w:val="0"/>
          <w:caps w:val="0"/>
          <w:color w:val="auto"/>
          <w:spacing w:val="0"/>
          <w:kern w:val="2"/>
          <w:sz w:val="32"/>
          <w:szCs w:val="32"/>
          <w:lang w:val="en-US" w:eastAsia="zh-CN" w:bidi="ar-SA"/>
        </w:rPr>
        <w:t>处</w:t>
      </w:r>
      <w:r>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t>室人员进行业务培训，提升业务水平，局综合处具体承办，综合处设置一名专职人员具体办理政务信息审批单的收集及政务信息的上传工作，负责政府信息公开内容上报、更新、维护、组织协调等日常工作</w:t>
      </w:r>
      <w:r>
        <w:rPr>
          <w:rStyle w:val="5"/>
          <w:rFonts w:hint="eastAsia" w:ascii="方正仿宋简体" w:hAnsi="方正仿宋简体" w:eastAsia="方正仿宋简体" w:cs="方正仿宋简体"/>
          <w:bCs w:val="0"/>
          <w:i w:val="0"/>
          <w:iCs w:val="0"/>
          <w:caps w:val="0"/>
          <w:color w:val="auto"/>
          <w:spacing w:val="0"/>
          <w:kern w:val="2"/>
          <w:sz w:val="32"/>
          <w:szCs w:val="32"/>
          <w:lang w:val="en-US" w:eastAsia="zh-CN" w:bidi="ar-SA"/>
        </w:rPr>
        <w:t>，保证政务公开工作有组织、有计划、有步骤地推进。</w:t>
      </w:r>
    </w:p>
    <w:p w14:paraId="32656A04">
      <w:pPr>
        <w:spacing w:line="600" w:lineRule="exact"/>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二、主动公开政府信息情况</w:t>
      </w:r>
    </w:p>
    <w:tbl>
      <w:tblPr>
        <w:tblStyle w:val="3"/>
        <w:tblW w:w="5000" w:type="pct"/>
        <w:tblInd w:w="0" w:type="dxa"/>
        <w:tblLayout w:type="autofit"/>
        <w:tblCellMar>
          <w:top w:w="0" w:type="dxa"/>
          <w:left w:w="108" w:type="dxa"/>
          <w:bottom w:w="0" w:type="dxa"/>
          <w:right w:w="108" w:type="dxa"/>
        </w:tblCellMar>
      </w:tblPr>
      <w:tblGrid>
        <w:gridCol w:w="2130"/>
        <w:gridCol w:w="2130"/>
        <w:gridCol w:w="2131"/>
        <w:gridCol w:w="2131"/>
      </w:tblGrid>
      <w:tr w14:paraId="3EA08C8C">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48A0D5FA">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14:paraId="55B1E985">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285637E8">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1250" w:type="pct"/>
            <w:tcBorders>
              <w:top w:val="nil"/>
              <w:left w:val="nil"/>
              <w:bottom w:val="single" w:color="auto" w:sz="8" w:space="0"/>
              <w:right w:val="single" w:color="auto" w:sz="8" w:space="0"/>
            </w:tcBorders>
            <w:noWrap w:val="0"/>
            <w:vAlign w:val="center"/>
          </w:tcPr>
          <w:p w14:paraId="5AD17BDF">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1250" w:type="pct"/>
            <w:tcBorders>
              <w:top w:val="nil"/>
              <w:left w:val="nil"/>
              <w:bottom w:val="single" w:color="auto" w:sz="8" w:space="0"/>
              <w:right w:val="single" w:color="auto" w:sz="8" w:space="0"/>
            </w:tcBorders>
            <w:noWrap w:val="0"/>
            <w:vAlign w:val="center"/>
          </w:tcPr>
          <w:p w14:paraId="79AE0729">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1250" w:type="pct"/>
            <w:tcBorders>
              <w:top w:val="nil"/>
              <w:left w:val="nil"/>
              <w:bottom w:val="single" w:color="auto" w:sz="8" w:space="0"/>
              <w:right w:val="single" w:color="auto" w:sz="8" w:space="0"/>
            </w:tcBorders>
            <w:noWrap w:val="0"/>
            <w:vAlign w:val="center"/>
          </w:tcPr>
          <w:p w14:paraId="54CB06A1">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14:paraId="28C0B582">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7340E79D">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1250" w:type="pct"/>
            <w:tcBorders>
              <w:top w:val="nil"/>
              <w:left w:val="nil"/>
              <w:bottom w:val="single" w:color="auto" w:sz="8" w:space="0"/>
              <w:right w:val="single" w:color="auto" w:sz="8" w:space="0"/>
            </w:tcBorders>
            <w:noWrap w:val="0"/>
            <w:vAlign w:val="center"/>
          </w:tcPr>
          <w:p w14:paraId="4D7ED618">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14:paraId="02AEF502">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14:paraId="6B8B8F9B">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14:paraId="17C9E8DC">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4CA3FC15">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1250" w:type="pct"/>
            <w:tcBorders>
              <w:top w:val="nil"/>
              <w:left w:val="nil"/>
              <w:bottom w:val="single" w:color="auto" w:sz="8" w:space="0"/>
              <w:right w:val="single" w:color="auto" w:sz="8" w:space="0"/>
            </w:tcBorders>
            <w:noWrap w:val="0"/>
            <w:vAlign w:val="center"/>
          </w:tcPr>
          <w:p w14:paraId="3ED8B08A">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14:paraId="196AAE9D">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14:paraId="04BBAEF1">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w:t>
            </w:r>
          </w:p>
        </w:tc>
      </w:tr>
      <w:tr w14:paraId="552219ED">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36D9D2F2">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14:paraId="116547DC">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1F39BDF0">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14:paraId="00933C92">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14:paraId="7A017324">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350EABD8">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noWrap w:val="0"/>
            <w:vAlign w:val="center"/>
          </w:tcPr>
          <w:p w14:paraId="32FE2846">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14:paraId="77C0EF80">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26F9F7A1">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14:paraId="77FEA436">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4B03F716">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14:paraId="51A4A666">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14:paraId="5C5C1A0D">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2EEE8AC6">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noWrap w:val="0"/>
            <w:vAlign w:val="center"/>
          </w:tcPr>
          <w:p w14:paraId="3EC58715">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14:paraId="51D2BC0C">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1D05E303">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noWrap w:val="0"/>
            <w:vAlign w:val="center"/>
          </w:tcPr>
          <w:p w14:paraId="69567201">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14:paraId="2D938D21">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7837DADB">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14:paraId="6AA9C52D">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2516A274">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14:paraId="764905E6">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14:paraId="0E726E7E">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4D675FDE">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noWrap w:val="0"/>
            <w:vAlign w:val="center"/>
          </w:tcPr>
          <w:p w14:paraId="7FD9C22E">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bl>
    <w:p w14:paraId="3B7761BC">
      <w:pPr>
        <w:spacing w:line="600" w:lineRule="exact"/>
        <w:ind w:firstLine="640" w:firstLineChars="200"/>
        <w:rPr>
          <w:rFonts w:hint="default" w:ascii="Times New Roman" w:hAnsi="Times New Roman" w:eastAsia="仿宋_GB2312" w:cs="Times New Roman"/>
          <w:sz w:val="32"/>
          <w:szCs w:val="32"/>
        </w:rPr>
      </w:pPr>
    </w:p>
    <w:p w14:paraId="4CA3C9D6">
      <w:pPr>
        <w:spacing w:line="600" w:lineRule="exact"/>
        <w:ind w:firstLine="643" w:firstLineChars="200"/>
        <w:rPr>
          <w:rFonts w:hint="default" w:ascii="Times New Roman" w:hAnsi="Times New Roman" w:eastAsia="仿宋_GB2312" w:cs="Times New Roman"/>
          <w:sz w:val="32"/>
          <w:szCs w:val="32"/>
        </w:rPr>
      </w:pPr>
      <w:r>
        <w:rPr>
          <w:rFonts w:hint="default" w:ascii="黑体" w:hAnsi="黑体" w:eastAsia="黑体" w:cs="黑体"/>
          <w:b/>
          <w:bCs/>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3438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14:paraId="39DFB836">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14:paraId="6E8132F4">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14:paraId="644F0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5D3BA732">
            <w:pPr>
              <w:spacing w:line="300" w:lineRule="exact"/>
              <w:jc w:val="center"/>
              <w:rPr>
                <w:rFonts w:hint="default" w:ascii="Times New Roman" w:hAnsi="Times New Roman" w:eastAsia="方正黑体简体" w:cs="Times New Roman"/>
                <w:b/>
                <w:sz w:val="21"/>
                <w:szCs w:val="21"/>
              </w:rPr>
            </w:pPr>
          </w:p>
        </w:tc>
        <w:tc>
          <w:tcPr>
            <w:tcW w:w="791" w:type="dxa"/>
            <w:vMerge w:val="restart"/>
            <w:noWrap w:val="0"/>
            <w:tcMar>
              <w:left w:w="57" w:type="dxa"/>
              <w:right w:w="57" w:type="dxa"/>
            </w:tcMar>
            <w:vAlign w:val="center"/>
          </w:tcPr>
          <w:p w14:paraId="593E9E8D">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5"/>
            <w:noWrap w:val="0"/>
            <w:tcMar>
              <w:left w:w="108" w:type="dxa"/>
              <w:right w:w="108" w:type="dxa"/>
            </w:tcMar>
            <w:vAlign w:val="center"/>
          </w:tcPr>
          <w:p w14:paraId="191C6239">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noWrap w:val="0"/>
            <w:tcMar>
              <w:left w:w="108" w:type="dxa"/>
              <w:right w:w="108" w:type="dxa"/>
            </w:tcMar>
            <w:vAlign w:val="center"/>
          </w:tcPr>
          <w:p w14:paraId="2E4ECBEF">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14:paraId="444D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06324B57">
            <w:pPr>
              <w:spacing w:line="300" w:lineRule="exact"/>
              <w:rPr>
                <w:rFonts w:hint="default" w:ascii="Times New Roman" w:hAnsi="Times New Roman" w:eastAsia="方正仿宋简体" w:cs="Times New Roman"/>
                <w:b/>
                <w:sz w:val="21"/>
                <w:szCs w:val="21"/>
              </w:rPr>
            </w:pPr>
          </w:p>
        </w:tc>
        <w:tc>
          <w:tcPr>
            <w:tcW w:w="791" w:type="dxa"/>
            <w:vMerge w:val="continue"/>
            <w:noWrap w:val="0"/>
            <w:tcMar>
              <w:left w:w="57" w:type="dxa"/>
              <w:right w:w="57" w:type="dxa"/>
            </w:tcMar>
            <w:vAlign w:val="center"/>
          </w:tcPr>
          <w:p w14:paraId="3673396E">
            <w:pPr>
              <w:spacing w:line="300" w:lineRule="exact"/>
              <w:rPr>
                <w:rFonts w:hint="default" w:ascii="Times New Roman" w:hAnsi="Times New Roman" w:eastAsia="方正仿宋简体" w:cs="Times New Roman"/>
                <w:b/>
                <w:sz w:val="21"/>
                <w:szCs w:val="21"/>
              </w:rPr>
            </w:pPr>
          </w:p>
        </w:tc>
        <w:tc>
          <w:tcPr>
            <w:tcW w:w="599" w:type="dxa"/>
            <w:noWrap w:val="0"/>
            <w:tcMar>
              <w:left w:w="108" w:type="dxa"/>
              <w:right w:w="108" w:type="dxa"/>
            </w:tcMar>
            <w:vAlign w:val="center"/>
          </w:tcPr>
          <w:p w14:paraId="162004DD">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14:paraId="60783069">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noWrap w:val="0"/>
            <w:tcMar>
              <w:left w:w="108" w:type="dxa"/>
              <w:right w:w="108" w:type="dxa"/>
            </w:tcMar>
            <w:vAlign w:val="center"/>
          </w:tcPr>
          <w:p w14:paraId="5072B56A">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14:paraId="6B305C6C">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noWrap w:val="0"/>
            <w:tcMar>
              <w:left w:w="108" w:type="dxa"/>
              <w:right w:w="108" w:type="dxa"/>
            </w:tcMar>
            <w:vAlign w:val="center"/>
          </w:tcPr>
          <w:p w14:paraId="7C79B300">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noWrap w:val="0"/>
            <w:tcMar>
              <w:left w:w="108" w:type="dxa"/>
              <w:right w:w="108" w:type="dxa"/>
            </w:tcMar>
            <w:vAlign w:val="center"/>
          </w:tcPr>
          <w:p w14:paraId="2D831C5A">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noWrap w:val="0"/>
            <w:tcMar>
              <w:left w:w="108" w:type="dxa"/>
              <w:right w:w="108" w:type="dxa"/>
            </w:tcMar>
            <w:vAlign w:val="center"/>
          </w:tcPr>
          <w:p w14:paraId="04C966CF">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noWrap w:val="0"/>
            <w:tcMar>
              <w:left w:w="108" w:type="dxa"/>
              <w:right w:w="108" w:type="dxa"/>
            </w:tcMar>
            <w:vAlign w:val="center"/>
          </w:tcPr>
          <w:p w14:paraId="5C034709">
            <w:pPr>
              <w:spacing w:line="300" w:lineRule="exact"/>
              <w:rPr>
                <w:rFonts w:hint="default" w:ascii="Times New Roman" w:hAnsi="Times New Roman" w:eastAsia="方正仿宋简体" w:cs="Times New Roman"/>
                <w:b/>
                <w:sz w:val="21"/>
                <w:szCs w:val="21"/>
              </w:rPr>
            </w:pPr>
          </w:p>
        </w:tc>
      </w:tr>
      <w:tr w14:paraId="4EAC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14:paraId="32BA47AC">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noWrap w:val="0"/>
            <w:tcMar>
              <w:left w:w="57" w:type="dxa"/>
              <w:right w:w="57" w:type="dxa"/>
            </w:tcMar>
            <w:vAlign w:val="center"/>
          </w:tcPr>
          <w:p w14:paraId="6CDC44C7">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14:paraId="1E5CCC97">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14:paraId="08913B4C">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14:paraId="73912A22">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1158D209">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51F32ED1">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14:paraId="41535848">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2AE5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14:paraId="55458BB8">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noWrap w:val="0"/>
            <w:tcMar>
              <w:left w:w="57" w:type="dxa"/>
              <w:right w:w="57" w:type="dxa"/>
            </w:tcMar>
            <w:vAlign w:val="center"/>
          </w:tcPr>
          <w:p w14:paraId="0F7C6234">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14:paraId="65ABCEE0">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14:paraId="14B97D8F">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14:paraId="609A2BC7">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51E438BF">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0C18EE7E">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14:paraId="39AFA4A0">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64F4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1C2306BB">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noWrap w:val="0"/>
            <w:tcMar>
              <w:left w:w="57" w:type="dxa"/>
              <w:right w:w="57" w:type="dxa"/>
            </w:tcMar>
            <w:vAlign w:val="center"/>
          </w:tcPr>
          <w:p w14:paraId="3252E471">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noWrap w:val="0"/>
            <w:tcMar>
              <w:left w:w="57" w:type="dxa"/>
              <w:right w:w="57" w:type="dxa"/>
            </w:tcMar>
            <w:vAlign w:val="center"/>
          </w:tcPr>
          <w:p w14:paraId="73AB67FB">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14:paraId="65EE14A0">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14:paraId="70C38CED">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14:paraId="19028307">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535AF46F">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1F083751">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14:paraId="33E0501A">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2A8D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14:paraId="2F72D9D2">
            <w:pPr>
              <w:spacing w:line="300" w:lineRule="exact"/>
              <w:rPr>
                <w:rFonts w:hint="default" w:ascii="Times New Roman" w:hAnsi="Times New Roman" w:eastAsia="方正仿宋简体" w:cs="Times New Roman"/>
                <w:b/>
                <w:sz w:val="21"/>
                <w:szCs w:val="21"/>
              </w:rPr>
            </w:pPr>
          </w:p>
        </w:tc>
        <w:tc>
          <w:tcPr>
            <w:tcW w:w="3820" w:type="dxa"/>
            <w:gridSpan w:val="2"/>
            <w:noWrap w:val="0"/>
            <w:tcMar>
              <w:left w:w="57" w:type="dxa"/>
              <w:right w:w="57" w:type="dxa"/>
            </w:tcMar>
            <w:vAlign w:val="center"/>
          </w:tcPr>
          <w:p w14:paraId="3FB858E7">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noWrap w:val="0"/>
            <w:tcMar>
              <w:left w:w="57" w:type="dxa"/>
              <w:right w:w="57" w:type="dxa"/>
            </w:tcMar>
            <w:vAlign w:val="center"/>
          </w:tcPr>
          <w:p w14:paraId="1787ADD4">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14:paraId="0CA4B32C">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14:paraId="23057B68">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14:paraId="287FCD18">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4C6ECCBC">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2C64354C">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14:paraId="72D7A59A">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48E9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5F7376C1">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14:paraId="45BCD597">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noWrap w:val="0"/>
            <w:tcMar>
              <w:left w:w="57" w:type="dxa"/>
              <w:right w:w="57" w:type="dxa"/>
            </w:tcMar>
            <w:vAlign w:val="top"/>
          </w:tcPr>
          <w:p w14:paraId="4BCFAA18">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noWrap w:val="0"/>
            <w:tcMar>
              <w:left w:w="57" w:type="dxa"/>
              <w:right w:w="57" w:type="dxa"/>
            </w:tcMar>
            <w:vAlign w:val="center"/>
          </w:tcPr>
          <w:p w14:paraId="5B85E82F">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14:paraId="03AC3C75">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14:paraId="5745D369">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14:paraId="73FDA730">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401E12D2">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4048D7F6">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14:paraId="7E7CB292">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5A92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5C307EC9">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7937CD4B">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14:paraId="215FA792">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noWrap w:val="0"/>
            <w:tcMar>
              <w:left w:w="57" w:type="dxa"/>
              <w:right w:w="57" w:type="dxa"/>
            </w:tcMar>
            <w:vAlign w:val="center"/>
          </w:tcPr>
          <w:p w14:paraId="191493FB">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14:paraId="1C884D17">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14:paraId="1F43AD1E">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14:paraId="65048047">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14AB9D66">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184A0981">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14:paraId="29CFB345">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7691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4B4A8732">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4D2041EF">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14:paraId="2D1956FD">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noWrap w:val="0"/>
            <w:tcMar>
              <w:left w:w="57" w:type="dxa"/>
              <w:right w:w="57" w:type="dxa"/>
            </w:tcMar>
            <w:vAlign w:val="center"/>
          </w:tcPr>
          <w:p w14:paraId="4C185CD0">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14:paraId="501BA526">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14:paraId="4C4F38FE">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14:paraId="50FC620E">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10A69824">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0CBB6D71">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14:paraId="3E20ABE3">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6E65F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1639AE52">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734709DC">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14:paraId="64648991">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noWrap w:val="0"/>
            <w:tcMar>
              <w:left w:w="57" w:type="dxa"/>
              <w:right w:w="57" w:type="dxa"/>
            </w:tcMar>
            <w:vAlign w:val="center"/>
          </w:tcPr>
          <w:p w14:paraId="4B93604D">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14:paraId="1506C138">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14:paraId="512E6382">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14:paraId="06652FF4">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327018BD">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00EE6B3F">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14:paraId="06196260">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49FA5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4FBC2C5A">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4A0B1A1B">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14:paraId="529D71E6">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noWrap w:val="0"/>
            <w:tcMar>
              <w:left w:w="57" w:type="dxa"/>
              <w:right w:w="57" w:type="dxa"/>
            </w:tcMar>
            <w:vAlign w:val="center"/>
          </w:tcPr>
          <w:p w14:paraId="30292678">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14:paraId="41143E50">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14:paraId="13156DA3">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14:paraId="73C40650">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7809AC36">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5B014122">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14:paraId="036C2DA1">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7C68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42C062D6">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6943CC75">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14:paraId="4D74C667">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noWrap w:val="0"/>
            <w:tcMar>
              <w:left w:w="57" w:type="dxa"/>
              <w:right w:w="57" w:type="dxa"/>
            </w:tcMar>
            <w:vAlign w:val="center"/>
          </w:tcPr>
          <w:p w14:paraId="7301B308">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14:paraId="2731DBCC">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14:paraId="4F892AE6">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14:paraId="5F95BC65">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72D7F356">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0BC7163B">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14:paraId="20D6D286">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1ECC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0DD51910">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21342933">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14:paraId="142777C0">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noWrap w:val="0"/>
            <w:tcMar>
              <w:left w:w="57" w:type="dxa"/>
              <w:right w:w="57" w:type="dxa"/>
            </w:tcMar>
            <w:vAlign w:val="center"/>
          </w:tcPr>
          <w:p w14:paraId="247810DF">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14:paraId="059EA125">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14:paraId="60F3C554">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14:paraId="1100BD9A">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1A98B5CB">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3C4770AE">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14:paraId="58829E30">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7533A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544BA435">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77385DA9">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14:paraId="37EB0964">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noWrap w:val="0"/>
            <w:tcMar>
              <w:left w:w="57" w:type="dxa"/>
              <w:right w:w="57" w:type="dxa"/>
            </w:tcMar>
            <w:vAlign w:val="center"/>
          </w:tcPr>
          <w:p w14:paraId="3EE984F7">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14:paraId="1C75FB44">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14:paraId="03FC779B">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14:paraId="7E9AF3CE">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1C82480D">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3EDD4E6F">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14:paraId="0CD1635B">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452D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4DD4B8E4">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14:paraId="5C12565E">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noWrap w:val="0"/>
            <w:tcMar>
              <w:left w:w="57" w:type="dxa"/>
              <w:right w:w="57" w:type="dxa"/>
            </w:tcMar>
            <w:vAlign w:val="top"/>
          </w:tcPr>
          <w:p w14:paraId="04EB65EF">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noWrap w:val="0"/>
            <w:tcMar>
              <w:left w:w="57" w:type="dxa"/>
              <w:right w:w="57" w:type="dxa"/>
            </w:tcMar>
            <w:vAlign w:val="center"/>
          </w:tcPr>
          <w:p w14:paraId="34E888A9">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14:paraId="54622A7F">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14:paraId="369D05FC">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14:paraId="53F31AF1">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111C9E14">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309F011D">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14:paraId="4F07A5D8">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3EEE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6D20417">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4981049C">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14:paraId="0BAB8498">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noWrap w:val="0"/>
            <w:tcMar>
              <w:left w:w="57" w:type="dxa"/>
              <w:right w:w="57" w:type="dxa"/>
            </w:tcMar>
            <w:vAlign w:val="center"/>
          </w:tcPr>
          <w:p w14:paraId="4532F926">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14:paraId="027EF816">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14:paraId="23E6CE5F">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14:paraId="1DDF9C2E">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628C41A0">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417D49C1">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14:paraId="5D4328D2">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4030C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4CE08FC4">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07FA5E1F">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14:paraId="0234BD16">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noWrap w:val="0"/>
            <w:tcMar>
              <w:left w:w="57" w:type="dxa"/>
              <w:right w:w="57" w:type="dxa"/>
            </w:tcMar>
            <w:vAlign w:val="center"/>
          </w:tcPr>
          <w:p w14:paraId="38F5BD11">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14:paraId="7D6689B3">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14:paraId="4C7AE2B3">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14:paraId="269A5B89">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6388F2E4">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52015814">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14:paraId="3244B606">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2176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63121A1D">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14:paraId="012E830E">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noWrap w:val="0"/>
            <w:tcMar>
              <w:left w:w="57" w:type="dxa"/>
              <w:right w:w="57" w:type="dxa"/>
            </w:tcMar>
            <w:vAlign w:val="top"/>
          </w:tcPr>
          <w:p w14:paraId="6F665153">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noWrap w:val="0"/>
            <w:tcMar>
              <w:left w:w="57" w:type="dxa"/>
              <w:right w:w="57" w:type="dxa"/>
            </w:tcMar>
            <w:vAlign w:val="center"/>
          </w:tcPr>
          <w:p w14:paraId="55D2304A">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14:paraId="43125B9B">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14:paraId="65B5D447">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14:paraId="33760722">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36598E2A">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3A16E9FF">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14:paraId="289238EE">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1C769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081D0265">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5235DFE1">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14:paraId="35C010E0">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noWrap w:val="0"/>
            <w:tcMar>
              <w:left w:w="57" w:type="dxa"/>
              <w:right w:w="57" w:type="dxa"/>
            </w:tcMar>
            <w:vAlign w:val="center"/>
          </w:tcPr>
          <w:p w14:paraId="0A65DD88">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14:paraId="0953E56E">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14:paraId="51973943">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14:paraId="7B2742E7">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6AA46AF1">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4A3DC0BC">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14:paraId="657EA2D4">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5C31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5FD572E2">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7C506BFE">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14:paraId="3B53162A">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noWrap w:val="0"/>
            <w:tcMar>
              <w:left w:w="57" w:type="dxa"/>
              <w:right w:w="57" w:type="dxa"/>
            </w:tcMar>
            <w:vAlign w:val="center"/>
          </w:tcPr>
          <w:p w14:paraId="338DD094">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14:paraId="09EAE169">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14:paraId="20F9FB10">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14:paraId="07DDFD8B">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32DC0B1B">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598D76F9">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14:paraId="6E4C5B60">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46D7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7B3DD433">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7B265EDB">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14:paraId="6B45A010">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noWrap w:val="0"/>
            <w:tcMar>
              <w:left w:w="57" w:type="dxa"/>
              <w:right w:w="57" w:type="dxa"/>
            </w:tcMar>
            <w:vAlign w:val="center"/>
          </w:tcPr>
          <w:p w14:paraId="0FCF99D9">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14:paraId="77E59DBB">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14:paraId="11C5EEDA">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14:paraId="45A009A0">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3BDC26F3">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6C91177D">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14:paraId="5F3C0F63">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4415B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14:paraId="2E63CEE7">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1F6FB88D">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center"/>
          </w:tcPr>
          <w:p w14:paraId="2A992A28">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noWrap w:val="0"/>
            <w:tcMar>
              <w:left w:w="57" w:type="dxa"/>
              <w:right w:w="57" w:type="dxa"/>
            </w:tcMar>
            <w:vAlign w:val="center"/>
          </w:tcPr>
          <w:p w14:paraId="19D49A08">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14:paraId="342EFB64">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14:paraId="287D1AC3">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14:paraId="58530FDB">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7181EB99">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307E012E">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14:paraId="288469C1">
            <w:pPr>
              <w:widowControl/>
              <w:spacing w:line="300" w:lineRule="exact"/>
              <w:jc w:val="center"/>
              <w:rPr>
                <w:rFonts w:hint="default" w:ascii="Times New Roman" w:hAnsi="Times New Roman" w:eastAsia="方正仿宋简体" w:cs="Times New Roman"/>
                <w:b/>
                <w:sz w:val="21"/>
                <w:szCs w:val="21"/>
                <w:lang w:val="en-US" w:eastAsia="zh-CN" w:bidi="ar"/>
              </w:rPr>
            </w:pPr>
          </w:p>
          <w:p w14:paraId="39C3BFA9">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14:paraId="7CB7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630ED9E5">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14:paraId="40CD0BB8">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noWrap w:val="0"/>
            <w:tcMar>
              <w:left w:w="57" w:type="dxa"/>
              <w:right w:w="57" w:type="dxa"/>
            </w:tcMar>
            <w:vAlign w:val="center"/>
          </w:tcPr>
          <w:p w14:paraId="1EADACCA">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14:paraId="1713B579">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14:paraId="3471AA53">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14:paraId="3B429D86">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14:paraId="1C926BD1">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111B9F1C">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35BF30F1">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14:paraId="72125C46">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14:paraId="1F3B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66E673E3">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4235FF4A">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center"/>
          </w:tcPr>
          <w:p w14:paraId="6DA66645">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14:paraId="7285F2FA">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14:paraId="79897696">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14:paraId="2D64D2BC">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14:paraId="3EF72C13">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32063FEB">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4F387F8E">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14:paraId="5C032BC2">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14:paraId="2BF01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39D113E9">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69EEBDFB">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center"/>
          </w:tcPr>
          <w:p w14:paraId="6324F05E">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noWrap w:val="0"/>
            <w:tcMar>
              <w:left w:w="57" w:type="dxa"/>
              <w:right w:w="57" w:type="dxa"/>
            </w:tcMar>
            <w:vAlign w:val="center"/>
          </w:tcPr>
          <w:p w14:paraId="0BAA8C1D">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14:paraId="50476718">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14:paraId="79DF5143">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14:paraId="76D431A4">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64939788">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53136D11">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14:paraId="1C09995E">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14:paraId="74CC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26A44F69">
            <w:pPr>
              <w:spacing w:line="300" w:lineRule="exact"/>
              <w:rPr>
                <w:rFonts w:hint="default" w:ascii="Times New Roman" w:hAnsi="Times New Roman" w:eastAsia="方正仿宋简体" w:cs="Times New Roman"/>
                <w:b/>
                <w:sz w:val="21"/>
                <w:szCs w:val="21"/>
              </w:rPr>
            </w:pPr>
          </w:p>
        </w:tc>
        <w:tc>
          <w:tcPr>
            <w:tcW w:w="3820" w:type="dxa"/>
            <w:gridSpan w:val="2"/>
            <w:noWrap w:val="0"/>
            <w:tcMar>
              <w:left w:w="57" w:type="dxa"/>
              <w:right w:w="57" w:type="dxa"/>
            </w:tcMar>
            <w:vAlign w:val="center"/>
          </w:tcPr>
          <w:p w14:paraId="730AD253">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noWrap w:val="0"/>
            <w:tcMar>
              <w:left w:w="57" w:type="dxa"/>
              <w:right w:w="57" w:type="dxa"/>
            </w:tcMar>
            <w:vAlign w:val="center"/>
          </w:tcPr>
          <w:p w14:paraId="6E64A33C">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14:paraId="1342B212">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14:paraId="2BEFE1C5">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14:paraId="4D0DFD7D">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41AA578A">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5794CAA2">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14:paraId="353B331F">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14:paraId="486E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14:paraId="6F1F8EE9">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noWrap w:val="0"/>
            <w:tcMar>
              <w:left w:w="57" w:type="dxa"/>
              <w:right w:w="57" w:type="dxa"/>
            </w:tcMar>
            <w:vAlign w:val="center"/>
          </w:tcPr>
          <w:p w14:paraId="560D84BC">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14:paraId="50F6063A">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14:paraId="2FC31D7E">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14:paraId="4FA2A0EA">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1CE865C4">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0D388CBC">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14:paraId="6BCC1594">
            <w:pPr>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r>
    </w:tbl>
    <w:p w14:paraId="09BE776A">
      <w:pPr>
        <w:spacing w:line="600" w:lineRule="exact"/>
        <w:rPr>
          <w:rFonts w:hint="default" w:ascii="Times New Roman" w:hAnsi="Times New Roman" w:eastAsia="仿宋_GB2312" w:cs="Times New Roman"/>
          <w:b/>
          <w:bCs/>
          <w:sz w:val="32"/>
          <w:szCs w:val="32"/>
        </w:rPr>
      </w:pPr>
    </w:p>
    <w:p w14:paraId="6398D543">
      <w:pPr>
        <w:spacing w:line="600" w:lineRule="exact"/>
        <w:ind w:firstLine="643" w:firstLineChars="200"/>
        <w:rPr>
          <w:rFonts w:hint="default" w:ascii="黑体" w:hAnsi="黑体" w:eastAsia="黑体" w:cs="黑体"/>
          <w:b/>
          <w:bCs/>
          <w:sz w:val="32"/>
          <w:szCs w:val="32"/>
        </w:rPr>
      </w:pPr>
      <w:r>
        <w:rPr>
          <w:rFonts w:hint="eastAsia" w:ascii="黑体" w:hAnsi="黑体" w:eastAsia="黑体" w:cs="黑体"/>
          <w:b/>
          <w:bCs/>
          <w:sz w:val="32"/>
          <w:szCs w:val="32"/>
          <w:lang w:val="en-US" w:eastAsia="zh-CN"/>
        </w:rPr>
        <w:t>四、</w:t>
      </w:r>
      <w:r>
        <w:rPr>
          <w:rFonts w:hint="default" w:ascii="黑体" w:hAnsi="黑体" w:eastAsia="黑体" w:cs="黑体"/>
          <w:b/>
          <w:bCs/>
          <w:sz w:val="32"/>
          <w:szCs w:val="32"/>
        </w:rPr>
        <w:t>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7B6717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0F65165">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14:paraId="79C50CF7">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14:paraId="7B4740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0059971F">
            <w:pPr>
              <w:widowControl/>
              <w:ind w:left="-149" w:leftChars="-71" w:right="-170" w:rightChars="-8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14:paraId="35A979D7">
            <w:pPr>
              <w:widowControl/>
              <w:ind w:left="-149" w:leftChars="-71" w:right="-170" w:rightChars="-8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14:paraId="2E4E3AD6">
            <w:pPr>
              <w:widowControl/>
              <w:ind w:left="-43" w:leftChars="-21" w:right="-132" w:rightChars="-63"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44FF1913">
            <w:pPr>
              <w:widowControl/>
              <w:ind w:left="-82" w:leftChars="-39" w:right="-97" w:rightChars="-4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5204B118">
            <w:pPr>
              <w:widowControl/>
              <w:ind w:left="-118" w:leftChars="-56" w:right="-118" w:rightChars="-56"/>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14:paraId="39437999">
            <w:pPr>
              <w:widowControl/>
              <w:ind w:left="-118" w:leftChars="-56" w:right="-118" w:rightChars="-5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2DCDC692">
            <w:pPr>
              <w:widowControl/>
              <w:spacing w:line="32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14:paraId="6B6C65E3">
            <w:pPr>
              <w:widowControl/>
              <w:spacing w:line="320" w:lineRule="exact"/>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0A2FA759">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284B7C29">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复议后起诉</w:t>
            </w:r>
          </w:p>
        </w:tc>
      </w:tr>
      <w:tr w14:paraId="1C577C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3EA73EF">
            <w:pPr>
              <w:rPr>
                <w:rFonts w:hint="default"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14:paraId="7C123DD2">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260F1792">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6DE1E04E">
            <w:pPr>
              <w:rPr>
                <w:rFonts w:hint="default"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2D81102C">
            <w:pPr>
              <w:rPr>
                <w:rFonts w:hint="default" w:ascii="Times New Roman" w:hAnsi="Times New Roman" w:eastAsia="黑体" w:cs="Times New Roman"/>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2AAC174C">
            <w:pPr>
              <w:widowControl/>
              <w:ind w:left="-105" w:leftChars="-50" w:right="-126" w:rightChars="-60"/>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7143AB9B">
            <w:pPr>
              <w:widowControl/>
              <w:ind w:left="-86" w:leftChars="-41" w:right="-88" w:rightChars="-42"/>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D6345C2">
            <w:pPr>
              <w:widowControl/>
              <w:ind w:left="-126" w:leftChars="-60" w:right="-136" w:rightChars="-65"/>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14:paraId="314B8371">
            <w:pPr>
              <w:widowControl/>
              <w:ind w:left="-126" w:leftChars="-60" w:right="-136" w:rightChars="-65"/>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426B4FC">
            <w:pPr>
              <w:widowControl/>
              <w:ind w:left="-164" w:leftChars="-78" w:right="-153" w:rightChars="-73"/>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14:paraId="242EA6B6">
            <w:pPr>
              <w:widowControl/>
              <w:ind w:left="-164" w:leftChars="-78" w:right="-153" w:rightChars="-73"/>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A798B4C">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78755A2">
            <w:pPr>
              <w:widowControl/>
              <w:ind w:left="-99" w:leftChars="-47" w:right="-78" w:rightChars="-37"/>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E789917">
            <w:pPr>
              <w:widowControl/>
              <w:ind w:left="-136" w:leftChars="-65" w:right="-124" w:rightChars="-59"/>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14:paraId="4606FE94">
            <w:pPr>
              <w:widowControl/>
              <w:ind w:left="-136" w:leftChars="-65" w:right="-124" w:rightChars="-59"/>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51312F2">
            <w:pPr>
              <w:widowControl/>
              <w:ind w:left="-173" w:leftChars="-83" w:right="-134" w:rightChars="-64" w:hanging="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14:paraId="22497E32">
            <w:pPr>
              <w:widowControl/>
              <w:ind w:left="-173" w:leftChars="-83" w:right="-134" w:rightChars="-64"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5823B85">
            <w:pPr>
              <w:widowControl/>
              <w:ind w:left="-67" w:leftChars="-33" w:right="-105" w:rightChars="-50" w:hanging="2" w:hangingChars="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DA15315">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14:paraId="306B89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72D05E6">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708FD382">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77B2C3BA">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63891CDD">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56FA02A4">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318A71E6">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07A92D38">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5607D8B2">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3AFCA48F">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16CEFE43">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543811ED">
            <w:pPr>
              <w:widowControl/>
              <w:spacing w:after="180"/>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551C3DD1">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389B4D26">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38B960D8">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1DAABCFD">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bl>
    <w:p w14:paraId="69D8B51A">
      <w:pPr>
        <w:numPr>
          <w:ilvl w:val="0"/>
          <w:numId w:val="2"/>
        </w:numPr>
        <w:spacing w:line="600" w:lineRule="exact"/>
        <w:ind w:firstLine="643" w:firstLineChars="200"/>
        <w:rPr>
          <w:rFonts w:hint="default" w:ascii="黑体" w:hAnsi="黑体" w:eastAsia="黑体" w:cs="黑体"/>
          <w:b/>
          <w:bCs/>
          <w:sz w:val="32"/>
          <w:szCs w:val="32"/>
        </w:rPr>
      </w:pPr>
      <w:r>
        <w:rPr>
          <w:rFonts w:hint="default" w:ascii="黑体" w:hAnsi="黑体" w:eastAsia="黑体" w:cs="黑体"/>
          <w:b/>
          <w:bCs/>
          <w:sz w:val="32"/>
          <w:szCs w:val="32"/>
        </w:rPr>
        <w:t>存在的主要问题及改进情况</w:t>
      </w:r>
    </w:p>
    <w:p w14:paraId="17832B36">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pPr>
      <w:r>
        <w:rPr>
          <w:rStyle w:val="5"/>
          <w:rFonts w:hint="eastAsia" w:ascii="方正仿宋简体" w:hAnsi="方正仿宋简体" w:eastAsia="方正仿宋简体" w:cs="方正仿宋简体"/>
          <w:bCs w:val="0"/>
          <w:i w:val="0"/>
          <w:iCs w:val="0"/>
          <w:caps w:val="0"/>
          <w:color w:val="auto"/>
          <w:spacing w:val="0"/>
          <w:kern w:val="2"/>
          <w:sz w:val="32"/>
          <w:szCs w:val="32"/>
          <w:lang w:val="en-US" w:eastAsia="zh-CN" w:bidi="ar-SA"/>
        </w:rPr>
        <w:t>2023</w:t>
      </w:r>
      <w:r>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t>年度科技创新局信息公开工作存在的问题已整改完成，针对政务公开意识不足、信息公开方式不够丰富等问题，首先在提高认识上下功夫，通过多种形式，组织</w:t>
      </w:r>
      <w:r>
        <w:rPr>
          <w:rStyle w:val="5"/>
          <w:rFonts w:hint="eastAsia" w:ascii="方正仿宋简体" w:hAnsi="方正仿宋简体" w:eastAsia="方正仿宋简体" w:cs="方正仿宋简体"/>
          <w:bCs w:val="0"/>
          <w:i w:val="0"/>
          <w:iCs w:val="0"/>
          <w:caps w:val="0"/>
          <w:color w:val="auto"/>
          <w:spacing w:val="0"/>
          <w:kern w:val="2"/>
          <w:sz w:val="32"/>
          <w:szCs w:val="32"/>
          <w:lang w:val="en-US" w:eastAsia="zh-CN" w:bidi="ar-SA"/>
        </w:rPr>
        <w:t>干</w:t>
      </w:r>
      <w:r>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t>部重点学习《中华人民共和国政府信息公开条例》等有关政务公开的法律、法规和政策，充分认识到</w:t>
      </w:r>
      <w:r>
        <w:rPr>
          <w:rStyle w:val="5"/>
          <w:rFonts w:hint="eastAsia" w:ascii="方正仿宋简体" w:hAnsi="方正仿宋简体" w:eastAsia="方正仿宋简体" w:cs="方正仿宋简体"/>
          <w:bCs w:val="0"/>
          <w:i w:val="0"/>
          <w:iCs w:val="0"/>
          <w:caps w:val="0"/>
          <w:color w:val="auto"/>
          <w:spacing w:val="0"/>
          <w:kern w:val="2"/>
          <w:sz w:val="32"/>
          <w:szCs w:val="32"/>
          <w:lang w:val="en-US" w:eastAsia="zh-CN" w:bidi="ar-SA"/>
        </w:rPr>
        <w:t>了</w:t>
      </w:r>
      <w:r>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t>政务公开的重要性，并结合网站、</w:t>
      </w:r>
      <w:r>
        <w:rPr>
          <w:rStyle w:val="5"/>
          <w:rFonts w:hint="eastAsia" w:ascii="方正仿宋简体" w:hAnsi="方正仿宋简体" w:eastAsia="方正仿宋简体" w:cs="方正仿宋简体"/>
          <w:bCs w:val="0"/>
          <w:i w:val="0"/>
          <w:iCs w:val="0"/>
          <w:caps w:val="0"/>
          <w:color w:val="auto"/>
          <w:spacing w:val="0"/>
          <w:kern w:val="2"/>
          <w:sz w:val="32"/>
          <w:szCs w:val="32"/>
          <w:lang w:val="en-US" w:eastAsia="zh-CN" w:bidi="ar-SA"/>
        </w:rPr>
        <w:t>“济宁高新科技中心”</w:t>
      </w:r>
      <w:r>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t>公众号等多种公开渠道，丰富</w:t>
      </w:r>
      <w:r>
        <w:rPr>
          <w:rStyle w:val="5"/>
          <w:rFonts w:hint="eastAsia" w:ascii="方正仿宋简体" w:hAnsi="方正仿宋简体" w:eastAsia="方正仿宋简体" w:cs="方正仿宋简体"/>
          <w:bCs w:val="0"/>
          <w:i w:val="0"/>
          <w:iCs w:val="0"/>
          <w:caps w:val="0"/>
          <w:color w:val="auto"/>
          <w:spacing w:val="0"/>
          <w:kern w:val="2"/>
          <w:sz w:val="32"/>
          <w:szCs w:val="32"/>
          <w:lang w:val="en-US" w:eastAsia="zh-CN" w:bidi="ar-SA"/>
        </w:rPr>
        <w:t>了</w:t>
      </w:r>
      <w:r>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t>政务公开形式。</w:t>
      </w:r>
    </w:p>
    <w:p w14:paraId="18309A5E">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pPr>
      <w:r>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t>202</w:t>
      </w:r>
      <w:r>
        <w:rPr>
          <w:rStyle w:val="5"/>
          <w:rFonts w:hint="eastAsia" w:ascii="方正仿宋简体" w:hAnsi="方正仿宋简体" w:eastAsia="方正仿宋简体" w:cs="方正仿宋简体"/>
          <w:bCs w:val="0"/>
          <w:i w:val="0"/>
          <w:iCs w:val="0"/>
          <w:caps w:val="0"/>
          <w:color w:val="auto"/>
          <w:spacing w:val="0"/>
          <w:kern w:val="2"/>
          <w:sz w:val="32"/>
          <w:szCs w:val="32"/>
          <w:lang w:val="en-US" w:eastAsia="zh-CN" w:bidi="ar-SA"/>
        </w:rPr>
        <w:t>4</w:t>
      </w:r>
      <w:r>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t>年，</w:t>
      </w:r>
      <w:r>
        <w:rPr>
          <w:rStyle w:val="5"/>
          <w:rFonts w:hint="eastAsia" w:ascii="方正仿宋简体" w:hAnsi="方正仿宋简体" w:eastAsia="方正仿宋简体" w:cs="方正仿宋简体"/>
          <w:bCs w:val="0"/>
          <w:i w:val="0"/>
          <w:iCs w:val="0"/>
          <w:caps w:val="0"/>
          <w:color w:val="auto"/>
          <w:spacing w:val="0"/>
          <w:kern w:val="2"/>
          <w:sz w:val="32"/>
          <w:szCs w:val="32"/>
          <w:lang w:val="en-US" w:eastAsia="zh-CN" w:bidi="ar-SA"/>
        </w:rPr>
        <w:t>科技创新</w:t>
      </w:r>
      <w:r>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t>局政务公开工作虽取得了一定的成绩，但仍然还有不足和需要改进的问题，如对主动公开的信息内容的理解和把握不够，对各项政策的理解不能灵活运用，发布的政务信息质量不够高</w:t>
      </w:r>
      <w:r>
        <w:rPr>
          <w:rStyle w:val="5"/>
          <w:rFonts w:hint="eastAsia" w:ascii="方正仿宋简体" w:hAnsi="方正仿宋简体" w:eastAsia="方正仿宋简体" w:cs="方正仿宋简体"/>
          <w:bCs w:val="0"/>
          <w:i w:val="0"/>
          <w:iCs w:val="0"/>
          <w:caps w:val="0"/>
          <w:color w:val="auto"/>
          <w:spacing w:val="0"/>
          <w:kern w:val="2"/>
          <w:sz w:val="32"/>
          <w:szCs w:val="32"/>
          <w:lang w:val="en-US" w:eastAsia="zh-CN" w:bidi="ar-SA"/>
        </w:rPr>
        <w:t>、</w:t>
      </w:r>
      <w:r>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t>信息公开内容展示形式不够丰富等。下一步，</w:t>
      </w:r>
      <w:r>
        <w:rPr>
          <w:rStyle w:val="5"/>
          <w:rFonts w:hint="eastAsia" w:ascii="方正仿宋简体" w:hAnsi="方正仿宋简体" w:eastAsia="方正仿宋简体" w:cs="方正仿宋简体"/>
          <w:bCs w:val="0"/>
          <w:i w:val="0"/>
          <w:iCs w:val="0"/>
          <w:caps w:val="0"/>
          <w:color w:val="auto"/>
          <w:spacing w:val="0"/>
          <w:kern w:val="2"/>
          <w:sz w:val="32"/>
          <w:szCs w:val="32"/>
          <w:lang w:val="en-US" w:eastAsia="zh-CN" w:bidi="ar-SA"/>
        </w:rPr>
        <w:t>科技创新局</w:t>
      </w:r>
      <w:r>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t>将继续围绕党工委、管委会关于政务公开工作部署，</w:t>
      </w:r>
      <w:r>
        <w:rPr>
          <w:rStyle w:val="5"/>
          <w:rFonts w:hint="eastAsia" w:ascii="方正仿宋简体" w:hAnsi="方正仿宋简体" w:eastAsia="方正仿宋简体" w:cs="方正仿宋简体"/>
          <w:bCs w:val="0"/>
          <w:i w:val="0"/>
          <w:iCs w:val="0"/>
          <w:caps w:val="0"/>
          <w:color w:val="auto"/>
          <w:spacing w:val="0"/>
          <w:kern w:val="2"/>
          <w:sz w:val="32"/>
          <w:szCs w:val="32"/>
          <w:lang w:val="en-US" w:eastAsia="zh-CN" w:bidi="ar-SA"/>
        </w:rPr>
        <w:t>进一步加强政务公开工作规范，</w:t>
      </w:r>
      <w:r>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t>提高对信息公开工作重要性的认识，同时加强对信息公开工作人员的培训，提高其业务能力和水平，扎实开展政务信息公开工作。</w:t>
      </w:r>
      <w:r>
        <w:rPr>
          <w:rStyle w:val="5"/>
          <w:rFonts w:hint="eastAsia" w:ascii="方正仿宋简体" w:hAnsi="方正仿宋简体" w:eastAsia="方正仿宋简体" w:cs="方正仿宋简体"/>
          <w:bCs w:val="0"/>
          <w:i w:val="0"/>
          <w:iCs w:val="0"/>
          <w:caps w:val="0"/>
          <w:color w:val="auto"/>
          <w:spacing w:val="0"/>
          <w:kern w:val="2"/>
          <w:sz w:val="32"/>
          <w:szCs w:val="32"/>
          <w:lang w:val="en-US" w:eastAsia="zh-CN" w:bidi="ar-SA"/>
        </w:rPr>
        <w:t>明确公开重点内容、时限、责任处室，创新公开内容、形式、图表，力争政务公开工作再上一个台阶。</w:t>
      </w:r>
    </w:p>
    <w:p w14:paraId="5493EFA9">
      <w:pPr>
        <w:spacing w:line="600" w:lineRule="exact"/>
        <w:ind w:firstLine="643" w:firstLineChars="200"/>
        <w:rPr>
          <w:rFonts w:hint="default" w:ascii="黑体" w:hAnsi="黑体" w:eastAsia="黑体" w:cs="黑体"/>
          <w:b/>
          <w:bCs/>
          <w:sz w:val="32"/>
          <w:szCs w:val="32"/>
        </w:rPr>
      </w:pPr>
      <w:r>
        <w:rPr>
          <w:rFonts w:hint="default" w:ascii="黑体" w:hAnsi="黑体" w:eastAsia="黑体" w:cs="黑体"/>
          <w:b/>
          <w:bCs/>
          <w:sz w:val="32"/>
          <w:szCs w:val="32"/>
        </w:rPr>
        <w:t>六、其他需要报告的事项</w:t>
      </w:r>
    </w:p>
    <w:p w14:paraId="32692090">
      <w:pPr>
        <w:numPr>
          <w:ilvl w:val="0"/>
          <w:numId w:val="3"/>
        </w:numPr>
        <w:ind w:left="-13" w:leftChars="0" w:firstLine="643" w:firstLineChars="0"/>
        <w:rPr>
          <w:rStyle w:val="5"/>
          <w:rFonts w:hint="default" w:ascii="方正楷体简体" w:hAnsi="方正楷体简体" w:eastAsia="方正楷体简体" w:cs="方正楷体简体"/>
          <w:b/>
          <w:bCs w:val="0"/>
          <w:i w:val="0"/>
          <w:iCs w:val="0"/>
          <w:caps w:val="0"/>
          <w:color w:val="auto"/>
          <w:spacing w:val="0"/>
          <w:sz w:val="32"/>
          <w:szCs w:val="32"/>
          <w:lang w:val="en-US" w:eastAsia="zh-CN"/>
        </w:rPr>
      </w:pPr>
      <w:r>
        <w:rPr>
          <w:rStyle w:val="5"/>
          <w:rFonts w:hint="default" w:ascii="方正楷体简体" w:hAnsi="方正楷体简体" w:eastAsia="方正楷体简体" w:cs="方正楷体简体"/>
          <w:b/>
          <w:bCs w:val="0"/>
          <w:i w:val="0"/>
          <w:iCs w:val="0"/>
          <w:caps w:val="0"/>
          <w:color w:val="auto"/>
          <w:spacing w:val="0"/>
          <w:sz w:val="32"/>
          <w:szCs w:val="32"/>
          <w:lang w:val="en-US" w:eastAsia="zh-CN"/>
        </w:rPr>
        <w:t>依据《政府信息公开信息处理费管理办法》收取信息处理费的情况需在此专门报告</w:t>
      </w:r>
      <w:r>
        <w:rPr>
          <w:rStyle w:val="5"/>
          <w:rFonts w:hint="eastAsia" w:ascii="方正楷体简体" w:hAnsi="方正楷体简体" w:eastAsia="方正楷体简体" w:cs="方正楷体简体"/>
          <w:b/>
          <w:bCs w:val="0"/>
          <w:i w:val="0"/>
          <w:iCs w:val="0"/>
          <w:caps w:val="0"/>
          <w:color w:val="auto"/>
          <w:spacing w:val="0"/>
          <w:sz w:val="32"/>
          <w:szCs w:val="32"/>
          <w:lang w:val="en-US" w:eastAsia="zh-CN"/>
        </w:rPr>
        <w:t>：</w:t>
      </w:r>
    </w:p>
    <w:p w14:paraId="7DC1BB07">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pPr>
      <w:r>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t>本年度无收取信息处理费情况。</w:t>
      </w:r>
    </w:p>
    <w:p w14:paraId="3AB3FF13">
      <w:pPr>
        <w:numPr>
          <w:ilvl w:val="0"/>
          <w:numId w:val="3"/>
        </w:numPr>
        <w:ind w:left="-13" w:leftChars="0" w:firstLine="643" w:firstLineChars="0"/>
        <w:rPr>
          <w:rStyle w:val="5"/>
          <w:rFonts w:hint="default" w:ascii="方正楷体简体" w:hAnsi="方正楷体简体" w:eastAsia="方正楷体简体" w:cs="方正楷体简体"/>
          <w:b/>
          <w:bCs w:val="0"/>
          <w:i w:val="0"/>
          <w:iCs w:val="0"/>
          <w:caps w:val="0"/>
          <w:color w:val="auto"/>
          <w:spacing w:val="0"/>
          <w:sz w:val="32"/>
          <w:szCs w:val="32"/>
          <w:lang w:val="en-US" w:eastAsia="zh-CN"/>
        </w:rPr>
      </w:pPr>
      <w:r>
        <w:rPr>
          <w:rStyle w:val="5"/>
          <w:rFonts w:hint="default" w:ascii="方正楷体简体" w:hAnsi="方正楷体简体" w:eastAsia="方正楷体简体" w:cs="方正楷体简体"/>
          <w:b/>
          <w:bCs w:val="0"/>
          <w:i w:val="0"/>
          <w:iCs w:val="0"/>
          <w:caps w:val="0"/>
          <w:color w:val="auto"/>
          <w:spacing w:val="0"/>
          <w:sz w:val="32"/>
          <w:szCs w:val="32"/>
          <w:lang w:val="en-US" w:eastAsia="zh-CN"/>
        </w:rPr>
        <w:t>本行政机关落实上级年度政务公开工作要点情况</w:t>
      </w:r>
      <w:r>
        <w:rPr>
          <w:rStyle w:val="5"/>
          <w:rFonts w:hint="eastAsia" w:ascii="方正楷体简体" w:hAnsi="方正楷体简体" w:eastAsia="方正楷体简体" w:cs="方正楷体简体"/>
          <w:b/>
          <w:bCs w:val="0"/>
          <w:i w:val="0"/>
          <w:iCs w:val="0"/>
          <w:caps w:val="0"/>
          <w:color w:val="auto"/>
          <w:spacing w:val="0"/>
          <w:sz w:val="32"/>
          <w:szCs w:val="32"/>
          <w:lang w:val="en-US" w:eastAsia="zh-CN"/>
        </w:rPr>
        <w:t>：</w:t>
      </w:r>
    </w:p>
    <w:p w14:paraId="505D27CB">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pPr>
      <w:r>
        <w:rPr>
          <w:rStyle w:val="5"/>
          <w:rFonts w:hint="default" w:ascii="方正仿宋简体" w:hAnsi="方正仿宋简体" w:eastAsia="方正仿宋简体" w:cs="方正仿宋简体"/>
          <w:bCs w:val="0"/>
          <w:i w:val="0"/>
          <w:iCs w:val="0"/>
          <w:caps w:val="0"/>
          <w:color w:val="auto"/>
          <w:spacing w:val="0"/>
          <w:kern w:val="2"/>
          <w:sz w:val="32"/>
          <w:szCs w:val="32"/>
          <w:lang w:val="en-US" w:eastAsia="zh-CN" w:bidi="ar-SA"/>
        </w:rPr>
        <w:t>认真贯彻落实上级年度政务公开工作要点，持续提升政务公开标准化、规范化水平，充分发挥以公开促落实、促服务作用，进一步提高信息公开工作的质量和效率。</w:t>
      </w:r>
    </w:p>
    <w:p w14:paraId="195ECF2C">
      <w:pPr>
        <w:numPr>
          <w:ilvl w:val="0"/>
          <w:numId w:val="3"/>
        </w:numPr>
        <w:ind w:left="-13" w:leftChars="0" w:firstLine="643" w:firstLineChars="0"/>
        <w:rPr>
          <w:rStyle w:val="5"/>
          <w:rFonts w:hint="eastAsia" w:ascii="方正楷体简体" w:hAnsi="方正楷体简体" w:eastAsia="方正楷体简体" w:cs="方正楷体简体"/>
          <w:b/>
          <w:bCs w:val="0"/>
          <w:i w:val="0"/>
          <w:iCs w:val="0"/>
          <w:caps w:val="0"/>
          <w:color w:val="auto"/>
          <w:spacing w:val="0"/>
          <w:sz w:val="32"/>
          <w:szCs w:val="32"/>
          <w:lang w:val="en-US" w:eastAsia="zh-CN"/>
        </w:rPr>
      </w:pPr>
      <w:r>
        <w:rPr>
          <w:rStyle w:val="5"/>
          <w:rFonts w:hint="eastAsia" w:ascii="方正楷体简体" w:hAnsi="方正楷体简体" w:eastAsia="方正楷体简体" w:cs="方正楷体简体"/>
          <w:b/>
          <w:bCs w:val="0"/>
          <w:i w:val="0"/>
          <w:iCs w:val="0"/>
          <w:caps w:val="0"/>
          <w:color w:val="auto"/>
          <w:spacing w:val="0"/>
          <w:sz w:val="32"/>
          <w:szCs w:val="32"/>
          <w:lang w:val="en-US" w:eastAsia="zh-CN"/>
        </w:rPr>
        <w:t>本行政机关人大代表建议和政协提案办理结果公开情况：</w:t>
      </w:r>
    </w:p>
    <w:p w14:paraId="7EE37610">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Style w:val="5"/>
          <w:rFonts w:hint="eastAsia" w:ascii="方正仿宋简体" w:hAnsi="方正仿宋简体" w:eastAsia="方正仿宋简体" w:cs="方正仿宋简体"/>
          <w:bCs w:val="0"/>
          <w:i w:val="0"/>
          <w:iCs w:val="0"/>
          <w:caps w:val="0"/>
          <w:color w:val="auto"/>
          <w:spacing w:val="0"/>
          <w:kern w:val="2"/>
          <w:sz w:val="32"/>
          <w:szCs w:val="32"/>
          <w:lang w:val="en-US" w:eastAsia="zh-CN" w:bidi="ar-SA"/>
        </w:rPr>
      </w:pPr>
      <w:r>
        <w:rPr>
          <w:rStyle w:val="5"/>
          <w:rFonts w:hint="eastAsia" w:ascii="方正仿宋简体" w:hAnsi="方正仿宋简体" w:eastAsia="方正仿宋简体" w:cs="方正仿宋简体"/>
          <w:bCs w:val="0"/>
          <w:i w:val="0"/>
          <w:iCs w:val="0"/>
          <w:caps w:val="0"/>
          <w:color w:val="auto"/>
          <w:spacing w:val="0"/>
          <w:kern w:val="2"/>
          <w:sz w:val="32"/>
          <w:szCs w:val="32"/>
          <w:lang w:val="en-US" w:eastAsia="zh-CN" w:bidi="ar-SA"/>
        </w:rPr>
        <w:t>2024年我部门未收到人大代表建议和政协提案。</w:t>
      </w:r>
    </w:p>
    <w:p w14:paraId="5BCB3CD3">
      <w:pPr>
        <w:ind w:firstLine="643" w:firstLineChars="200"/>
        <w:rPr>
          <w:rFonts w:hint="eastAsia" w:ascii="Times New Roman" w:hAnsi="Times New Roman" w:eastAsia="仿宋_GB2312" w:cs="Times New Roman"/>
          <w:kern w:val="2"/>
          <w:sz w:val="32"/>
          <w:szCs w:val="32"/>
          <w:lang w:val="en-US" w:eastAsia="zh-CN" w:bidi="ar-SA"/>
        </w:rPr>
      </w:pPr>
      <w:r>
        <w:rPr>
          <w:rStyle w:val="5"/>
          <w:rFonts w:hint="eastAsia" w:ascii="方正楷体简体" w:hAnsi="方正楷体简体" w:eastAsia="方正楷体简体" w:cs="方正楷体简体"/>
          <w:b/>
          <w:bCs w:val="0"/>
          <w:i w:val="0"/>
          <w:iCs w:val="0"/>
          <w:caps w:val="0"/>
          <w:color w:val="auto"/>
          <w:spacing w:val="0"/>
          <w:sz w:val="32"/>
          <w:szCs w:val="32"/>
          <w:lang w:val="en-US" w:eastAsia="zh-CN"/>
        </w:rPr>
        <w:t>（四）其他有关文件专门要求通过政府信息公开工作年度报告予以报告的事项：</w:t>
      </w:r>
      <w:bookmarkStart w:id="0" w:name="_GoBack"/>
      <w:r>
        <w:rPr>
          <w:rStyle w:val="5"/>
          <w:rFonts w:hint="eastAsia" w:ascii="方正仿宋简体" w:hAnsi="方正仿宋简体" w:eastAsia="方正仿宋简体" w:cs="方正仿宋简体"/>
          <w:bCs w:val="0"/>
          <w:i w:val="0"/>
          <w:iCs w:val="0"/>
          <w:caps w:val="0"/>
          <w:color w:val="auto"/>
          <w:spacing w:val="0"/>
          <w:kern w:val="2"/>
          <w:sz w:val="32"/>
          <w:szCs w:val="32"/>
          <w:lang w:val="en-US" w:eastAsia="zh-CN" w:bidi="ar-SA"/>
        </w:rPr>
        <w:t>无。</w:t>
      </w:r>
      <w:bookmarkEnd w:id="0"/>
    </w:p>
    <w:p w14:paraId="714A86EE">
      <w:pPr>
        <w:ind w:firstLine="640" w:firstLineChars="200"/>
        <w:rPr>
          <w:rFonts w:hint="default" w:ascii="Times New Roman" w:hAnsi="Times New Roman" w:eastAsia="仿宋_GB2312" w:cs="Times New Roman"/>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CA70B8-6A72-4237-9EEB-45D5FECFD2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2" w:fontKey="{E2E77ABD-3B1F-4BD8-9971-6762A2FC5315}"/>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楷体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89839"/>
    <w:multiLevelType w:val="singleLevel"/>
    <w:tmpl w:val="82F89839"/>
    <w:lvl w:ilvl="0" w:tentative="0">
      <w:start w:val="5"/>
      <w:numFmt w:val="chineseCounting"/>
      <w:suff w:val="nothing"/>
      <w:lvlText w:val="%1、"/>
      <w:lvlJc w:val="left"/>
      <w:rPr>
        <w:rFonts w:hint="eastAsia"/>
      </w:rPr>
    </w:lvl>
  </w:abstractNum>
  <w:abstractNum w:abstractNumId="1">
    <w:nsid w:val="A02B9061"/>
    <w:multiLevelType w:val="singleLevel"/>
    <w:tmpl w:val="A02B9061"/>
    <w:lvl w:ilvl="0" w:tentative="0">
      <w:start w:val="1"/>
      <w:numFmt w:val="chineseCounting"/>
      <w:suff w:val="nothing"/>
      <w:lvlText w:val="（%1）"/>
      <w:lvlJc w:val="left"/>
      <w:pPr>
        <w:ind w:left="-13"/>
      </w:pPr>
      <w:rPr>
        <w:rFonts w:hint="eastAsia"/>
      </w:rPr>
    </w:lvl>
  </w:abstractNum>
  <w:abstractNum w:abstractNumId="2">
    <w:nsid w:val="FACE6D5E"/>
    <w:multiLevelType w:val="singleLevel"/>
    <w:tmpl w:val="FACE6D5E"/>
    <w:lvl w:ilvl="0" w:tentative="0">
      <w:start w:val="1"/>
      <w:numFmt w:val="chineseCounting"/>
      <w:suff w:val="nothing"/>
      <w:lvlText w:val="（%1）"/>
      <w:lvlJc w:val="left"/>
      <w:pPr>
        <w:ind w:left="-13"/>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A79DC"/>
    <w:rsid w:val="0A8C7FBE"/>
    <w:rsid w:val="0D584A88"/>
    <w:rsid w:val="16730D17"/>
    <w:rsid w:val="18A97652"/>
    <w:rsid w:val="26113F4C"/>
    <w:rsid w:val="3AC00786"/>
    <w:rsid w:val="42395F96"/>
    <w:rsid w:val="4B2D2BE6"/>
    <w:rsid w:val="4F0F5604"/>
    <w:rsid w:val="5A0A2080"/>
    <w:rsid w:val="5C291399"/>
    <w:rsid w:val="5C8554FE"/>
    <w:rsid w:val="5CF4627F"/>
    <w:rsid w:val="615838CB"/>
    <w:rsid w:val="654A79DC"/>
    <w:rsid w:val="6A55371B"/>
    <w:rsid w:val="6AD87FF4"/>
    <w:rsid w:val="72F571CC"/>
    <w:rsid w:val="73F95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列1</c:v>
                </c:pt>
              </c:strCache>
            </c:strRef>
          </c:tx>
          <c:spPr>
            <a:solidFill>
              <a:schemeClr val="accent1"/>
            </a:solidFill>
            <a:ln w="12700">
              <a:noFill/>
            </a:ln>
            <a:effectLst/>
            <a:sp3d contourW="12700"/>
          </c:spPr>
          <c:explosion val="3"/>
          <c:dPt>
            <c:idx val="0"/>
            <c:bubble3D val="0"/>
            <c:spPr>
              <a:solidFill>
                <a:schemeClr val="accent1"/>
              </a:solidFill>
              <a:ln w="12700">
                <a:noFill/>
              </a:ln>
              <a:effectLst/>
              <a:sp3d contourW="12700"/>
            </c:spPr>
          </c:dPt>
          <c:dPt>
            <c:idx val="1"/>
            <c:bubble3D val="0"/>
            <c:spPr>
              <a:solidFill>
                <a:schemeClr val="accent2"/>
              </a:solidFill>
              <a:ln w="12700">
                <a:noFill/>
              </a:ln>
              <a:effectLst/>
              <a:sp3d contourW="12700"/>
            </c:spPr>
          </c:dPt>
          <c:dPt>
            <c:idx val="2"/>
            <c:bubble3D val="0"/>
            <c:spPr>
              <a:solidFill>
                <a:schemeClr val="accent3"/>
              </a:solidFill>
              <a:ln w="12700">
                <a:noFill/>
              </a:ln>
              <a:effectLst/>
              <a:sp3d contourW="12700"/>
            </c:spPr>
          </c:dPt>
          <c:dPt>
            <c:idx val="3"/>
            <c:bubble3D val="0"/>
            <c:spPr>
              <a:solidFill>
                <a:schemeClr val="accent4"/>
              </a:solidFill>
              <a:ln w="12700">
                <a:noFill/>
              </a:ln>
              <a:effectLst/>
              <a:sp3d contourW="12700"/>
            </c:spPr>
          </c:dPt>
          <c:dPt>
            <c:idx val="4"/>
            <c:bubble3D val="0"/>
            <c:spPr>
              <a:solidFill>
                <a:schemeClr val="accent5"/>
              </a:solidFill>
              <a:ln w="12700">
                <a:noFill/>
              </a:ln>
              <a:effectLst/>
              <a:sp3d contourW="12700"/>
            </c:spPr>
          </c:dPt>
          <c:dPt>
            <c:idx val="5"/>
            <c:bubble3D val="0"/>
            <c:spPr>
              <a:solidFill>
                <a:schemeClr val="accent1"/>
              </a:solidFill>
              <a:ln w="12700">
                <a:noFill/>
              </a:ln>
              <a:effectLst/>
              <a:sp3d contourW="12700"/>
            </c:spPr>
          </c:dPt>
          <c:dLbls>
            <c:dLbl>
              <c:idx val="0"/>
              <c:layout/>
              <c:numFmt formatCode="General"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1"/>
              <c:showCatName val="0"/>
              <c:showSerName val="0"/>
              <c:showPercent val="0"/>
              <c:showBubbleSize val="0"/>
              <c:separator>
</c:separator>
              <c:extLst>
                <c:ext xmlns:c15="http://schemas.microsoft.com/office/drawing/2012/chart" uri="{CE6537A1-D6FC-4f65-9D91-7224C49458BB}"/>
              </c:extLst>
            </c:dLbl>
            <c:dLbl>
              <c:idx val="1"/>
              <c:layout/>
              <c:numFmt formatCode="General"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1"/>
              <c:showCatName val="0"/>
              <c:showSerName val="0"/>
              <c:showPercent val="0"/>
              <c:showBubbleSize val="0"/>
              <c:separator>
</c:separator>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forceAA="0"/>
                  <a:lstStyle/>
                  <a:p>
                    <a:pPr defTabSz="914400">
                      <a:defRPr lang="zh-CN" sz="900" b="0" i="0" u="none" strike="noStrike" kern="1200" baseline="0">
                        <a:solidFill>
                          <a:schemeClr val="tx1">
                            <a:lumMod val="50000"/>
                            <a:lumOff val="50000"/>
                          </a:schemeClr>
                        </a:solidFill>
                        <a:latin typeface="+mn-lt"/>
                        <a:ea typeface="+mn-ea"/>
                        <a:cs typeface="+mn-cs"/>
                      </a:defRPr>
                    </a:pPr>
                    <a:r>
                      <a:rPr lang="en-US" altLang="zh-CN"/>
                      <a:t>12</a:t>
                    </a:r>
                    <a:endParaRPr lang="en-US" altLang="zh-CN"/>
                  </a:p>
                </c:rich>
              </c:tx>
              <c:numFmt formatCode="General"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1"/>
              <c:showCatName val="0"/>
              <c:showSerName val="0"/>
              <c:showPercent val="0"/>
              <c:showBubbleSize val="0"/>
              <c:separator>
</c:separator>
              <c:extLst>
                <c:ext xmlns:c15="http://schemas.microsoft.com/office/drawing/2012/chart" uri="{CE6537A1-D6FC-4f65-9D91-7224C49458BB}"/>
              </c:extLst>
            </c:dLbl>
            <c:dLbl>
              <c:idx val="3"/>
              <c:layout/>
              <c:numFmt formatCode="General"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1"/>
              <c:showCatName val="0"/>
              <c:showSerName val="0"/>
              <c:showPercent val="0"/>
              <c:showBubbleSize val="0"/>
              <c:separator>
</c:separator>
              <c:extLst>
                <c:ext xmlns:c15="http://schemas.microsoft.com/office/drawing/2012/chart" uri="{CE6537A1-D6FC-4f65-9D91-7224C49458BB}"/>
              </c:extLst>
            </c:dLbl>
            <c:dLbl>
              <c:idx val="4"/>
              <c:layout>
                <c:manualLayout>
                  <c:x val="-0.018120318917613"/>
                  <c:y val="0.0031874203144921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50000"/>
                            <a:lumOff val="50000"/>
                          </a:schemeClr>
                        </a:solidFill>
                        <a:latin typeface="+mn-lt"/>
                        <a:ea typeface="+mn-ea"/>
                        <a:cs typeface="+mn-cs"/>
                      </a:defRPr>
                    </a:pPr>
                    <a:r>
                      <a:t>5</a:t>
                    </a:r>
                    <a:r>
                      <a:rPr lang="en-US" altLang="zh-CN"/>
                      <a:t>4</a:t>
                    </a:r>
                    <a:endParaRPr lang="en-US" altLang="zh-CN"/>
                  </a:p>
                </c:rich>
              </c:tx>
              <c:dLblPos val="bestFit"/>
              <c:showLegendKey val="1"/>
              <c:showVal val="1"/>
              <c:showCatName val="0"/>
              <c:showSerName val="0"/>
              <c:showPercent val="0"/>
              <c:showBubbleSize val="0"/>
              <c:extLst>
                <c:ext xmlns:c15="http://schemas.microsoft.com/office/drawing/2012/chart" uri="{CE6537A1-D6FC-4f65-9D91-7224C49458BB}">
                  <c15:layout/>
                </c:ext>
              </c:extLst>
            </c:dLbl>
            <c:dLbl>
              <c:idx val="5"/>
              <c:delete val="1"/>
            </c:dLbl>
            <c:numFmt formatCode="General"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主动公开基本目录</c:v>
                </c:pt>
                <c:pt idx="1">
                  <c:v>回复政务热线</c:v>
                </c:pt>
                <c:pt idx="2">
                  <c:v>会议公开</c:v>
                </c:pt>
                <c:pt idx="3">
                  <c:v>年度重点工作落实公开</c:v>
                </c:pt>
                <c:pt idx="4">
                  <c:v>其他信息发布</c:v>
                </c:pt>
                <c:pt idx="5">
                  <c:v>信息公开年报</c:v>
                </c:pt>
              </c:strCache>
            </c:strRef>
          </c:cat>
          <c:val>
            <c:numRef>
              <c:f>Sheet1!$B$2:$B$7</c:f>
              <c:numCache>
                <c:formatCode>General</c:formatCode>
                <c:ptCount val="6"/>
                <c:pt idx="0">
                  <c:v>1</c:v>
                </c:pt>
                <c:pt idx="1">
                  <c:v>48</c:v>
                </c:pt>
                <c:pt idx="2">
                  <c:v>12</c:v>
                </c:pt>
                <c:pt idx="3">
                  <c:v>12</c:v>
                </c:pt>
                <c:pt idx="4">
                  <c:v>54</c:v>
                </c:pt>
                <c:pt idx="5">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5817092-38a6-4d6a-9d1d-79a03253e0a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自定义 94">
    <a:dk1>
      <a:srgbClr val="000000"/>
    </a:dk1>
    <a:lt1>
      <a:srgbClr val="FFFFFF"/>
    </a:lt1>
    <a:dk2>
      <a:srgbClr val="0C0E1F"/>
    </a:dk2>
    <a:lt2>
      <a:srgbClr val="FEFFFF"/>
    </a:lt2>
    <a:accent1>
      <a:srgbClr val="00B2CC"/>
    </a:accent1>
    <a:accent2>
      <a:srgbClr val="FCB040"/>
    </a:accent2>
    <a:accent3>
      <a:srgbClr val="BFD546"/>
    </a:accent3>
    <a:accent4>
      <a:srgbClr val="2E6480"/>
    </a:accent4>
    <a:accent5>
      <a:srgbClr val="FF7B00"/>
    </a:accent5>
    <a:accent6>
      <a:srgbClr val="BE1D2C"/>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6</Pages>
  <Words>2649</Words>
  <Characters>2739</Characters>
  <Lines>0</Lines>
  <Paragraphs>0</Paragraphs>
  <TotalTime>2</TotalTime>
  <ScaleCrop>false</ScaleCrop>
  <LinksUpToDate>false</LinksUpToDate>
  <CharactersWithSpaces>2885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2025-01-15T08:21:00Z</dcterms:created>
  <dc:creator>西鱼</dc:creator>
  <cp:lastModifiedBy>糖炒栗子 ້໌ᮨ</cp:lastModifiedBy>
  <dcterms:modified xsi:type="dcterms:W3CDTF">2025-01-23T07:18:07Z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27A4995AF194461A88B28B1FC46839F7_13</vt:lpwstr>
  </property>
  <property fmtid="{D5CDD505-2E9C-101B-9397-08002B2CF9AE}" pid="4" name="KSOTemplateDocerSaveRecord">
    <vt:lpwstr>eyJoZGlkIjoiZjYwNTBlYjNmNzUyNmFhNDZlNTJhOTFjOWM3OWY2ODYiLCJ1c2VySWQiOiIxMTQ4NjcwNDAzIn0=</vt:lpwstr>
  </property>
</Properties>
</file>