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498"/>
        <w:tblOverlap w:val="never"/>
        <w:tblW w:w="14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2"/>
        <w:gridCol w:w="1353"/>
        <w:gridCol w:w="2715"/>
        <w:gridCol w:w="3163"/>
        <w:gridCol w:w="902"/>
        <w:gridCol w:w="1593"/>
        <w:gridCol w:w="1737"/>
        <w:gridCol w:w="1108"/>
        <w:gridCol w:w="1457"/>
      </w:tblGrid>
      <w:tr w:rsidR="00883017" w:rsidTr="00522D73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抽查类别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事项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牵头科室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抽查比例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及频次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检查主体</w:t>
            </w:r>
          </w:p>
        </w:tc>
      </w:tr>
      <w:tr w:rsidR="00883017" w:rsidTr="00522D73">
        <w:trPr>
          <w:trHeight w:val="1748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营业执照（登记证）规范使用情况的检查；名称规范使用情况的检查；经营（驻在）期限的检查；经营（业务）范围中无需审批的经营（业务）项目的检查；住所（经营场所）或驻在场所的检查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Ansi="宋体" w:cs="仿宋_GB2312" w:hint="eastAsia"/>
                <w:color w:val="000000"/>
                <w:spacing w:val="-45"/>
                <w:kern w:val="0"/>
                <w:sz w:val="20"/>
                <w:szCs w:val="20"/>
              </w:rPr>
              <w:t>、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个体工商户</w:t>
            </w:r>
            <w:r>
              <w:rPr>
                <w:rFonts w:hAnsi="宋体" w:cs="仿宋_GB2312" w:hint="eastAsia"/>
                <w:color w:val="000000"/>
                <w:spacing w:val="-45"/>
                <w:kern w:val="0"/>
                <w:sz w:val="20"/>
                <w:szCs w:val="20"/>
              </w:rPr>
              <w:t>、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农民专业合作社</w:t>
            </w:r>
            <w:r>
              <w:rPr>
                <w:rFonts w:hAnsi="宋体" w:cs="仿宋_GB2312" w:hint="eastAsia"/>
                <w:color w:val="000000"/>
                <w:spacing w:val="-45"/>
                <w:kern w:val="0"/>
                <w:sz w:val="20"/>
                <w:szCs w:val="20"/>
              </w:rPr>
              <w:t>、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外国企业常驻代表机构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A31A47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、个体户抽查比例为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0.5%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、农民专业合作社抽查比例为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、外国企业常驻代表机构抽查比例为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2-3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E0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89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注册资本实缴情况的检查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9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法定代表人（负责人）任职情况的检查；法定代表人、自然人股东身份真实性的检查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757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年度报告公示信息的检查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6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、个体户抽查比例为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0.5%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、农民专业合作社抽查比例为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2-3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77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即时公示信息的检查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5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转供电政策执行情况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转供电主体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5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国家行政机关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收费检查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涉企收费情况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区</w:t>
            </w:r>
            <w:r w:rsidR="00883017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国家行政机关、事业单位、行业协会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5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教育收费检查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教育收费情况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区</w:t>
            </w:r>
            <w:r w:rsidR="00883017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教育单位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4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电子商务经营行为监督检查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电子商务平台经营者履行主体责任的检查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电子商务平台经营者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017" w:rsidRDefault="00A31A47" w:rsidP="00A31A47">
            <w:pPr>
              <w:widowControl/>
              <w:tabs>
                <w:tab w:val="left" w:pos="600"/>
              </w:tabs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A31A47" w:rsidTr="0029032A">
        <w:trPr>
          <w:trHeight w:val="40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拍卖活动经营资格的检查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A31A47">
            <w:pPr>
              <w:tabs>
                <w:tab w:val="left" w:pos="600"/>
              </w:tabs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A31A47" w:rsidTr="0029032A">
        <w:trPr>
          <w:trHeight w:val="40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文物经营活动经营资格的检查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A31A47" w:rsidTr="00522D73">
        <w:trPr>
          <w:trHeight w:val="67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为非法交易野生动物等违法行为提供交易服务的检查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A31A4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33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3"/>
                <w:kern w:val="0"/>
                <w:sz w:val="20"/>
                <w:szCs w:val="20"/>
              </w:rPr>
              <w:t>按照省局双随机抽查统一确定的覆盖比例，抽查比例为</w:t>
            </w:r>
            <w:r>
              <w:rPr>
                <w:rFonts w:hAnsi="宋体" w:cs="仿宋_GB2312"/>
                <w:color w:val="000000"/>
                <w:spacing w:val="-3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spacing w:val="-3"/>
                <w:kern w:val="0"/>
                <w:sz w:val="20"/>
                <w:szCs w:val="20"/>
              </w:rPr>
              <w:t>；与企业年报公示信息抽查同步进行；</w:t>
            </w:r>
            <w:r>
              <w:rPr>
                <w:rFonts w:hAnsi="宋体" w:cs="仿宋_GB2312"/>
                <w:color w:val="000000"/>
                <w:spacing w:val="-3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spacing w:val="-3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99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26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0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9"/>
                <w:kern w:val="0"/>
                <w:sz w:val="20"/>
                <w:szCs w:val="20"/>
              </w:rPr>
              <w:t>工业产品生产许可证产品生产企业检查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食品相关产品质量安全监督检查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食品相关产品获证企业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A31A47" w:rsidP="00522D73">
            <w:pPr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A31A47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质量技术监督处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抽查比例≥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；抽查次数≥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7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食盐定点生产企业监督检查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食盐定点生产企业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075646">
            <w:pPr>
              <w:widowControl/>
              <w:tabs>
                <w:tab w:val="left" w:pos="555"/>
              </w:tabs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食品药品监管处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食盐定点批发企业监督检查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食盐定点批发企业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0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特殊食品销售监督检查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1%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4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0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特殊医学用途配方食品销售监督检查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特殊医学用途配方食品销售者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0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保健食品销售者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市场在售食品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品种抽查比例为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0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特定餐饮服务提供者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学校、医院、养老机构食堂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食品药品监管处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0.5%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4-12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91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其他高风险餐饮单位检查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中央厨房、集体用餐配送单位、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连锁餐饮企业总部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19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特种设备使用单位监督检查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对特种设备使用单位的监督检查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特种设备使用单位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质量技术监督处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18"/>
                <w:szCs w:val="18"/>
              </w:rPr>
            </w:pPr>
            <w:r>
              <w:rPr>
                <w:rStyle w:val="font51"/>
                <w:rFonts w:hAnsi="宋体" w:hint="eastAsia"/>
              </w:rPr>
              <w:t>抽查比例≥</w:t>
            </w:r>
            <w:r>
              <w:rPr>
                <w:rStyle w:val="font51"/>
                <w:rFonts w:hAnsi="宋体"/>
              </w:rPr>
              <w:t>7%</w:t>
            </w:r>
            <w:r>
              <w:rPr>
                <w:rStyle w:val="font31"/>
                <w:rFonts w:hAnsi="宋体" w:hint="eastAsia"/>
              </w:rPr>
              <w:t>（属于重点监督检查的使用单位包含在内，原则上由各特种设备使用单位属地局发起）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139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定量包装商品净含量国家计量监督专项抽查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全省食品类定量包装商品生产企业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质量技术监督处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sz w:val="20"/>
                <w:szCs w:val="20"/>
              </w:rPr>
              <w:t xml:space="preserve">6 </w:t>
            </w: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sz w:val="20"/>
                <w:szCs w:val="20"/>
              </w:rPr>
              <w:t xml:space="preserve">-11 </w:t>
            </w: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县级市场监管部门，委托当地计量技术机构检验</w:t>
            </w:r>
          </w:p>
        </w:tc>
      </w:tr>
      <w:tr w:rsidR="00883017" w:rsidTr="00522D73">
        <w:trPr>
          <w:trHeight w:val="106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在用计量器具监督检查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使用医疗卫生工作计量器具的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111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 xml:space="preserve">使用安全防护工作计量器具的企业　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86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计量单位使用情况专项监督检查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全区法定计量检定机构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85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各级专项计量授权机构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9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资质认定检验检测机构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质量技术监督处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827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9"/>
                <w:kern w:val="0"/>
                <w:sz w:val="20"/>
                <w:szCs w:val="20"/>
              </w:rPr>
              <w:t>市场类标准监督检查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团体自我声明公开标准信息的检查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团体组织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质量技术监督处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团体标准抽查比例为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；企业抽查比例为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-11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0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91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企业自我声明公开标准信息的检查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7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pacing w:val="-9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9"/>
                <w:kern w:val="0"/>
                <w:sz w:val="20"/>
                <w:szCs w:val="20"/>
              </w:rPr>
              <w:t>专利真实性监督检查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专利证书、专利文件或专利申请文件真实性的检查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各类市场主体、产品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市场秩序监管处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按照省局双随机抽查统一确定的覆盖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比例，抽查比例为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；与企业年报公示信息抽查同步进行；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0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产品专利宣传真实的检查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各类市场主体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6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假冒专利行为提供便利条件的检查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各类市场主体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0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pacing w:val="-9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9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pacing w:val="-9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按照省局双随机抽查统一确定的覆盖比例，抽查比例为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；与企业年报公示信息抽查同步进行；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7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6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</w:p>
        </w:tc>
      </w:tr>
      <w:tr w:rsidR="00883017" w:rsidTr="00522D73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商标代理行为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的检查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left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经市场监管部门登记从事商标代理业务的服务机构（所）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商标代理机构抽查比例为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  <w:tr w:rsidR="00883017" w:rsidTr="00522D73">
        <w:trPr>
          <w:trHeight w:val="6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化妆品经营单位检查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化妆品经营单位索证索票和台账管理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从事化妆品经营的单位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075646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5646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食品药品监管处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抽查比例为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0.5%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；与企业年报公示信息抽查同步进行；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Ansi="宋体" w:cs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646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县级</w:t>
            </w:r>
          </w:p>
          <w:p w:rsidR="00883017" w:rsidRDefault="00883017" w:rsidP="00522D73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市场监管部门</w:t>
            </w:r>
          </w:p>
        </w:tc>
      </w:tr>
    </w:tbl>
    <w:p w:rsidR="00883017" w:rsidRDefault="00883017">
      <w:pPr>
        <w:tabs>
          <w:tab w:val="left" w:pos="790"/>
          <w:tab w:val="left" w:pos="1264"/>
        </w:tabs>
        <w:overflowPunct w:val="0"/>
        <w:adjustRightInd w:val="0"/>
        <w:snapToGrid w:val="0"/>
        <w:spacing w:line="480" w:lineRule="auto"/>
        <w:rPr>
          <w:rFonts w:hAnsi="宋体"/>
          <w:sz w:val="40"/>
          <w:szCs w:val="40"/>
        </w:rPr>
      </w:pPr>
    </w:p>
    <w:sectPr w:rsidR="00883017" w:rsidSect="00F37EC7">
      <w:headerReference w:type="default" r:id="rId6"/>
      <w:pgSz w:w="16838" w:h="11906" w:orient="landscape"/>
      <w:pgMar w:top="1417" w:right="1701" w:bottom="1417" w:left="1701" w:header="851" w:footer="992" w:gutter="0"/>
      <w:pgNumType w:fmt="numberInDash"/>
      <w:cols w:space="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9C" w:rsidRDefault="008C379C" w:rsidP="00F37EC7">
      <w:r>
        <w:separator/>
      </w:r>
    </w:p>
  </w:endnote>
  <w:endnote w:type="continuationSeparator" w:id="1">
    <w:p w:rsidR="008C379C" w:rsidRDefault="008C379C" w:rsidP="00F3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9C" w:rsidRDefault="008C379C" w:rsidP="00F37EC7">
      <w:r>
        <w:separator/>
      </w:r>
    </w:p>
  </w:footnote>
  <w:footnote w:type="continuationSeparator" w:id="1">
    <w:p w:rsidR="008C379C" w:rsidRDefault="008C379C" w:rsidP="00F37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7" w:rsidRDefault="0088301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HorizontalSpacing w:val="105"/>
  <w:drawingGridVerticalSpacing w:val="22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895"/>
    <w:rsid w:val="00020B78"/>
    <w:rsid w:val="00020B87"/>
    <w:rsid w:val="000357A0"/>
    <w:rsid w:val="00040A76"/>
    <w:rsid w:val="000466EE"/>
    <w:rsid w:val="0006408D"/>
    <w:rsid w:val="00075646"/>
    <w:rsid w:val="00085031"/>
    <w:rsid w:val="000976D4"/>
    <w:rsid w:val="000B1AB3"/>
    <w:rsid w:val="000D720E"/>
    <w:rsid w:val="000E3803"/>
    <w:rsid w:val="000E67AE"/>
    <w:rsid w:val="00132A62"/>
    <w:rsid w:val="00147F2E"/>
    <w:rsid w:val="00172A27"/>
    <w:rsid w:val="001923B1"/>
    <w:rsid w:val="001A28CD"/>
    <w:rsid w:val="001F09FB"/>
    <w:rsid w:val="0020794B"/>
    <w:rsid w:val="00225F5E"/>
    <w:rsid w:val="00251F60"/>
    <w:rsid w:val="00256A7C"/>
    <w:rsid w:val="002B576B"/>
    <w:rsid w:val="002F0528"/>
    <w:rsid w:val="0034090E"/>
    <w:rsid w:val="00340C46"/>
    <w:rsid w:val="0034413F"/>
    <w:rsid w:val="00360E79"/>
    <w:rsid w:val="0037218C"/>
    <w:rsid w:val="003A39F7"/>
    <w:rsid w:val="003A4BEE"/>
    <w:rsid w:val="003A5CEA"/>
    <w:rsid w:val="003A76C3"/>
    <w:rsid w:val="004A4190"/>
    <w:rsid w:val="004A7316"/>
    <w:rsid w:val="004B18F8"/>
    <w:rsid w:val="004C0C7A"/>
    <w:rsid w:val="004F0673"/>
    <w:rsid w:val="004F0AF2"/>
    <w:rsid w:val="004F3457"/>
    <w:rsid w:val="00512538"/>
    <w:rsid w:val="00522D73"/>
    <w:rsid w:val="00540518"/>
    <w:rsid w:val="0054075B"/>
    <w:rsid w:val="00541F25"/>
    <w:rsid w:val="005540B4"/>
    <w:rsid w:val="00562526"/>
    <w:rsid w:val="00576B18"/>
    <w:rsid w:val="00586A0E"/>
    <w:rsid w:val="005F677D"/>
    <w:rsid w:val="00620E63"/>
    <w:rsid w:val="006C1F46"/>
    <w:rsid w:val="00733DED"/>
    <w:rsid w:val="00735994"/>
    <w:rsid w:val="00736172"/>
    <w:rsid w:val="007A12DD"/>
    <w:rsid w:val="007F5BBA"/>
    <w:rsid w:val="0080141F"/>
    <w:rsid w:val="00842EF9"/>
    <w:rsid w:val="00883017"/>
    <w:rsid w:val="008A3BDD"/>
    <w:rsid w:val="008C379C"/>
    <w:rsid w:val="008C48D2"/>
    <w:rsid w:val="008C6118"/>
    <w:rsid w:val="00906CFC"/>
    <w:rsid w:val="00944F0F"/>
    <w:rsid w:val="009D56FE"/>
    <w:rsid w:val="009F1447"/>
    <w:rsid w:val="00A270E0"/>
    <w:rsid w:val="00A31A47"/>
    <w:rsid w:val="00A40393"/>
    <w:rsid w:val="00A453B6"/>
    <w:rsid w:val="00AB7FDD"/>
    <w:rsid w:val="00B63560"/>
    <w:rsid w:val="00BA69C1"/>
    <w:rsid w:val="00BB3D88"/>
    <w:rsid w:val="00BE75B6"/>
    <w:rsid w:val="00C15AEF"/>
    <w:rsid w:val="00C55E81"/>
    <w:rsid w:val="00C729EB"/>
    <w:rsid w:val="00CA1922"/>
    <w:rsid w:val="00CA210C"/>
    <w:rsid w:val="00CE1E86"/>
    <w:rsid w:val="00CE5528"/>
    <w:rsid w:val="00CF014B"/>
    <w:rsid w:val="00D22D31"/>
    <w:rsid w:val="00D675F4"/>
    <w:rsid w:val="00D9685A"/>
    <w:rsid w:val="00DE1B41"/>
    <w:rsid w:val="00DE615D"/>
    <w:rsid w:val="00E132EE"/>
    <w:rsid w:val="00EA18AA"/>
    <w:rsid w:val="00EE6808"/>
    <w:rsid w:val="00EE71A9"/>
    <w:rsid w:val="00F36952"/>
    <w:rsid w:val="00F372DE"/>
    <w:rsid w:val="00F37EC7"/>
    <w:rsid w:val="00F42802"/>
    <w:rsid w:val="00F90087"/>
    <w:rsid w:val="00FD71DB"/>
    <w:rsid w:val="0391020F"/>
    <w:rsid w:val="03A84B50"/>
    <w:rsid w:val="052328E8"/>
    <w:rsid w:val="05E2742E"/>
    <w:rsid w:val="06A674AE"/>
    <w:rsid w:val="07D2644A"/>
    <w:rsid w:val="0A046A0F"/>
    <w:rsid w:val="126E0157"/>
    <w:rsid w:val="135E6AFB"/>
    <w:rsid w:val="14295940"/>
    <w:rsid w:val="145116C7"/>
    <w:rsid w:val="159D7E65"/>
    <w:rsid w:val="160459FD"/>
    <w:rsid w:val="161735A0"/>
    <w:rsid w:val="163468E5"/>
    <w:rsid w:val="16950CF8"/>
    <w:rsid w:val="188C2BBE"/>
    <w:rsid w:val="1B5C13F8"/>
    <w:rsid w:val="1BC25146"/>
    <w:rsid w:val="1F3547A9"/>
    <w:rsid w:val="211716E7"/>
    <w:rsid w:val="24661869"/>
    <w:rsid w:val="246D114F"/>
    <w:rsid w:val="24894CE8"/>
    <w:rsid w:val="25BB3450"/>
    <w:rsid w:val="25D20850"/>
    <w:rsid w:val="26B50631"/>
    <w:rsid w:val="279931EC"/>
    <w:rsid w:val="27B97FC4"/>
    <w:rsid w:val="283C2C07"/>
    <w:rsid w:val="2B2A1E8A"/>
    <w:rsid w:val="2E777DB4"/>
    <w:rsid w:val="31375403"/>
    <w:rsid w:val="3166408A"/>
    <w:rsid w:val="348D72CE"/>
    <w:rsid w:val="350C2BCF"/>
    <w:rsid w:val="36130312"/>
    <w:rsid w:val="396E6E3A"/>
    <w:rsid w:val="3D3F09C1"/>
    <w:rsid w:val="3E3E2CBC"/>
    <w:rsid w:val="3E670DF4"/>
    <w:rsid w:val="3F5F12CA"/>
    <w:rsid w:val="3FC23C94"/>
    <w:rsid w:val="40CB548A"/>
    <w:rsid w:val="459812B3"/>
    <w:rsid w:val="4799224B"/>
    <w:rsid w:val="49F65749"/>
    <w:rsid w:val="4C4234C3"/>
    <w:rsid w:val="4D521D11"/>
    <w:rsid w:val="4FF2685E"/>
    <w:rsid w:val="51447B3B"/>
    <w:rsid w:val="53646940"/>
    <w:rsid w:val="544574CE"/>
    <w:rsid w:val="551B6C03"/>
    <w:rsid w:val="576F368E"/>
    <w:rsid w:val="583B6E37"/>
    <w:rsid w:val="5A1671DA"/>
    <w:rsid w:val="5A510A3F"/>
    <w:rsid w:val="5B50701D"/>
    <w:rsid w:val="5EE83720"/>
    <w:rsid w:val="611B1EE2"/>
    <w:rsid w:val="61F82C28"/>
    <w:rsid w:val="65C8370B"/>
    <w:rsid w:val="66F3537F"/>
    <w:rsid w:val="6F18067A"/>
    <w:rsid w:val="705A07B6"/>
    <w:rsid w:val="7169217A"/>
    <w:rsid w:val="73527AB7"/>
    <w:rsid w:val="758D2A15"/>
    <w:rsid w:val="759C21D8"/>
    <w:rsid w:val="75FE76A5"/>
    <w:rsid w:val="787E2CB4"/>
    <w:rsid w:val="7B513547"/>
    <w:rsid w:val="7B7F1C08"/>
    <w:rsid w:val="7CC02576"/>
    <w:rsid w:val="7D16297B"/>
    <w:rsid w:val="7E8562F1"/>
    <w:rsid w:val="7FE0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C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37EC7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3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37EC7"/>
    <w:rPr>
      <w:rFonts w:ascii="仿宋_GB2312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F37EC7"/>
    <w:rPr>
      <w:rFonts w:cs="Times New Roman"/>
      <w:color w:val="0000FF"/>
      <w:u w:val="single"/>
    </w:rPr>
  </w:style>
  <w:style w:type="character" w:customStyle="1" w:styleId="font51">
    <w:name w:val="font51"/>
    <w:basedOn w:val="a0"/>
    <w:uiPriority w:val="99"/>
    <w:rsid w:val="00F37EC7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rsid w:val="00F37EC7"/>
    <w:rPr>
      <w:rFonts w:ascii="仿宋_GB2312" w:eastAsia="仿宋_GB2312" w:cs="仿宋_GB2312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济市监函〔2020〕78号</dc:title>
  <dc:creator>sdgs</dc:creator>
  <cp:lastModifiedBy>yz</cp:lastModifiedBy>
  <cp:revision>3</cp:revision>
  <cp:lastPrinted>2020-04-23T08:35:00Z</cp:lastPrinted>
  <dcterms:created xsi:type="dcterms:W3CDTF">2020-06-10T03:30:00Z</dcterms:created>
  <dcterms:modified xsi:type="dcterms:W3CDTF">2021-01-05T03:22:00Z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