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274E6">
      <w:pPr>
        <w:spacing w:line="590" w:lineRule="exact"/>
        <w:ind w:right="-105" w:rightChars="-50"/>
        <w:jc w:val="center"/>
        <w:outlineLvl w:val="0"/>
        <w:rPr>
          <w:rFonts w:hint="eastAsia" w:ascii="方正小标宋简体" w:eastAsia="方正小标宋简体"/>
          <w:b/>
          <w:color w:val="000000"/>
          <w:sz w:val="44"/>
          <w:szCs w:val="44"/>
          <w:lang w:val="en-US" w:eastAsia="zh-CN"/>
        </w:rPr>
      </w:pPr>
      <w:r>
        <w:rPr>
          <w:rFonts w:hint="eastAsia" w:ascii="方正小标宋简体" w:eastAsia="方正小标宋简体"/>
          <w:b/>
          <w:color w:val="000000"/>
          <w:sz w:val="44"/>
          <w:szCs w:val="44"/>
          <w:lang w:val="en-US" w:eastAsia="zh-CN"/>
        </w:rPr>
        <w:t>济宁高新区黄屯街道办事处</w:t>
      </w:r>
    </w:p>
    <w:p w14:paraId="2A6C4AB1">
      <w:pPr>
        <w:spacing w:line="590" w:lineRule="exact"/>
        <w:ind w:right="-105"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年政府信息公开工作年度报告</w:t>
      </w:r>
    </w:p>
    <w:p w14:paraId="792F6443"/>
    <w:p w14:paraId="796929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6"/>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本报告由黄屯街道办事处按照《中华人民共和国政府信息公开条例》（以下简称《条例》）和《中华人民共和国政府信息公开工作年度报告格式》（国办公开办函〔2021〕30号）要求编制。</w:t>
      </w:r>
    </w:p>
    <w:p w14:paraId="5E9E78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6"/>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14:paraId="5B0D2D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6"/>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本报告所列数据的统计期限自202</w:t>
      </w:r>
      <w:r>
        <w:rPr>
          <w:rStyle w:val="6"/>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年1月1日起至202</w:t>
      </w:r>
      <w:r>
        <w:rPr>
          <w:rStyle w:val="6"/>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年12月31日止。</w:t>
      </w:r>
      <w:r>
        <w:rPr>
          <w:rStyle w:val="6"/>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本报告电子版可在“济宁国家高新技术产业开发区”管委会门户网站（http://www.jnhn.gov.cn）查阅或下载。如对本报告有疑问，请与黄屯街道联系（地址：黄王路3号，联系电话：0537—3518900）。</w:t>
      </w:r>
    </w:p>
    <w:p w14:paraId="54A009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rPr>
      </w:pPr>
      <w:r>
        <w:rPr>
          <w:rFonts w:hint="eastAsia" w:ascii="黑体" w:hAnsi="黑体" w:eastAsia="黑体" w:cs="黑体"/>
          <w:b/>
          <w:bCs w:val="0"/>
          <w:i w:val="0"/>
          <w:iCs w:val="0"/>
          <w:caps w:val="0"/>
          <w:color w:val="auto"/>
          <w:spacing w:val="0"/>
          <w:sz w:val="32"/>
          <w:szCs w:val="32"/>
          <w:shd w:val="clear" w:color="auto" w:fill="FFFFFF"/>
        </w:rPr>
        <w:t>一、总体情况</w:t>
      </w:r>
    </w:p>
    <w:p w14:paraId="18698EBD">
      <w:pPr>
        <w:spacing w:line="600" w:lineRule="exact"/>
        <w:ind w:firstLine="643" w:firstLineChars="200"/>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2024年，黄屯街道以习近平新时代中国特色社会主义思想为指导，严格落实条例和省市区的相关要求，紧紧围绕省市区中心工作及社会群众关注关切，加强政策发布的力度和时效，持续提升公开质量和治理效能，全面发布相关信息，扎实推进政府信息公开各项工作，取得积极成效。</w:t>
      </w:r>
    </w:p>
    <w:p w14:paraId="7EC82355">
      <w:pPr>
        <w:numPr>
          <w:ilvl w:val="0"/>
          <w:numId w:val="1"/>
        </w:numPr>
        <w:ind w:left="-13" w:leftChars="0" w:firstLine="643" w:firstLineChars="0"/>
        <w:rPr>
          <w:rStyle w:val="6"/>
          <w:rFonts w:hint="eastAsia" w:ascii="方正楷体简体" w:hAnsi="方正楷体简体" w:eastAsia="方正楷体简体" w:cs="方正楷体简体"/>
          <w:b/>
          <w:bCs w:val="0"/>
          <w:i w:val="0"/>
          <w:iCs w:val="0"/>
          <w:caps w:val="0"/>
          <w:color w:val="auto"/>
          <w:spacing w:val="0"/>
          <w:sz w:val="32"/>
          <w:szCs w:val="32"/>
          <w:lang w:eastAsia="zh-CN"/>
        </w:rPr>
      </w:pPr>
      <w:r>
        <w:rPr>
          <w:rStyle w:val="6"/>
          <w:rFonts w:hint="eastAsia" w:ascii="方正楷体简体" w:hAnsi="方正楷体简体" w:eastAsia="方正楷体简体" w:cs="方正楷体简体"/>
          <w:b/>
          <w:bCs w:val="0"/>
          <w:i w:val="0"/>
          <w:iCs w:val="0"/>
          <w:caps w:val="0"/>
          <w:color w:val="auto"/>
          <w:spacing w:val="0"/>
          <w:sz w:val="32"/>
          <w:szCs w:val="32"/>
          <w:lang w:eastAsia="zh-CN"/>
        </w:rPr>
        <w:t>主动公开情况</w:t>
      </w:r>
    </w:p>
    <w:p w14:paraId="41003B55">
      <w:pPr>
        <w:pStyle w:val="2"/>
        <w:keepNext w:val="0"/>
        <w:keepLines w:val="0"/>
        <w:pageBreakBefore w:val="0"/>
        <w:widowControl w:val="0"/>
        <w:kinsoku/>
        <w:wordWrap/>
        <w:overflowPunct/>
        <w:topLinePunct w:val="0"/>
        <w:autoSpaceDE/>
        <w:autoSpaceDN/>
        <w:bidi w:val="0"/>
        <w:adjustRightInd/>
        <w:snapToGrid/>
        <w:ind w:firstLine="643" w:firstLineChars="200"/>
        <w:jc w:val="both"/>
        <w:textAlignment w:val="auto"/>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2024年严格按照《条例》要求及时主动公开本行政机关的政府信息，</w:t>
      </w:r>
      <w:r>
        <w:rPr>
          <w:rStyle w:val="6"/>
          <w:rFonts w:hint="default" w:ascii="方正仿宋简体" w:hAnsi="方正仿宋简体" w:eastAsia="方正仿宋简体" w:cs="方正仿宋简体"/>
          <w:bCs w:val="0"/>
          <w:i w:val="0"/>
          <w:iCs w:val="0"/>
          <w:caps w:val="0"/>
          <w:color w:val="auto"/>
          <w:spacing w:val="0"/>
          <w:kern w:val="2"/>
          <w:sz w:val="32"/>
          <w:szCs w:val="32"/>
          <w:lang w:val="en-US" w:eastAsia="zh-CN" w:bidi="ar-SA"/>
        </w:rPr>
        <w:t>截至12月31日</w:t>
      </w: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在街道为民服务大厅</w:t>
      </w:r>
      <w:r>
        <w:rPr>
          <w:rStyle w:val="6"/>
          <w:rFonts w:hint="default" w:ascii="方正仿宋简体" w:hAnsi="方正仿宋简体" w:eastAsia="方正仿宋简体" w:cs="方正仿宋简体"/>
          <w:bCs w:val="0"/>
          <w:i w:val="0"/>
          <w:iCs w:val="0"/>
          <w:caps w:val="0"/>
          <w:color w:val="auto"/>
          <w:spacing w:val="0"/>
          <w:kern w:val="2"/>
          <w:sz w:val="32"/>
          <w:szCs w:val="32"/>
          <w:lang w:val="en-US" w:eastAsia="zh-CN" w:bidi="ar-SA"/>
        </w:rPr>
        <w:t>现场处理政务公开相关事项达</w:t>
      </w: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46</w:t>
      </w:r>
      <w:r>
        <w:rPr>
          <w:rStyle w:val="6"/>
          <w:rFonts w:hint="default" w:ascii="方正仿宋简体" w:hAnsi="方正仿宋简体" w:eastAsia="方正仿宋简体" w:cs="方正仿宋简体"/>
          <w:bCs w:val="0"/>
          <w:i w:val="0"/>
          <w:iCs w:val="0"/>
          <w:caps w:val="0"/>
          <w:color w:val="auto"/>
          <w:spacing w:val="0"/>
          <w:kern w:val="2"/>
          <w:sz w:val="32"/>
          <w:szCs w:val="32"/>
          <w:lang w:val="en-US" w:eastAsia="zh-CN" w:bidi="ar-SA"/>
        </w:rPr>
        <w:t>余</w:t>
      </w: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项，在济宁高新区管委会门户网站主动公开</w:t>
      </w:r>
      <w:r>
        <w:rPr>
          <w:rStyle w:val="6"/>
          <w:rFonts w:hint="default" w:ascii="方正仿宋简体" w:hAnsi="方正仿宋简体" w:eastAsia="方正仿宋简体" w:cs="方正仿宋简体"/>
          <w:bCs w:val="0"/>
          <w:i w:val="0"/>
          <w:iCs w:val="0"/>
          <w:caps w:val="0"/>
          <w:color w:val="auto"/>
          <w:spacing w:val="0"/>
          <w:kern w:val="2"/>
          <w:sz w:val="32"/>
          <w:szCs w:val="32"/>
          <w:lang w:val="en-US" w:eastAsia="zh-CN" w:bidi="ar-SA"/>
        </w:rPr>
        <w:t>政策文件</w:t>
      </w: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2</w:t>
      </w:r>
      <w:r>
        <w:rPr>
          <w:rStyle w:val="6"/>
          <w:rFonts w:hint="default" w:ascii="方正仿宋简体" w:hAnsi="方正仿宋简体" w:eastAsia="方正仿宋简体" w:cs="方正仿宋简体"/>
          <w:bCs w:val="0"/>
          <w:i w:val="0"/>
          <w:iCs w:val="0"/>
          <w:caps w:val="0"/>
          <w:color w:val="auto"/>
          <w:spacing w:val="0"/>
          <w:kern w:val="2"/>
          <w:sz w:val="32"/>
          <w:szCs w:val="32"/>
          <w:lang w:val="en-US" w:eastAsia="zh-CN" w:bidi="ar-SA"/>
        </w:rPr>
        <w:t>条，</w:t>
      </w: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配发相应政策解读2条，发布街道</w:t>
      </w:r>
      <w:r>
        <w:rPr>
          <w:rStyle w:val="6"/>
          <w:rFonts w:hint="default" w:ascii="方正仿宋简体" w:hAnsi="方正仿宋简体" w:eastAsia="方正仿宋简体" w:cs="方正仿宋简体"/>
          <w:bCs w:val="0"/>
          <w:i w:val="0"/>
          <w:iCs w:val="0"/>
          <w:caps w:val="0"/>
          <w:color w:val="auto"/>
          <w:spacing w:val="0"/>
          <w:kern w:val="2"/>
          <w:sz w:val="32"/>
          <w:szCs w:val="32"/>
          <w:lang w:val="en-US" w:eastAsia="zh-CN" w:bidi="ar-SA"/>
        </w:rPr>
        <w:t>会议</w:t>
      </w: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12</w:t>
      </w:r>
      <w:r>
        <w:rPr>
          <w:rStyle w:val="6"/>
          <w:rFonts w:hint="default" w:ascii="方正仿宋简体" w:hAnsi="方正仿宋简体" w:eastAsia="方正仿宋简体" w:cs="方正仿宋简体"/>
          <w:bCs w:val="0"/>
          <w:i w:val="0"/>
          <w:iCs w:val="0"/>
          <w:caps w:val="0"/>
          <w:color w:val="auto"/>
          <w:spacing w:val="0"/>
          <w:kern w:val="2"/>
          <w:sz w:val="32"/>
          <w:szCs w:val="32"/>
          <w:lang w:val="en-US" w:eastAsia="zh-CN" w:bidi="ar-SA"/>
        </w:rPr>
        <w:t>条，</w:t>
      </w: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公共文化服务、环境保护等</w:t>
      </w:r>
      <w:r>
        <w:rPr>
          <w:rStyle w:val="6"/>
          <w:rFonts w:hint="default" w:ascii="方正仿宋简体" w:hAnsi="方正仿宋简体" w:eastAsia="方正仿宋简体" w:cs="方正仿宋简体"/>
          <w:bCs w:val="0"/>
          <w:i w:val="0"/>
          <w:iCs w:val="0"/>
          <w:caps w:val="0"/>
          <w:color w:val="auto"/>
          <w:spacing w:val="0"/>
          <w:kern w:val="2"/>
          <w:sz w:val="32"/>
          <w:szCs w:val="32"/>
          <w:lang w:val="en-US" w:eastAsia="zh-CN" w:bidi="ar-SA"/>
        </w:rPr>
        <w:t>重点领域信息</w:t>
      </w: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39</w:t>
      </w:r>
      <w:r>
        <w:rPr>
          <w:rStyle w:val="6"/>
          <w:rFonts w:hint="default" w:ascii="方正仿宋简体" w:hAnsi="方正仿宋简体" w:eastAsia="方正仿宋简体" w:cs="方正仿宋简体"/>
          <w:bCs w:val="0"/>
          <w:i w:val="0"/>
          <w:iCs w:val="0"/>
          <w:caps w:val="0"/>
          <w:color w:val="auto"/>
          <w:spacing w:val="0"/>
          <w:kern w:val="2"/>
          <w:sz w:val="32"/>
          <w:szCs w:val="32"/>
          <w:lang w:val="en-US" w:eastAsia="zh-CN" w:bidi="ar-SA"/>
        </w:rPr>
        <w:t>条，</w:t>
      </w: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其他信息69条，共计170条</w:t>
      </w:r>
      <w:r>
        <w:rPr>
          <w:rStyle w:val="6"/>
          <w:rFonts w:hint="default" w:ascii="方正仿宋简体" w:hAnsi="方正仿宋简体" w:eastAsia="方正仿宋简体" w:cs="方正仿宋简体"/>
          <w:bCs w:val="0"/>
          <w:i w:val="0"/>
          <w:iCs w:val="0"/>
          <w:caps w:val="0"/>
          <w:color w:val="auto"/>
          <w:spacing w:val="0"/>
          <w:kern w:val="2"/>
          <w:sz w:val="32"/>
          <w:szCs w:val="32"/>
          <w:lang w:val="en-US" w:eastAsia="zh-CN" w:bidi="ar-SA"/>
        </w:rPr>
        <w:t>。</w:t>
      </w:r>
    </w:p>
    <w:p w14:paraId="5925DE7E">
      <w:pPr>
        <w:pStyle w:val="2"/>
        <w:rPr>
          <w:rFonts w:hint="eastAsia" w:ascii="仿宋_GB2312" w:eastAsia="仿宋_GB2312"/>
          <w:b/>
          <w:bCs/>
          <w:sz w:val="32"/>
          <w:szCs w:val="32"/>
        </w:rPr>
      </w:pPr>
      <w:r>
        <w:drawing>
          <wp:inline distT="0" distB="0" distL="114300" distR="114300">
            <wp:extent cx="4826000" cy="2743200"/>
            <wp:effectExtent l="4445" t="4445" r="8255" b="14605"/>
            <wp:docPr id="2" name="图表 1"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66EDCE3">
      <w:pPr>
        <w:numPr>
          <w:ilvl w:val="0"/>
          <w:numId w:val="1"/>
        </w:numPr>
        <w:ind w:left="-13" w:leftChars="0" w:firstLine="643" w:firstLineChars="0"/>
        <w:rPr>
          <w:rStyle w:val="6"/>
          <w:rFonts w:hint="eastAsia" w:ascii="方正楷体简体" w:hAnsi="方正楷体简体" w:eastAsia="方正楷体简体" w:cs="方正楷体简体"/>
          <w:b/>
          <w:bCs w:val="0"/>
          <w:i w:val="0"/>
          <w:iCs w:val="0"/>
          <w:caps w:val="0"/>
          <w:color w:val="auto"/>
          <w:spacing w:val="0"/>
          <w:sz w:val="32"/>
          <w:szCs w:val="32"/>
          <w:lang w:eastAsia="zh-CN"/>
        </w:rPr>
      </w:pPr>
      <w:r>
        <w:rPr>
          <w:rStyle w:val="6"/>
          <w:rFonts w:hint="eastAsia" w:ascii="方正楷体简体" w:hAnsi="方正楷体简体" w:eastAsia="方正楷体简体" w:cs="方正楷体简体"/>
          <w:b/>
          <w:bCs w:val="0"/>
          <w:i w:val="0"/>
          <w:iCs w:val="0"/>
          <w:caps w:val="0"/>
          <w:color w:val="auto"/>
          <w:spacing w:val="0"/>
          <w:sz w:val="32"/>
          <w:szCs w:val="32"/>
          <w:lang w:eastAsia="zh-CN"/>
        </w:rPr>
        <w:t>依申请公开情况</w:t>
      </w:r>
    </w:p>
    <w:p w14:paraId="411D51D3">
      <w:pPr>
        <w:pStyle w:val="2"/>
        <w:keepNext w:val="0"/>
        <w:keepLines w:val="0"/>
        <w:pageBreakBefore w:val="0"/>
        <w:widowControl w:val="0"/>
        <w:kinsoku/>
        <w:wordWrap/>
        <w:overflowPunct/>
        <w:topLinePunct w:val="0"/>
        <w:autoSpaceDE/>
        <w:autoSpaceDN/>
        <w:bidi w:val="0"/>
        <w:adjustRightInd/>
        <w:snapToGrid/>
        <w:ind w:firstLine="643" w:firstLineChars="200"/>
        <w:jc w:val="both"/>
        <w:textAlignment w:val="auto"/>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2024年共收到依申请公开2件，高刘屯村棚户区改造拆迁安置主体是高刘屯村委会，在棚户区改造实施之前，高刘屯村相继召开了村两委、全体党员、村民代表会议，对拆迁补偿安置方案进行了充分的讨论酝酿，并按照相关程序，制定了棚户区拆迁安置补偿方案和征收公告。因此，当事人申请公开关于黄屯街道棚户区改造项目的征收公告、安置补偿方案等批准材料不属于政府信息，故以上材料不在黄屯街道办事处信息公开范畴。全年无因依申请公开引发收费的情况。</w:t>
      </w:r>
    </w:p>
    <w:p w14:paraId="7CE14E0E">
      <w:pPr>
        <w:pStyle w:val="2"/>
        <w:rPr>
          <w:rFonts w:hint="eastAsia"/>
          <w:lang w:val="en-US" w:eastAsia="zh-CN"/>
        </w:rPr>
      </w:pPr>
      <w:r>
        <w:drawing>
          <wp:inline distT="0" distB="0" distL="114300" distR="114300">
            <wp:extent cx="4826000" cy="2743200"/>
            <wp:effectExtent l="4445" t="4445" r="8255" b="14605"/>
            <wp:docPr id="6" name="图表 5" descr="7b0a202020202263686172745265734964223a202232303437363834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F0BC8DC">
      <w:pPr>
        <w:numPr>
          <w:ilvl w:val="0"/>
          <w:numId w:val="1"/>
        </w:numPr>
        <w:ind w:left="-13" w:leftChars="0" w:firstLine="643" w:firstLineChars="0"/>
        <w:rPr>
          <w:rStyle w:val="6"/>
          <w:rFonts w:hint="eastAsia" w:ascii="方正楷体简体" w:hAnsi="方正楷体简体" w:eastAsia="方正楷体简体" w:cs="方正楷体简体"/>
          <w:b/>
          <w:bCs w:val="0"/>
          <w:i w:val="0"/>
          <w:iCs w:val="0"/>
          <w:caps w:val="0"/>
          <w:color w:val="auto"/>
          <w:spacing w:val="0"/>
          <w:sz w:val="32"/>
          <w:szCs w:val="32"/>
          <w:lang w:eastAsia="zh-CN"/>
        </w:rPr>
      </w:pPr>
      <w:r>
        <w:rPr>
          <w:rStyle w:val="6"/>
          <w:rFonts w:hint="eastAsia" w:ascii="方正楷体简体" w:hAnsi="方正楷体简体" w:eastAsia="方正楷体简体" w:cs="方正楷体简体"/>
          <w:b/>
          <w:bCs w:val="0"/>
          <w:i w:val="0"/>
          <w:iCs w:val="0"/>
          <w:caps w:val="0"/>
          <w:color w:val="auto"/>
          <w:spacing w:val="0"/>
          <w:sz w:val="32"/>
          <w:szCs w:val="32"/>
          <w:lang w:eastAsia="zh-CN"/>
        </w:rPr>
        <w:t>政府信息管理方面</w:t>
      </w:r>
    </w:p>
    <w:p w14:paraId="31782479">
      <w:pPr>
        <w:spacing w:line="600" w:lineRule="exact"/>
        <w:ind w:firstLine="643" w:firstLineChars="200"/>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按照政府信息公开目录和指南编制要求，进一步科学规范政府信息类别，明确界定主动公开、依申请公开和不予公开政府信息范围，不断健全、完善和充实政府信息公开《指南》和《目录》，不断加大数据公开力度，规范信息审核发布机制。</w:t>
      </w:r>
    </w:p>
    <w:p w14:paraId="55425073">
      <w:pPr>
        <w:numPr>
          <w:ilvl w:val="0"/>
          <w:numId w:val="1"/>
        </w:numPr>
        <w:ind w:left="-13" w:leftChars="0" w:firstLine="643" w:firstLineChars="0"/>
        <w:rPr>
          <w:rStyle w:val="6"/>
          <w:rFonts w:hint="eastAsia" w:ascii="方正楷体简体" w:hAnsi="方正楷体简体" w:eastAsia="方正楷体简体" w:cs="方正楷体简体"/>
          <w:b/>
          <w:bCs w:val="0"/>
          <w:i w:val="0"/>
          <w:iCs w:val="0"/>
          <w:caps w:val="0"/>
          <w:color w:val="auto"/>
          <w:spacing w:val="0"/>
          <w:sz w:val="32"/>
          <w:szCs w:val="32"/>
          <w:lang w:eastAsia="zh-CN"/>
        </w:rPr>
      </w:pPr>
      <w:r>
        <w:rPr>
          <w:rStyle w:val="6"/>
          <w:rFonts w:hint="eastAsia" w:ascii="方正楷体简体" w:hAnsi="方正楷体简体" w:eastAsia="方正楷体简体" w:cs="方正楷体简体"/>
          <w:b/>
          <w:bCs w:val="0"/>
          <w:i w:val="0"/>
          <w:iCs w:val="0"/>
          <w:caps w:val="0"/>
          <w:color w:val="auto"/>
          <w:spacing w:val="0"/>
          <w:sz w:val="32"/>
          <w:szCs w:val="32"/>
          <w:lang w:eastAsia="zh-CN"/>
        </w:rPr>
        <w:t>政府信息公开平台建设情况</w:t>
      </w:r>
    </w:p>
    <w:p w14:paraId="42A50CAB">
      <w:pPr>
        <w:spacing w:line="600" w:lineRule="exact"/>
        <w:ind w:firstLine="643" w:firstLineChars="200"/>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黄屯街道高度重视政府信息公开平台建设，通过线上线下相结合的方式，构建了全方位的政府信息公开体系。线上平台主要依托济宁高新区管委会官网，线下平台则包括便民服务大厅、村级政务公开专区等实体场所，方便公众获取所需信息、提出意见和建议。</w:t>
      </w:r>
    </w:p>
    <w:p w14:paraId="0920384F">
      <w:pPr>
        <w:numPr>
          <w:ilvl w:val="0"/>
          <w:numId w:val="1"/>
        </w:numPr>
        <w:ind w:left="-13" w:leftChars="0" w:firstLine="643" w:firstLineChars="0"/>
        <w:rPr>
          <w:rStyle w:val="6"/>
          <w:rFonts w:hint="eastAsia" w:ascii="方正楷体简体" w:hAnsi="方正楷体简体" w:eastAsia="方正楷体简体" w:cs="方正楷体简体"/>
          <w:b/>
          <w:bCs w:val="0"/>
          <w:i w:val="0"/>
          <w:iCs w:val="0"/>
          <w:caps w:val="0"/>
          <w:color w:val="auto"/>
          <w:spacing w:val="0"/>
          <w:sz w:val="32"/>
          <w:szCs w:val="32"/>
          <w:lang w:eastAsia="zh-CN"/>
        </w:rPr>
      </w:pPr>
      <w:r>
        <w:rPr>
          <w:rStyle w:val="6"/>
          <w:rFonts w:hint="eastAsia" w:ascii="方正楷体简体" w:hAnsi="方正楷体简体" w:eastAsia="方正楷体简体" w:cs="方正楷体简体"/>
          <w:b/>
          <w:bCs w:val="0"/>
          <w:i w:val="0"/>
          <w:iCs w:val="0"/>
          <w:caps w:val="0"/>
          <w:color w:val="auto"/>
          <w:spacing w:val="0"/>
          <w:sz w:val="32"/>
          <w:szCs w:val="32"/>
          <w:lang w:eastAsia="zh-CN"/>
        </w:rPr>
        <w:t>监督保障情况</w:t>
      </w:r>
    </w:p>
    <w:p w14:paraId="16A3BA1F">
      <w:pPr>
        <w:spacing w:line="600" w:lineRule="exact"/>
        <w:ind w:firstLine="643" w:firstLineChars="200"/>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街道以多种形式接受群众监督，保障信息公开工作有序推进。明确工作责任，将政务公开工作纳入我街道重要议事日程，由专人负责具体工作对接、处理、汇报等，形成层层落实、责任明晰的工作格局。2024年我街道未发生因不履行政务公开义务而产生的责任追究情况。</w:t>
      </w:r>
    </w:p>
    <w:p w14:paraId="499C4A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rPr>
      </w:pPr>
      <w:r>
        <w:rPr>
          <w:rFonts w:hint="eastAsia" w:ascii="黑体" w:hAnsi="黑体" w:eastAsia="黑体" w:cs="黑体"/>
          <w:b/>
          <w:bCs w:val="0"/>
          <w:i w:val="0"/>
          <w:iCs w:val="0"/>
          <w:caps w:val="0"/>
          <w:color w:val="auto"/>
          <w:spacing w:val="0"/>
          <w:sz w:val="32"/>
          <w:szCs w:val="32"/>
          <w:shd w:val="clear" w:color="auto" w:fill="FFFFFF"/>
          <w:lang w:val="en-US" w:eastAsia="zh-CN"/>
        </w:rPr>
        <w:t>二、</w:t>
      </w:r>
      <w:r>
        <w:rPr>
          <w:rFonts w:hint="eastAsia" w:ascii="黑体" w:hAnsi="黑体" w:eastAsia="黑体" w:cs="黑体"/>
          <w:b/>
          <w:bCs w:val="0"/>
          <w:i w:val="0"/>
          <w:iCs w:val="0"/>
          <w:caps w:val="0"/>
          <w:color w:val="auto"/>
          <w:spacing w:val="0"/>
          <w:sz w:val="32"/>
          <w:szCs w:val="32"/>
          <w:shd w:val="clear" w:color="auto" w:fill="FFFFFF"/>
        </w:rPr>
        <w:t>主动公开政府信息情况</w:t>
      </w:r>
    </w:p>
    <w:tbl>
      <w:tblPr>
        <w:tblStyle w:val="4"/>
        <w:tblW w:w="5000" w:type="pct"/>
        <w:tblInd w:w="0" w:type="dxa"/>
        <w:tblLayout w:type="autofit"/>
        <w:tblCellMar>
          <w:top w:w="0" w:type="dxa"/>
          <w:left w:w="108" w:type="dxa"/>
          <w:bottom w:w="0" w:type="dxa"/>
          <w:right w:w="108" w:type="dxa"/>
        </w:tblCellMar>
      </w:tblPr>
      <w:tblGrid>
        <w:gridCol w:w="2130"/>
        <w:gridCol w:w="2130"/>
        <w:gridCol w:w="2131"/>
        <w:gridCol w:w="2131"/>
      </w:tblGrid>
      <w:tr w14:paraId="4942A2F7">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67ED588E">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236A5F95">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2A36D00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noWrap w:val="0"/>
            <w:vAlign w:val="center"/>
          </w:tcPr>
          <w:p w14:paraId="2C0F83E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noWrap w:val="0"/>
            <w:vAlign w:val="center"/>
          </w:tcPr>
          <w:p w14:paraId="45953F9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noWrap w:val="0"/>
            <w:vAlign w:val="center"/>
          </w:tcPr>
          <w:p w14:paraId="4E6F7E5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6E2E442A">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6CF468E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noWrap w:val="0"/>
            <w:vAlign w:val="center"/>
          </w:tcPr>
          <w:p w14:paraId="06750EBF">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2251948D">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0C0F7866">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eastAsia="仿宋_GB2312" w:cs="Calibri"/>
                <w:color w:val="000000"/>
                <w:kern w:val="0"/>
                <w:szCs w:val="21"/>
                <w:lang w:val="en-US" w:eastAsia="zh-CN"/>
              </w:rPr>
              <w:t>0</w:t>
            </w:r>
          </w:p>
        </w:tc>
      </w:tr>
      <w:tr w14:paraId="56BE3173">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2CF67EB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noWrap w:val="0"/>
            <w:vAlign w:val="center"/>
          </w:tcPr>
          <w:p w14:paraId="47AC72F0">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3C6662BB">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14:paraId="4C3CCBC4">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eastAsia="仿宋_GB2312" w:cs="Calibri"/>
                <w:color w:val="000000"/>
                <w:kern w:val="0"/>
                <w:szCs w:val="21"/>
                <w:lang w:val="en-US" w:eastAsia="zh-CN"/>
              </w:rPr>
              <w:t>0</w:t>
            </w:r>
          </w:p>
        </w:tc>
      </w:tr>
      <w:tr w14:paraId="6CADE1B5">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0FD958C1">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3A5915F0">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128B6D7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14:paraId="614B858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4040FCEF">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4D5667A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noWrap w:val="0"/>
            <w:vAlign w:val="center"/>
          </w:tcPr>
          <w:p w14:paraId="2C2A77DA">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eastAsia="仿宋_GB2312" w:cs="Calibri"/>
                <w:color w:val="000000"/>
                <w:kern w:val="0"/>
                <w:szCs w:val="21"/>
                <w:lang w:val="en-US" w:eastAsia="zh-CN"/>
              </w:rPr>
              <w:t>0</w:t>
            </w:r>
          </w:p>
        </w:tc>
      </w:tr>
      <w:tr w14:paraId="1137531F">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364DC255">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4BE2326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7869B27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14:paraId="19EF0DA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5384C8F">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3FC55AF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noWrap w:val="0"/>
            <w:vAlign w:val="center"/>
          </w:tcPr>
          <w:p w14:paraId="4BFF361E">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14:paraId="1DF4E631">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7322B24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noWrap w:val="0"/>
            <w:vAlign w:val="center"/>
          </w:tcPr>
          <w:p w14:paraId="7A156714">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14:paraId="5DC471B9">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7045EC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58F9DDD2">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0DF9092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14:paraId="284A519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6E45089E">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045F7F9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noWrap w:val="0"/>
            <w:vAlign w:val="center"/>
          </w:tcPr>
          <w:p w14:paraId="53F6CF26">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eastAsia="仿宋_GB2312" w:cs="Calibri"/>
                <w:color w:val="000000"/>
                <w:kern w:val="0"/>
                <w:szCs w:val="21"/>
                <w:lang w:val="en-US" w:eastAsia="zh-CN"/>
              </w:rPr>
              <w:t>0</w:t>
            </w:r>
          </w:p>
        </w:tc>
      </w:tr>
    </w:tbl>
    <w:p w14:paraId="7B75A484">
      <w:pPr>
        <w:spacing w:line="600" w:lineRule="exact"/>
        <w:ind w:firstLine="640" w:firstLineChars="200"/>
        <w:rPr>
          <w:rFonts w:hint="eastAsia" w:ascii="仿宋_GB2312" w:eastAsia="仿宋_GB2312"/>
          <w:sz w:val="32"/>
          <w:szCs w:val="32"/>
        </w:rPr>
      </w:pPr>
    </w:p>
    <w:p w14:paraId="2C12810D">
      <w:pPr>
        <w:spacing w:line="600" w:lineRule="exact"/>
        <w:ind w:firstLine="640" w:firstLineChars="200"/>
        <w:rPr>
          <w:rFonts w:hint="eastAsia" w:ascii="仿宋_GB2312" w:eastAsia="仿宋_GB2312"/>
          <w:sz w:val="32"/>
          <w:szCs w:val="32"/>
        </w:rPr>
      </w:pPr>
    </w:p>
    <w:p w14:paraId="256AB97E">
      <w:pPr>
        <w:spacing w:line="600" w:lineRule="exact"/>
        <w:ind w:firstLine="640" w:firstLineChars="200"/>
        <w:rPr>
          <w:rFonts w:hint="eastAsia" w:ascii="仿宋_GB2312" w:eastAsia="仿宋_GB2312"/>
          <w:sz w:val="32"/>
          <w:szCs w:val="32"/>
        </w:rPr>
      </w:pPr>
    </w:p>
    <w:p w14:paraId="3D327EA0">
      <w:pPr>
        <w:spacing w:line="600" w:lineRule="exact"/>
        <w:ind w:firstLine="640" w:firstLineChars="200"/>
        <w:rPr>
          <w:rFonts w:hint="eastAsia" w:ascii="仿宋_GB2312" w:eastAsia="仿宋_GB2312"/>
          <w:sz w:val="32"/>
          <w:szCs w:val="32"/>
        </w:rPr>
      </w:pPr>
    </w:p>
    <w:p w14:paraId="6791161E">
      <w:pPr>
        <w:spacing w:line="600" w:lineRule="exact"/>
        <w:ind w:firstLine="640" w:firstLineChars="200"/>
        <w:rPr>
          <w:rFonts w:hint="eastAsia" w:ascii="仿宋_GB2312" w:eastAsia="仿宋_GB2312"/>
          <w:sz w:val="32"/>
          <w:szCs w:val="32"/>
        </w:rPr>
      </w:pPr>
    </w:p>
    <w:p w14:paraId="1B8FAC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lang w:val="en-US" w:eastAsia="zh-CN"/>
        </w:rPr>
      </w:pPr>
      <w:r>
        <w:rPr>
          <w:rFonts w:hint="eastAsia" w:ascii="黑体" w:hAnsi="黑体" w:eastAsia="黑体" w:cs="黑体"/>
          <w:b/>
          <w:bCs w:val="0"/>
          <w:i w:val="0"/>
          <w:iCs w:val="0"/>
          <w:caps w:val="0"/>
          <w:color w:val="auto"/>
          <w:spacing w:val="0"/>
          <w:sz w:val="32"/>
          <w:szCs w:val="32"/>
          <w:shd w:val="clear" w:color="auto" w:fill="FFFFFF"/>
          <w:lang w:val="en-US" w:eastAsia="zh-CN"/>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1132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46662857">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2E959C3F">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14:paraId="327B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1CDAB8C3">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14:paraId="3DA1650E">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108" w:type="dxa"/>
              <w:right w:w="108" w:type="dxa"/>
            </w:tcMar>
            <w:vAlign w:val="center"/>
          </w:tcPr>
          <w:p w14:paraId="328ECAF1">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108" w:type="dxa"/>
              <w:right w:w="108" w:type="dxa"/>
            </w:tcMar>
            <w:vAlign w:val="center"/>
          </w:tcPr>
          <w:p w14:paraId="49F489F2">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7A0B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46DE2303">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14:paraId="23AF9CE3">
            <w:pPr>
              <w:spacing w:line="300" w:lineRule="exact"/>
              <w:rPr>
                <w:rFonts w:ascii="方正仿宋简体" w:eastAsia="方正仿宋简体"/>
                <w:b/>
                <w:sz w:val="21"/>
                <w:szCs w:val="21"/>
              </w:rPr>
            </w:pPr>
          </w:p>
        </w:tc>
        <w:tc>
          <w:tcPr>
            <w:tcW w:w="599" w:type="dxa"/>
            <w:noWrap w:val="0"/>
            <w:tcMar>
              <w:left w:w="108" w:type="dxa"/>
              <w:right w:w="108" w:type="dxa"/>
            </w:tcMar>
            <w:vAlign w:val="center"/>
          </w:tcPr>
          <w:p w14:paraId="7D92D93E">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14:paraId="17DC57A7">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108" w:type="dxa"/>
              <w:right w:w="108" w:type="dxa"/>
            </w:tcMar>
            <w:vAlign w:val="center"/>
          </w:tcPr>
          <w:p w14:paraId="7656B7E5">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14:paraId="0B5A4079">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108" w:type="dxa"/>
              <w:right w:w="108" w:type="dxa"/>
            </w:tcMar>
            <w:vAlign w:val="center"/>
          </w:tcPr>
          <w:p w14:paraId="15EE3C3A">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108" w:type="dxa"/>
              <w:right w:w="108" w:type="dxa"/>
            </w:tcMar>
            <w:vAlign w:val="center"/>
          </w:tcPr>
          <w:p w14:paraId="2AF12B52">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108" w:type="dxa"/>
              <w:right w:w="108" w:type="dxa"/>
            </w:tcMar>
            <w:vAlign w:val="center"/>
          </w:tcPr>
          <w:p w14:paraId="7EAD7C75">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108" w:type="dxa"/>
              <w:right w:w="108" w:type="dxa"/>
            </w:tcMar>
            <w:vAlign w:val="center"/>
          </w:tcPr>
          <w:p w14:paraId="19D2C850">
            <w:pPr>
              <w:spacing w:line="300" w:lineRule="exact"/>
              <w:rPr>
                <w:rFonts w:ascii="方正仿宋简体" w:eastAsia="方正仿宋简体"/>
                <w:b/>
                <w:sz w:val="21"/>
                <w:szCs w:val="21"/>
              </w:rPr>
            </w:pPr>
          </w:p>
        </w:tc>
      </w:tr>
      <w:tr w14:paraId="5E20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350C6E8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14:paraId="506CBB72">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2</w:t>
            </w:r>
          </w:p>
        </w:tc>
        <w:tc>
          <w:tcPr>
            <w:tcW w:w="599" w:type="dxa"/>
            <w:noWrap w:val="0"/>
            <w:tcMar>
              <w:left w:w="57" w:type="dxa"/>
              <w:right w:w="57" w:type="dxa"/>
            </w:tcMar>
            <w:vAlign w:val="center"/>
          </w:tcPr>
          <w:p w14:paraId="33719F11">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33CD3B20">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4B3FF1DC">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3881C252">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2206FC7C">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0319F1A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2</w:t>
            </w:r>
          </w:p>
        </w:tc>
      </w:tr>
      <w:tr w14:paraId="2584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372D73C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14:paraId="29429ED5">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0EC1A40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64F1BEE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26CB32F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41A089D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16592AF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11BD4AF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6105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75C99630">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14:paraId="064DABB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14:paraId="5B7E3FC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6D18B77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4FA7A3F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075F421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481F794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67C7991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6CE2ABB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235A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2E501251">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14:paraId="6982E43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14:paraId="6C76669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141FBEC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1C0DFF4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021B9BB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0C88487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0A904B0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12D6ED1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5FDD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7C28C72">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1D4FE111">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14:paraId="6784270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top"/>
          </w:tcPr>
          <w:p w14:paraId="445450E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14:paraId="0956E27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14:paraId="695EF70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14:paraId="0B02A02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14:paraId="179A30B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14:paraId="3E6EE08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6FECE0F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7BBA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A65A100">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7FED9AB">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5E027CB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top"/>
          </w:tcPr>
          <w:p w14:paraId="7699E9C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14:paraId="1C307A3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14:paraId="15BDC9D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14:paraId="3B77AFA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14:paraId="1D65291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14:paraId="6BA87F2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0B4E843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7EDB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44CE8B4">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15CB41D1">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26656FF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top"/>
          </w:tcPr>
          <w:p w14:paraId="32682BC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14:paraId="035A332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14:paraId="344EDB0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14:paraId="6733290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14:paraId="632A992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14:paraId="42D800E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7C9C4E4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255F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765DC4C">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2BA34DB5">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3DDE152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top"/>
          </w:tcPr>
          <w:p w14:paraId="018F9E8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14:paraId="4109BD2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14:paraId="2847511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14:paraId="249D6C8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14:paraId="3AF8B17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14:paraId="093BDAB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508080E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0B48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B21FF61">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58C69722">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7A386B8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top"/>
          </w:tcPr>
          <w:p w14:paraId="089DCDD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14:paraId="1F9CD1F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14:paraId="2BF72FC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14:paraId="7C21079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14:paraId="5E890E4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14:paraId="7C3DA39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19B4278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4C65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21B44B2">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614EFC0">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304D1DF2">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top"/>
          </w:tcPr>
          <w:p w14:paraId="2D1E523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14:paraId="2909C88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14:paraId="7F52C22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14:paraId="1DE1DE8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14:paraId="0B20A33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14:paraId="1F4D3CA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241ABFD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44CF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DF7E53C">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4300E2C4">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239C9C0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top"/>
          </w:tcPr>
          <w:p w14:paraId="45A7499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14:paraId="316A95E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14:paraId="15C9FFA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14:paraId="01C439A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14:paraId="52ACCA1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14:paraId="3F574F1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6ED3319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7892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D974D8E">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7AD1C340">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591AEF2C">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top"/>
          </w:tcPr>
          <w:p w14:paraId="6D26738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14:paraId="30C0F66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14:paraId="57F6CE5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14:paraId="3160244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14:paraId="70B4CFF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14:paraId="7AC604D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694BE69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388F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8B679CB">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783F76BA">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14:paraId="44289E0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top"/>
          </w:tcPr>
          <w:p w14:paraId="50681B26">
            <w:pPr>
              <w:widowControl/>
              <w:spacing w:line="300" w:lineRule="exact"/>
              <w:jc w:val="center"/>
              <w:rPr>
                <w:rFonts w:hint="eastAsia" w:ascii="方正仿宋简体" w:eastAsia="方正仿宋简体"/>
                <w:b/>
                <w:sz w:val="21"/>
                <w:szCs w:val="21"/>
                <w:lang w:eastAsia="zh-CN"/>
              </w:rPr>
            </w:pPr>
            <w:r>
              <w:rPr>
                <w:rFonts w:hint="eastAsia" w:ascii="方正仿宋简体" w:eastAsia="方正仿宋简体" w:cs="Calibri"/>
                <w:b/>
                <w:sz w:val="21"/>
                <w:szCs w:val="21"/>
                <w:lang w:val="en-US" w:eastAsia="zh-CN" w:bidi="ar"/>
              </w:rPr>
              <w:t>2</w:t>
            </w:r>
          </w:p>
        </w:tc>
        <w:tc>
          <w:tcPr>
            <w:tcW w:w="599" w:type="dxa"/>
            <w:noWrap w:val="0"/>
            <w:tcMar>
              <w:left w:w="57" w:type="dxa"/>
              <w:right w:w="57" w:type="dxa"/>
            </w:tcMar>
            <w:vAlign w:val="top"/>
          </w:tcPr>
          <w:p w14:paraId="51EE6CB1">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14:paraId="69EBF34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14:paraId="4B9A0CA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14:paraId="1A644C6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14:paraId="04750A4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2DA1E2EA">
            <w:pPr>
              <w:widowControl/>
              <w:spacing w:line="300" w:lineRule="exact"/>
              <w:jc w:val="center"/>
              <w:rPr>
                <w:rFonts w:hint="eastAsia" w:ascii="方正仿宋简体" w:eastAsia="方正仿宋简体"/>
                <w:b/>
                <w:sz w:val="21"/>
                <w:szCs w:val="21"/>
                <w:lang w:eastAsia="zh-CN"/>
              </w:rPr>
            </w:pPr>
            <w:r>
              <w:rPr>
                <w:rFonts w:hint="eastAsia" w:ascii="方正仿宋简体" w:eastAsia="方正仿宋简体" w:cs="Calibri"/>
                <w:b/>
                <w:sz w:val="21"/>
                <w:szCs w:val="21"/>
                <w:lang w:val="en-US" w:eastAsia="zh-CN" w:bidi="ar"/>
              </w:rPr>
              <w:t>2</w:t>
            </w:r>
          </w:p>
        </w:tc>
      </w:tr>
      <w:tr w14:paraId="40E1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57CAE26">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532790B1">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10A7E684">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top"/>
          </w:tcPr>
          <w:p w14:paraId="43D7A60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14:paraId="3514F45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14:paraId="04BEE62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14:paraId="21C394F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14:paraId="7B46D47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14:paraId="4F7F738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24DFC4A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78B5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E2B13B9">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64796F20">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45BFE07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top"/>
          </w:tcPr>
          <w:p w14:paraId="2B631CC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14:paraId="38B6EC9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14:paraId="53D6EB8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14:paraId="4B97E37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14:paraId="426B12A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14:paraId="0C4EC4C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54D2F1E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4B86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18BFC40F">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299A306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14:paraId="69E87BE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top"/>
          </w:tcPr>
          <w:p w14:paraId="657DEE2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14:paraId="36003A1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14:paraId="2549DC0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14:paraId="68FFF5E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14:paraId="34D488E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14:paraId="40670CC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254E04F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3DF3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ABB0E57">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7A2C4D72">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7087C7BF">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top"/>
          </w:tcPr>
          <w:p w14:paraId="2ECD6AF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14:paraId="0E85166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14:paraId="261FE7B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14:paraId="716AA85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14:paraId="58D16B3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14:paraId="6F6C9F8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7A9E169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7C6C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07344E8">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201868DE">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6C90C85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top"/>
          </w:tcPr>
          <w:p w14:paraId="2193C6E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14:paraId="0D614C6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14:paraId="120229E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14:paraId="5298A29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14:paraId="66522A9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14:paraId="4487451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3C95591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6176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CAE38DB">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0B9D1AB5">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4FFB847F">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top"/>
          </w:tcPr>
          <w:p w14:paraId="702A3A8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14:paraId="5FB66FC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14:paraId="633A9FF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14:paraId="32E752A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14:paraId="6E0805C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14:paraId="28F95A8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2C3B30F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2674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355A548F">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8345CFC">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697F722C">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top"/>
          </w:tcPr>
          <w:p w14:paraId="49C3265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14:paraId="26CBD19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14:paraId="59DAF1F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14:paraId="2C8524C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14:paraId="7BAFFEA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14:paraId="54823B6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032AB4F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2C05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7990E37E">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7C78B58F">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14:paraId="21DDA276">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048C0FF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15C6B1E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00A4AC9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5BE2384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398EDBD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216CF45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078E15B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6F39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FD9C362">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59A51576">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6FE4625B">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12B2B8D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010AB54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201DEE3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3A17CF5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2A667E7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2D9EC72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75BC9C7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7763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8790A1C">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188125BF">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43745AAA">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14:paraId="3762E59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4610A0B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264E940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0CDDBDC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243C01E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05C065A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6C59DAA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14:paraId="1AA5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A309E12">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14:paraId="094BA30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14:paraId="4D8D35F4">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2</w:t>
            </w:r>
          </w:p>
        </w:tc>
        <w:tc>
          <w:tcPr>
            <w:tcW w:w="599" w:type="dxa"/>
            <w:noWrap w:val="0"/>
            <w:tcMar>
              <w:left w:w="57" w:type="dxa"/>
              <w:right w:w="57" w:type="dxa"/>
            </w:tcMar>
            <w:vAlign w:val="center"/>
          </w:tcPr>
          <w:p w14:paraId="1D9663C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6D2182F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5D1AC45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15DC49F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411F2FC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2B8E3AF6">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2</w:t>
            </w:r>
          </w:p>
        </w:tc>
      </w:tr>
      <w:tr w14:paraId="73D9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20ACB8E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14:paraId="4C2283A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14:paraId="553A9DD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14:paraId="698B8AF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14:paraId="55A1709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14:paraId="6B90290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14:paraId="6C5746B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14:paraId="5E900CD5">
            <w:pPr>
              <w:spacing w:line="300" w:lineRule="exact"/>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bl>
    <w:p w14:paraId="44E6B1BE">
      <w:pPr>
        <w:spacing w:line="600" w:lineRule="exact"/>
        <w:rPr>
          <w:rFonts w:hint="eastAsia" w:ascii="仿宋_GB2312" w:eastAsia="仿宋_GB2312"/>
          <w:b/>
          <w:bCs/>
          <w:sz w:val="32"/>
          <w:szCs w:val="32"/>
        </w:rPr>
      </w:pPr>
    </w:p>
    <w:p w14:paraId="3B009A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lang w:val="en-US" w:eastAsia="zh-CN"/>
        </w:rPr>
      </w:pPr>
      <w:r>
        <w:rPr>
          <w:rFonts w:hint="eastAsia" w:ascii="黑体" w:hAnsi="黑体" w:eastAsia="黑体" w:cs="黑体"/>
          <w:b/>
          <w:bCs w:val="0"/>
          <w:i w:val="0"/>
          <w:iCs w:val="0"/>
          <w:caps w:val="0"/>
          <w:color w:val="auto"/>
          <w:spacing w:val="0"/>
          <w:sz w:val="32"/>
          <w:szCs w:val="32"/>
          <w:shd w:val="clear" w:color="auto" w:fill="FFFFFF"/>
          <w:lang w:val="en-US" w:eastAsia="zh-CN"/>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4F28B8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7463F1C">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7115339C">
            <w:pPr>
              <w:widowControl/>
              <w:jc w:val="center"/>
              <w:rPr>
                <w:rFonts w:ascii="黑体" w:hAnsi="黑体" w:eastAsia="黑体"/>
              </w:rPr>
            </w:pPr>
            <w:r>
              <w:rPr>
                <w:rFonts w:ascii="黑体" w:hAnsi="黑体" w:eastAsia="黑体"/>
                <w:kern w:val="0"/>
                <w:sz w:val="20"/>
                <w:szCs w:val="20"/>
              </w:rPr>
              <w:t>行政诉讼</w:t>
            </w:r>
          </w:p>
        </w:tc>
      </w:tr>
      <w:tr w14:paraId="77A44A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661E44A">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1DC46997">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1BFBCA4F">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535CDC74">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7697F5E5">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0AB8C8F1">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2F94776A">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00F31686">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5C4775AD">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18434546">
            <w:pPr>
              <w:widowControl/>
              <w:jc w:val="center"/>
              <w:rPr>
                <w:rFonts w:ascii="黑体" w:hAnsi="黑体" w:eastAsia="黑体"/>
              </w:rPr>
            </w:pPr>
            <w:r>
              <w:rPr>
                <w:rFonts w:ascii="黑体" w:hAnsi="黑体" w:eastAsia="黑体"/>
                <w:kern w:val="0"/>
                <w:sz w:val="20"/>
                <w:szCs w:val="20"/>
              </w:rPr>
              <w:t>复议后起诉</w:t>
            </w:r>
          </w:p>
        </w:tc>
      </w:tr>
      <w:tr w14:paraId="68D0C9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627CBB0">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7ADACD7A">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483DA647">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4B5105B4">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402A4390">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7D500A79">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507086C">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C117D2B">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0471F485">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A6E86B1">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23561745">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04E7186">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A622327">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49655B7">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6FD2B13B">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1934531">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776B3942">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0C0CEC2">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2F1A9F3">
            <w:pPr>
              <w:widowControl/>
              <w:jc w:val="center"/>
              <w:rPr>
                <w:rFonts w:ascii="黑体" w:hAnsi="黑体" w:eastAsia="黑体"/>
              </w:rPr>
            </w:pPr>
            <w:r>
              <w:rPr>
                <w:rFonts w:ascii="黑体" w:hAnsi="黑体" w:eastAsia="黑体"/>
                <w:kern w:val="0"/>
                <w:sz w:val="20"/>
                <w:szCs w:val="20"/>
              </w:rPr>
              <w:t>总计</w:t>
            </w:r>
          </w:p>
        </w:tc>
      </w:tr>
      <w:tr w14:paraId="590863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A9FA39B">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70EACF00">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33A91714">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0D9CC0A8">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62924371">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1D5F1CB6">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7968236">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07EC768">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523375B">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DAA9E58">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3AC2050">
            <w:pPr>
              <w:widowControl/>
              <w:spacing w:after="180"/>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9913F2A">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8401381">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52722162">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4192EDA3">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bl>
    <w:p w14:paraId="378955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420" w:firstLineChars="0"/>
        <w:jc w:val="both"/>
        <w:rPr>
          <w:rFonts w:hint="eastAsia" w:ascii="黑体" w:hAnsi="黑体" w:eastAsia="黑体" w:cs="黑体"/>
          <w:b/>
          <w:bCs w:val="0"/>
          <w:i w:val="0"/>
          <w:iCs w:val="0"/>
          <w:caps w:val="0"/>
          <w:color w:val="auto"/>
          <w:spacing w:val="0"/>
          <w:sz w:val="32"/>
          <w:szCs w:val="32"/>
          <w:shd w:val="clear" w:color="auto" w:fill="FFFFFF"/>
          <w:lang w:val="en-US" w:eastAsia="zh-CN"/>
        </w:rPr>
      </w:pPr>
      <w:bookmarkStart w:id="0" w:name="_GoBack"/>
      <w:bookmarkEnd w:id="0"/>
      <w:r>
        <w:rPr>
          <w:rFonts w:hint="eastAsia" w:ascii="黑体" w:hAnsi="黑体" w:eastAsia="黑体" w:cs="黑体"/>
          <w:b/>
          <w:bCs w:val="0"/>
          <w:i w:val="0"/>
          <w:iCs w:val="0"/>
          <w:caps w:val="0"/>
          <w:color w:val="auto"/>
          <w:spacing w:val="0"/>
          <w:sz w:val="32"/>
          <w:szCs w:val="32"/>
          <w:shd w:val="clear" w:color="auto" w:fill="FFFFFF"/>
          <w:lang w:val="en-US" w:eastAsia="zh-CN"/>
        </w:rPr>
        <w:t>五、存在的主要问题及改进情况</w:t>
      </w:r>
    </w:p>
    <w:p w14:paraId="46D004CF">
      <w:pPr>
        <w:pStyle w:val="2"/>
        <w:ind w:firstLine="640"/>
        <w:jc w:val="both"/>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上年度我街道信息公开工作存在的问题已整改完成，针对信息发布不及时、内容不够全面的问题，街道建立“党政办+宣传办+部门”的“1+1+N”信息互通机制，实现党政办、宣传办与各部门之间信息资源共享，政务信息能够在第一时间通过管委会官网、新闻投稿渠道发布，确保公众能够及时获取到最新的政府信息。</w:t>
      </w:r>
    </w:p>
    <w:p w14:paraId="4119CCBE">
      <w:pPr>
        <w:pStyle w:val="2"/>
        <w:ind w:firstLine="640"/>
        <w:jc w:val="both"/>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本年度我街道还存在一些不足。一是政策解读方式不够多样，形式较为单一，栏目更新不够及时；二是信息公开覆盖面需要进一步拓展，信息公开的工作人员的业务素质和能力还需要进一步提高。下一步，我街道将按照信息公开工作要求，进一步健全制度，规范工作流程，探索信息公开的咨询服务工作，方便公众查阅、申请、获取信息，提高信息发布频率和质量，提升政策解读质量；加强政务公开的范围、内容、格式以及规范流程等方面的培训，不断提高工作人员的思想认识和能力水平，不断加强扩大公开信息的覆盖面，确保公开信息的完整性和准确性，充分发挥信息公开的便民作用。</w:t>
      </w:r>
    </w:p>
    <w:p w14:paraId="7C1D5F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rPr>
      </w:pPr>
      <w:r>
        <w:rPr>
          <w:rFonts w:hint="eastAsia" w:ascii="黑体" w:hAnsi="黑体" w:eastAsia="黑体" w:cs="黑体"/>
          <w:b/>
          <w:bCs w:val="0"/>
          <w:i w:val="0"/>
          <w:iCs w:val="0"/>
          <w:caps w:val="0"/>
          <w:color w:val="auto"/>
          <w:spacing w:val="0"/>
          <w:sz w:val="32"/>
          <w:szCs w:val="32"/>
          <w:shd w:val="clear" w:color="auto" w:fill="FFFFFF"/>
        </w:rPr>
        <w:t>六、其他需要报告的事项</w:t>
      </w:r>
    </w:p>
    <w:p w14:paraId="3BC8A33A">
      <w:pPr>
        <w:numPr>
          <w:ilvl w:val="0"/>
          <w:numId w:val="2"/>
        </w:numPr>
        <w:ind w:left="-13" w:leftChars="0" w:firstLine="643" w:firstLineChars="0"/>
        <w:rPr>
          <w:rStyle w:val="6"/>
          <w:rFonts w:hint="eastAsia" w:ascii="方正楷体简体" w:hAnsi="方正楷体简体" w:eastAsia="方正楷体简体" w:cs="方正楷体简体"/>
          <w:b/>
          <w:bCs w:val="0"/>
          <w:i w:val="0"/>
          <w:iCs w:val="0"/>
          <w:caps w:val="0"/>
          <w:color w:val="auto"/>
          <w:spacing w:val="0"/>
          <w:sz w:val="32"/>
          <w:szCs w:val="32"/>
          <w:lang w:val="en-US" w:eastAsia="zh-CN"/>
        </w:rPr>
      </w:pPr>
      <w:r>
        <w:rPr>
          <w:rStyle w:val="6"/>
          <w:rFonts w:hint="eastAsia" w:ascii="方正楷体简体" w:hAnsi="方正楷体简体" w:eastAsia="方正楷体简体" w:cs="方正楷体简体"/>
          <w:b/>
          <w:bCs w:val="0"/>
          <w:i w:val="0"/>
          <w:iCs w:val="0"/>
          <w:caps w:val="0"/>
          <w:color w:val="auto"/>
          <w:spacing w:val="0"/>
          <w:sz w:val="32"/>
          <w:szCs w:val="32"/>
          <w:lang w:eastAsia="zh-CN"/>
        </w:rPr>
        <w:t>依据《政府信息公开信息处理费管理办法》收取信息处理费的情况需在此专门报告：</w:t>
      </w:r>
    </w:p>
    <w:p w14:paraId="1D2AD6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本年度无收取信息处理费情况。</w:t>
      </w:r>
    </w:p>
    <w:p w14:paraId="694D3852">
      <w:pPr>
        <w:spacing w:line="600" w:lineRule="exact"/>
        <w:ind w:firstLine="643" w:firstLineChars="200"/>
        <w:rPr>
          <w:rFonts w:hint="eastAsia" w:ascii="仿宋_GB2312" w:eastAsia="仿宋_GB2312"/>
          <w:sz w:val="32"/>
          <w:szCs w:val="32"/>
        </w:rPr>
      </w:pPr>
      <w:r>
        <w:rPr>
          <w:rStyle w:val="6"/>
          <w:rFonts w:hint="eastAsia" w:ascii="方正楷体简体" w:hAnsi="方正楷体简体" w:eastAsia="方正楷体简体" w:cs="方正楷体简体"/>
          <w:b/>
          <w:bCs w:val="0"/>
          <w:i w:val="0"/>
          <w:iCs w:val="0"/>
          <w:caps w:val="0"/>
          <w:color w:val="auto"/>
          <w:spacing w:val="0"/>
          <w:sz w:val="32"/>
          <w:szCs w:val="32"/>
          <w:lang w:val="en-US" w:eastAsia="zh-CN"/>
        </w:rPr>
        <w:t>（二）本行政机关落实上级年度政务公开工作要点情况</w:t>
      </w:r>
      <w:r>
        <w:rPr>
          <w:rFonts w:hint="eastAsia" w:ascii="方正仿宋简体" w:hAnsi="方正仿宋简体" w:eastAsia="方正仿宋简体" w:cs="方正仿宋简体"/>
          <w:sz w:val="32"/>
          <w:szCs w:val="32"/>
          <w:lang w:val="en-US" w:eastAsia="zh-CN"/>
        </w:rPr>
        <w:t>：</w:t>
      </w:r>
    </w:p>
    <w:p w14:paraId="4E9359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2024年，黄屯街道始终坚持以公开为常态、不公开为例外的原则，积极贯彻落实上级关于政务公开的各项决策部署，全面推进政务公开工作，不断提高政务公开的质量和效率。现将工作要点情况报告如下：通过加强组织领导、完善制度建设、强化信息公开和优化政务服务等措施，街道的政务公开水平得到了显著提升。加强对工作人员的业务培训，提高政务公开工作的专业水平和能力。同时，通过为民演出方式加大宣传力度，提高群众对政务公开的知晓度和参与度。在为民服务中心、社区等场所设立了政务公开专区，提供便捷的线下查询和咨询服务。</w:t>
      </w:r>
    </w:p>
    <w:p w14:paraId="4952021F">
      <w:pPr>
        <w:pStyle w:val="2"/>
        <w:numPr>
          <w:ilvl w:val="0"/>
          <w:numId w:val="0"/>
        </w:numPr>
        <w:ind w:firstLine="643" w:firstLineChars="200"/>
        <w:jc w:val="both"/>
        <w:rPr>
          <w:rStyle w:val="6"/>
          <w:rFonts w:hint="eastAsia" w:ascii="方正楷体简体" w:hAnsi="方正楷体简体" w:eastAsia="方正楷体简体" w:cs="方正楷体简体"/>
          <w:bCs w:val="0"/>
          <w:i w:val="0"/>
          <w:iCs w:val="0"/>
          <w:caps w:val="0"/>
          <w:color w:val="auto"/>
          <w:spacing w:val="0"/>
          <w:kern w:val="2"/>
          <w:sz w:val="32"/>
          <w:szCs w:val="32"/>
          <w:lang w:val="en-US" w:eastAsia="zh-CN" w:bidi="ar-SA"/>
        </w:rPr>
      </w:pPr>
      <w:r>
        <w:rPr>
          <w:rStyle w:val="6"/>
          <w:rFonts w:hint="eastAsia" w:ascii="方正楷体简体" w:hAnsi="方正楷体简体" w:eastAsia="方正楷体简体" w:cs="方正楷体简体"/>
          <w:bCs w:val="0"/>
          <w:i w:val="0"/>
          <w:iCs w:val="0"/>
          <w:caps w:val="0"/>
          <w:color w:val="auto"/>
          <w:spacing w:val="0"/>
          <w:kern w:val="2"/>
          <w:sz w:val="32"/>
          <w:szCs w:val="32"/>
          <w:lang w:val="en-US" w:eastAsia="zh-CN" w:bidi="ar-SA"/>
        </w:rPr>
        <w:t>（三）本行政机关人大代表建议和政协提案办理结果公开情况：</w:t>
      </w:r>
    </w:p>
    <w:p w14:paraId="3BDDB4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pP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2024年未收到人大代表建议和政协提案。</w:t>
      </w:r>
    </w:p>
    <w:p w14:paraId="4A8001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sz w:val="32"/>
          <w:szCs w:val="32"/>
          <w:lang w:val="en-US" w:eastAsia="zh-CN"/>
        </w:rPr>
      </w:pPr>
      <w:r>
        <w:rPr>
          <w:rStyle w:val="6"/>
          <w:rFonts w:hint="eastAsia" w:ascii="方正楷体简体" w:hAnsi="方正楷体简体" w:eastAsia="方正楷体简体" w:cs="方正楷体简体"/>
          <w:bCs w:val="0"/>
          <w:i w:val="0"/>
          <w:iCs w:val="0"/>
          <w:caps w:val="0"/>
          <w:color w:val="auto"/>
          <w:spacing w:val="0"/>
          <w:kern w:val="2"/>
          <w:sz w:val="32"/>
          <w:szCs w:val="32"/>
          <w:lang w:val="en-US" w:eastAsia="zh-CN" w:bidi="ar-SA"/>
        </w:rPr>
        <w:t>（四）其他有关文件专门要求通过政府信息公开工作年度报告予以报告的事项：</w:t>
      </w:r>
      <w:r>
        <w:rPr>
          <w:rStyle w:val="6"/>
          <w:rFonts w:hint="eastAsia" w:ascii="方正仿宋简体" w:hAnsi="方正仿宋简体" w:eastAsia="方正仿宋简体" w:cs="方正仿宋简体"/>
          <w:bCs w:val="0"/>
          <w:i w:val="0"/>
          <w:iCs w:val="0"/>
          <w:caps w:val="0"/>
          <w:color w:val="auto"/>
          <w:spacing w:val="0"/>
          <w:kern w:val="2"/>
          <w:sz w:val="32"/>
          <w:szCs w:val="32"/>
          <w:lang w:val="en-US" w:eastAsia="zh-CN" w:bidi="ar-S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14CF29-FE30-4CDD-9187-D7944E5FFF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7E93437A-5A7E-4E44-B3E1-37A0A8C5BDE9}"/>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A824AE29-FFBC-42F4-B093-4DC042F83606}"/>
  </w:font>
  <w:font w:name="微软雅黑">
    <w:panose1 w:val="020B0503020204020204"/>
    <w:charset w:val="86"/>
    <w:family w:val="auto"/>
    <w:pitch w:val="default"/>
    <w:sig w:usb0="80000287" w:usb1="2ACF3C50"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A0E5F09A-5C97-46ED-BC00-555982EB7DF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E6D5E"/>
    <w:multiLevelType w:val="singleLevel"/>
    <w:tmpl w:val="FACE6D5E"/>
    <w:lvl w:ilvl="0" w:tentative="0">
      <w:start w:val="1"/>
      <w:numFmt w:val="chineseCounting"/>
      <w:suff w:val="nothing"/>
      <w:lvlText w:val="（%1）"/>
      <w:lvlJc w:val="left"/>
      <w:pPr>
        <w:ind w:left="-13"/>
      </w:pPr>
      <w:rPr>
        <w:rFonts w:hint="eastAsia"/>
      </w:rPr>
    </w:lvl>
  </w:abstractNum>
  <w:abstractNum w:abstractNumId="1">
    <w:nsid w:val="59E714A2"/>
    <w:multiLevelType w:val="singleLevel"/>
    <w:tmpl w:val="59E714A2"/>
    <w:lvl w:ilvl="0" w:tentative="0">
      <w:start w:val="1"/>
      <w:numFmt w:val="chineseCounting"/>
      <w:suff w:val="nothing"/>
      <w:lvlText w:val="（%1）"/>
      <w:lvlJc w:val="left"/>
      <w:pPr>
        <w:ind w:left="-1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NmRiYzY3N2YwMjBiMTQ0M2NlMWQ0YjEwYTk5ODkifQ=="/>
  </w:docVars>
  <w:rsids>
    <w:rsidRoot w:val="00000000"/>
    <w:rsid w:val="000F5645"/>
    <w:rsid w:val="005574FC"/>
    <w:rsid w:val="0079642C"/>
    <w:rsid w:val="0137560B"/>
    <w:rsid w:val="01604B5B"/>
    <w:rsid w:val="022A3F00"/>
    <w:rsid w:val="023D75A8"/>
    <w:rsid w:val="049038AD"/>
    <w:rsid w:val="056F2E0E"/>
    <w:rsid w:val="07027CB2"/>
    <w:rsid w:val="07247C28"/>
    <w:rsid w:val="0815128C"/>
    <w:rsid w:val="08D00067"/>
    <w:rsid w:val="09336848"/>
    <w:rsid w:val="09485AA4"/>
    <w:rsid w:val="0A0F2E11"/>
    <w:rsid w:val="0B484618"/>
    <w:rsid w:val="0DD423A8"/>
    <w:rsid w:val="10BB784F"/>
    <w:rsid w:val="10C52016"/>
    <w:rsid w:val="11210E07"/>
    <w:rsid w:val="11866388"/>
    <w:rsid w:val="12BB58E4"/>
    <w:rsid w:val="13983E78"/>
    <w:rsid w:val="13C25949"/>
    <w:rsid w:val="18512847"/>
    <w:rsid w:val="18527DFF"/>
    <w:rsid w:val="185837F3"/>
    <w:rsid w:val="188B7B07"/>
    <w:rsid w:val="189B0934"/>
    <w:rsid w:val="19BC1F42"/>
    <w:rsid w:val="1AAD645B"/>
    <w:rsid w:val="1BF03704"/>
    <w:rsid w:val="1D8E3BF5"/>
    <w:rsid w:val="1DCA7323"/>
    <w:rsid w:val="1F470500"/>
    <w:rsid w:val="1F4E2367"/>
    <w:rsid w:val="1F5A6485"/>
    <w:rsid w:val="24264CE8"/>
    <w:rsid w:val="24CA5E5B"/>
    <w:rsid w:val="26AB75C6"/>
    <w:rsid w:val="26C64400"/>
    <w:rsid w:val="28477121"/>
    <w:rsid w:val="2A6F3035"/>
    <w:rsid w:val="2B0437B7"/>
    <w:rsid w:val="2CE22C31"/>
    <w:rsid w:val="2D83129D"/>
    <w:rsid w:val="2EC568C9"/>
    <w:rsid w:val="306058C5"/>
    <w:rsid w:val="31663272"/>
    <w:rsid w:val="32430FFB"/>
    <w:rsid w:val="32E35C1B"/>
    <w:rsid w:val="33136C1F"/>
    <w:rsid w:val="33C1667B"/>
    <w:rsid w:val="33F93E01"/>
    <w:rsid w:val="34805571"/>
    <w:rsid w:val="34E63841"/>
    <w:rsid w:val="355A7397"/>
    <w:rsid w:val="35CD1B1A"/>
    <w:rsid w:val="3769147A"/>
    <w:rsid w:val="39704131"/>
    <w:rsid w:val="3CAC16A4"/>
    <w:rsid w:val="3EB43064"/>
    <w:rsid w:val="422C1A6D"/>
    <w:rsid w:val="45322F35"/>
    <w:rsid w:val="468A6DA0"/>
    <w:rsid w:val="46CB53EF"/>
    <w:rsid w:val="475F022D"/>
    <w:rsid w:val="493D3565"/>
    <w:rsid w:val="4A5B2F2E"/>
    <w:rsid w:val="4A761FF3"/>
    <w:rsid w:val="4AEC7B77"/>
    <w:rsid w:val="4BE40D01"/>
    <w:rsid w:val="4D2910C1"/>
    <w:rsid w:val="4EE51018"/>
    <w:rsid w:val="501A73E7"/>
    <w:rsid w:val="54F40207"/>
    <w:rsid w:val="55760C1C"/>
    <w:rsid w:val="57415259"/>
    <w:rsid w:val="57F10A2D"/>
    <w:rsid w:val="5AA71877"/>
    <w:rsid w:val="5AE14EF2"/>
    <w:rsid w:val="5BD55CFD"/>
    <w:rsid w:val="5CE24DE9"/>
    <w:rsid w:val="5D6B4CA4"/>
    <w:rsid w:val="5E06122B"/>
    <w:rsid w:val="5F2516A8"/>
    <w:rsid w:val="61D92C5E"/>
    <w:rsid w:val="640204E5"/>
    <w:rsid w:val="65045DC9"/>
    <w:rsid w:val="660D7298"/>
    <w:rsid w:val="67703E71"/>
    <w:rsid w:val="693B7D5A"/>
    <w:rsid w:val="6A9A31A7"/>
    <w:rsid w:val="6AAE27AE"/>
    <w:rsid w:val="6D642862"/>
    <w:rsid w:val="6DC5678C"/>
    <w:rsid w:val="6FDE58E3"/>
    <w:rsid w:val="70661FBB"/>
    <w:rsid w:val="709328D5"/>
    <w:rsid w:val="70F7030B"/>
    <w:rsid w:val="71023201"/>
    <w:rsid w:val="720158B9"/>
    <w:rsid w:val="740F3592"/>
    <w:rsid w:val="75427D87"/>
    <w:rsid w:val="756E2EFD"/>
    <w:rsid w:val="75BF18E9"/>
    <w:rsid w:val="78571B1D"/>
    <w:rsid w:val="79B76A3F"/>
    <w:rsid w:val="7A2756A8"/>
    <w:rsid w:val="7BBA0FB3"/>
    <w:rsid w:val="7C5A24D1"/>
    <w:rsid w:val="7EEC2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rFonts w:eastAsia="方正小标宋简体"/>
      <w:sz w:val="36"/>
      <w:lang w:val="en-US" w:eastAsia="zh-CN"/>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6" Type="http://schemas.microsoft.com/office/2011/relationships/chartColorStyle" Target="colors2.xml"/><Relationship Id="rId5" Type="http://schemas.microsoft.com/office/2011/relationships/chartStyle" Target="style2.xml"/><Relationship Id="rId4" Type="http://schemas.openxmlformats.org/officeDocument/2006/relationships/image" Target="../media/image2.png"/><Relationship Id="rId3" Type="http://schemas.openxmlformats.org/officeDocument/2006/relationships/image" Target="../media/image1.png"/><Relationship Id="rId2" Type="http://schemas.openxmlformats.org/officeDocument/2006/relationships/themeOverride" Target="../theme/themeOverrid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政务公开</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[工作簿2]Sheet1!$A$1:$A$6</c:f>
              <c:strCache>
                <c:ptCount val="6"/>
                <c:pt idx="0">
                  <c:v>现场处理</c:v>
                </c:pt>
                <c:pt idx="1">
                  <c:v>政策文件</c:v>
                </c:pt>
                <c:pt idx="2">
                  <c:v>政策解读</c:v>
                </c:pt>
                <c:pt idx="3">
                  <c:v>会议</c:v>
                </c:pt>
                <c:pt idx="4">
                  <c:v>重点领域信息</c:v>
                </c:pt>
                <c:pt idx="5">
                  <c:v>其他信息</c:v>
                </c:pt>
              </c:strCache>
            </c:strRef>
          </c:cat>
          <c:val>
            <c:numRef>
              <c:f>[工作簿2]Sheet1!$B$1:$B$6</c:f>
              <c:numCache>
                <c:formatCode>General</c:formatCode>
                <c:ptCount val="6"/>
                <c:pt idx="0">
                  <c:v>46</c:v>
                </c:pt>
                <c:pt idx="1">
                  <c:v>2</c:v>
                </c:pt>
                <c:pt idx="2">
                  <c:v>2</c:v>
                </c:pt>
                <c:pt idx="3">
                  <c:v>12</c:v>
                </c:pt>
                <c:pt idx="4">
                  <c:v>39</c:v>
                </c:pt>
                <c:pt idx="5">
                  <c:v>67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6526a64b-6f17-4e4b-a8df-4ea878da36f3}"/>
      </c:ext>
    </c:extLst>
  </c:chart>
  <c:spPr>
    <a:noFill/>
    <a:ln w="6350" cap="flat" cmpd="sng" algn="ctr">
      <a:solidFill>
        <a:schemeClr val="tx1">
          <a:lumMod val="50000"/>
          <a:lumOff val="50000"/>
          <a:alpha val="2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例年依申请公开情况</a:t>
            </a:r>
          </a:p>
        </c:rich>
      </c:tx>
      <c:layout/>
      <c:overlay val="0"/>
      <c:spPr>
        <a:noFill/>
        <a:ln>
          <a:noFill/>
        </a:ln>
        <a:effectLst/>
      </c:spPr>
    </c:title>
    <c:autoTitleDeleted val="0"/>
    <c:plotArea>
      <c:layout/>
      <c:barChart>
        <c:barDir val="col"/>
        <c:grouping val="clustered"/>
        <c:varyColors val="0"/>
        <c:ser>
          <c:idx val="0"/>
          <c:order val="0"/>
          <c:spPr>
            <a:blipFill rotWithShape="1">
              <a:blip xmlns:r="http://schemas.openxmlformats.org/officeDocument/2006/relationships" r:embed="rId3">
                <a:duotone>
                  <a:schemeClr val="accent1"/>
                  <a:prstClr val="white"/>
                </a:duotone>
              </a:blip>
              <a:stretch>
                <a:fillRect/>
              </a:stretch>
            </a:blipFill>
            <a:ln>
              <a:noFill/>
            </a:ln>
            <a:effectLst>
              <a:outerShdw blurRad="76200" dir="18900000" sy="23000" kx="-1200000" algn="bl" rotWithShape="0">
                <a:prstClr val="black">
                  <a:alpha val="10000"/>
                </a:prstClr>
              </a:outerShdw>
            </a:effectLst>
          </c:spPr>
          <c:invertIfNegative val="0"/>
          <c:dPt>
            <c:idx val="0"/>
            <c:invertIfNegative val="0"/>
            <c:bubble3D val="0"/>
            <c:spPr>
              <a:blipFill rotWithShape="1">
                <a:blip xmlns:r="http://schemas.openxmlformats.org/officeDocument/2006/relationships" r:embed="rId4">
                  <a:duotone>
                    <a:schemeClr val="accent1"/>
                    <a:prstClr val="white"/>
                  </a:duotone>
                </a:blip>
                <a:stretch>
                  <a:fillRect/>
                </a:stretch>
              </a:blipFill>
              <a:ln>
                <a:noFill/>
              </a:ln>
              <a:effectLst>
                <a:outerShdw blurRad="76200" dir="18900000" sy="23000" kx="-1200000" algn="bl" rotWithShape="0">
                  <a:prstClr val="black">
                    <a:alpha val="10000"/>
                  </a:prstClr>
                </a:outerShdw>
              </a:effectLst>
            </c:spPr>
          </c:dPt>
          <c:dPt>
            <c:idx val="1"/>
            <c:invertIfNegative val="0"/>
            <c:bubble3D val="0"/>
            <c:spPr>
              <a:blipFill rotWithShape="1">
                <a:blip xmlns:r="http://schemas.openxmlformats.org/officeDocument/2006/relationships" r:embed="rId4">
                  <a:duotone>
                    <a:schemeClr val="accent2"/>
                    <a:prstClr val="white"/>
                  </a:duotone>
                </a:blip>
                <a:stretch>
                  <a:fillRect/>
                </a:stretch>
              </a:blipFill>
              <a:ln>
                <a:noFill/>
              </a:ln>
              <a:effectLst>
                <a:outerShdw blurRad="76200" dir="18900000" sy="23000" kx="-1200000" algn="bl" rotWithShape="0">
                  <a:prstClr val="black">
                    <a:alpha val="10000"/>
                  </a:prstClr>
                </a:outerShdw>
              </a:effectLst>
            </c:spPr>
          </c:dPt>
          <c:dPt>
            <c:idx val="2"/>
            <c:invertIfNegative val="0"/>
            <c:bubble3D val="0"/>
            <c:spPr>
              <a:blipFill rotWithShape="1">
                <a:blip xmlns:r="http://schemas.openxmlformats.org/officeDocument/2006/relationships" r:embed="rId4">
                  <a:duotone>
                    <a:schemeClr val="accent3"/>
                    <a:prstClr val="white"/>
                  </a:duotone>
                </a:blip>
                <a:stretch>
                  <a:fillRect/>
                </a:stretch>
              </a:blipFill>
              <a:ln>
                <a:noFill/>
              </a:ln>
              <a:effectLst>
                <a:outerShdw blurRad="76200" dir="18900000" sy="23000" kx="-1200000" algn="bl" rotWithShape="0">
                  <a:prstClr val="black">
                    <a:alpha val="10000"/>
                  </a:prstClr>
                </a:outerShdw>
              </a:effectLst>
            </c:spPr>
          </c:dPt>
          <c:dPt>
            <c:idx val="3"/>
            <c:invertIfNegative val="0"/>
            <c:bubble3D val="0"/>
            <c:spPr>
              <a:blipFill rotWithShape="1">
                <a:blip xmlns:r="http://schemas.openxmlformats.org/officeDocument/2006/relationships" r:embed="rId4">
                  <a:duotone>
                    <a:schemeClr val="accent4"/>
                    <a:prstClr val="white"/>
                  </a:duotone>
                </a:blip>
                <a:stretch>
                  <a:fillRect/>
                </a:stretch>
              </a:blipFill>
              <a:ln>
                <a:noFill/>
              </a:ln>
              <a:effectLst>
                <a:outerShdw blurRad="76200" dir="18900000" sy="23000" kx="-1200000" algn="bl" rotWithShape="0">
                  <a:prstClr val="black">
                    <a:alpha val="10000"/>
                  </a:prstClr>
                </a:outerShdw>
              </a:effectLst>
            </c:spPr>
          </c:dPt>
          <c:dPt>
            <c:idx val="4"/>
            <c:invertIfNegative val="0"/>
            <c:bubble3D val="0"/>
            <c:spPr>
              <a:blipFill rotWithShape="1">
                <a:blip xmlns:r="http://schemas.openxmlformats.org/officeDocument/2006/relationships" r:embed="rId4">
                  <a:duotone>
                    <a:schemeClr val="accent5"/>
                    <a:prstClr val="white"/>
                  </a:duotone>
                </a:blip>
                <a:stretch>
                  <a:fillRect/>
                </a:stretch>
              </a:blipFill>
              <a:ln>
                <a:noFill/>
              </a:ln>
              <a:effectLst>
                <a:outerShdw blurRad="76200" dir="18900000" sy="23000" kx="-1200000" algn="bl" rotWithShape="0">
                  <a:prstClr val="black">
                    <a:alpha val="10000"/>
                  </a:prstClr>
                </a:outerShdw>
              </a:effectLst>
            </c:spPr>
          </c:dPt>
          <c:dPt>
            <c:idx val="5"/>
            <c:invertIfNegative val="0"/>
            <c:bubble3D val="0"/>
            <c:spPr>
              <a:blipFill rotWithShape="1">
                <a:blip xmlns:r="http://schemas.openxmlformats.org/officeDocument/2006/relationships" r:embed="rId4">
                  <a:duotone>
                    <a:schemeClr val="accent6"/>
                    <a:prstClr val="white"/>
                  </a:duotone>
                </a:blip>
                <a:stretch>
                  <a:fillRect/>
                </a:stretch>
              </a:blipFill>
              <a:ln>
                <a:noFill/>
              </a:ln>
              <a:effectLst>
                <a:outerShdw blurRad="76200" dir="18900000" sy="23000" kx="-1200000" algn="bl" rotWithShape="0">
                  <a:prstClr val="black">
                    <a:alpha val="10000"/>
                  </a:prstClr>
                </a:outerShdw>
              </a:effectLst>
            </c:spPr>
          </c:dPt>
          <c:dLbls>
            <c:dLbl>
              <c:idx val="0"/>
              <c:layout/>
              <c:numFmt formatCode="General" sourceLinked="1"/>
              <c:spPr>
                <a:solidFill>
                  <a:schemeClr val="accent1"/>
                </a:solidFill>
                <a:ln>
                  <a:noFill/>
                </a:ln>
                <a:effectLst/>
              </c:spPr>
              <c:txPr>
                <a:bodyPr rot="0" spcFirstLastPara="0" vertOverflow="ellipsis" vert="horz" wrap="square" lIns="39370" tIns="0" rIns="38100" bIns="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solidFill>
                  <a:schemeClr val="accent2"/>
                </a:solidFill>
                <a:ln>
                  <a:noFill/>
                </a:ln>
                <a:effectLst/>
              </c:spPr>
              <c:txPr>
                <a:bodyPr rot="0" spcFirstLastPara="0" vertOverflow="ellipsis" vert="horz" wrap="square" lIns="39370" tIns="0" rIns="38100" bIns="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solidFill>
                  <a:schemeClr val="accent3"/>
                </a:solidFill>
                <a:ln>
                  <a:noFill/>
                </a:ln>
                <a:effectLst/>
              </c:spPr>
              <c:txPr>
                <a:bodyPr rot="0" spcFirstLastPara="0" vertOverflow="ellipsis" vert="horz" wrap="square" lIns="39370" tIns="0" rIns="38100" bIns="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numFmt formatCode="General" sourceLinked="1"/>
              <c:spPr>
                <a:solidFill>
                  <a:schemeClr val="accent4"/>
                </a:solidFill>
                <a:ln>
                  <a:noFill/>
                </a:ln>
                <a:effectLst/>
              </c:spPr>
              <c:txPr>
                <a:bodyPr rot="0" spcFirstLastPara="0" vertOverflow="ellipsis" vert="horz" wrap="square" lIns="39370" tIns="0" rIns="38100" bIns="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4"/>
              <c:layout/>
              <c:numFmt formatCode="General" sourceLinked="1"/>
              <c:spPr>
                <a:solidFill>
                  <a:schemeClr val="accent5"/>
                </a:solidFill>
                <a:ln>
                  <a:noFill/>
                </a:ln>
                <a:effectLst/>
              </c:spPr>
              <c:txPr>
                <a:bodyPr rot="0" spcFirstLastPara="0" vertOverflow="ellipsis" vert="horz" wrap="square" lIns="39370" tIns="0" rIns="38100" bIns="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5"/>
              <c:layout/>
              <c:numFmt formatCode="General" sourceLinked="1"/>
              <c:spPr>
                <a:solidFill>
                  <a:schemeClr val="accent6"/>
                </a:solidFill>
                <a:ln>
                  <a:noFill/>
                </a:ln>
                <a:effectLst/>
              </c:spPr>
              <c:txPr>
                <a:bodyPr rot="0" spcFirstLastPara="0" vertOverflow="ellipsis" vert="horz" wrap="square" lIns="39370" tIns="0" rIns="38100" bIns="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9370" tIns="0" rIns="38100" bIns="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[工作簿1]Sheet1!$A$1:$A$6</c:f>
              <c:strCache>
                <c:ptCount val="6"/>
                <c:pt idx="0">
                  <c:v>2019年</c:v>
                </c:pt>
                <c:pt idx="1">
                  <c:v>2020年</c:v>
                </c:pt>
                <c:pt idx="2">
                  <c:v>2021年</c:v>
                </c:pt>
                <c:pt idx="3">
                  <c:v>2022年</c:v>
                </c:pt>
                <c:pt idx="4">
                  <c:v>2023年</c:v>
                </c:pt>
                <c:pt idx="5">
                  <c:v>2024年</c:v>
                </c:pt>
              </c:strCache>
            </c:strRef>
          </c:cat>
          <c:val>
            <c:numRef>
              <c:f>[工作簿1]Sheet1!$B$1:$B$6</c:f>
              <c:numCache>
                <c:formatCode>General</c:formatCode>
                <c:ptCount val="6"/>
                <c:pt idx="0">
                  <c:v>0</c:v>
                </c:pt>
                <c:pt idx="1">
                  <c:v>0</c:v>
                </c:pt>
                <c:pt idx="2">
                  <c:v>0</c:v>
                </c:pt>
                <c:pt idx="3">
                  <c:v>0</c:v>
                </c:pt>
                <c:pt idx="4">
                  <c:v>1</c:v>
                </c:pt>
                <c:pt idx="5">
                  <c:v>2</c:v>
                </c:pt>
              </c:numCache>
            </c:numRef>
          </c:val>
        </c:ser>
        <c:dLbls>
          <c:showLegendKey val="0"/>
          <c:showVal val="1"/>
          <c:showCatName val="0"/>
          <c:showSerName val="0"/>
          <c:showPercent val="0"/>
          <c:showBubbleSize val="0"/>
        </c:dLbls>
        <c:gapWidth val="152"/>
        <c:overlap val="-21"/>
        <c:axId val="886800465"/>
        <c:axId val="946238379"/>
      </c:barChart>
      <c:catAx>
        <c:axId val="886800465"/>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46238379"/>
        <c:crosses val="autoZero"/>
        <c:auto val="1"/>
        <c:lblAlgn val="ctr"/>
        <c:lblOffset val="100"/>
        <c:noMultiLvlLbl val="0"/>
      </c:catAx>
      <c:valAx>
        <c:axId val="946238379"/>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88680046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51ee2c5c-4334-459d-ab4c-dd44009e23c3}"/>
      </c:ext>
    </c:extLst>
  </c:chart>
  <c:spPr>
    <a:noFill/>
    <a:ln w="6350" cap="flat" cmpd="sng" algn="ctr">
      <a:solidFill>
        <a:schemeClr val="tx1">
          <a:lumMod val="50000"/>
          <a:lumOff val="50000"/>
          <a:alpha val="2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自定义 11">
    <a:dk1>
      <a:srgbClr val="000000"/>
    </a:dk1>
    <a:lt1>
      <a:srgbClr val="FFFFFF"/>
    </a:lt1>
    <a:dk2>
      <a:srgbClr val="0E2841"/>
    </a:dk2>
    <a:lt2>
      <a:srgbClr val="E8E8E8"/>
    </a:lt2>
    <a:accent1>
      <a:srgbClr val="0FB0C8"/>
    </a:accent1>
    <a:accent2>
      <a:srgbClr val="FCA768"/>
    </a:accent2>
    <a:accent3>
      <a:srgbClr val="F96F7C"/>
    </a:accent3>
    <a:accent4>
      <a:srgbClr val="8AB1E6"/>
    </a:accent4>
    <a:accent5>
      <a:srgbClr val="FFD13F"/>
    </a:accent5>
    <a:accent6>
      <a:srgbClr val="E18FD7"/>
    </a:accent6>
    <a:hlink>
      <a:srgbClr val="467886"/>
    </a:hlink>
    <a:folHlink>
      <a:srgbClr val="96607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7</Pages>
  <Words>2863</Words>
  <Characters>2957</Characters>
  <Lines>0</Lines>
  <Paragraphs>0</Paragraphs>
  <TotalTime>4</TotalTime>
  <ScaleCrop>false</ScaleCrop>
  <LinksUpToDate>false</LinksUpToDate>
  <CharactersWithSpaces>3155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2024-01-15T08:00:00Z</dcterms:created>
  <dc:creator>92814</dc:creator>
  <cp:lastModifiedBy>糖炒栗子 ້໌ᮨ</cp:lastModifiedBy>
  <dcterms:modified xsi:type="dcterms:W3CDTF">2025-01-24T09:26:45Z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400B7CE264954BA7B125E4C41468938B_13</vt:lpwstr>
  </property>
  <property fmtid="{D5CDD505-2E9C-101B-9397-08002B2CF9AE}" pid="4" name="KSOTemplateDocerSaveRecord">
    <vt:lpwstr>eyJoZGlkIjoiZjYwNTBlYjNmNzUyNmFhNDZlNTJhOTFjOWM3OWY2ODYiLCJ1c2VySWQiOiIxMTQ4NjcwNDAzIn0=</vt:lpwstr>
  </property>
</Properties>
</file>