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方正黑体简体" w:hAnsi="方正黑体简体" w:eastAsia="方正黑体简体" w:cs="方正黑体简体"/>
          <w:color w:val="000000" w:themeColor="text1"/>
          <w:kern w:val="21"/>
          <w:sz w:val="32"/>
          <w:szCs w:val="32"/>
        </w:rPr>
      </w:pPr>
      <w:r>
        <w:rPr>
          <w:rFonts w:hint="eastAsia" w:ascii="方正黑体简体" w:hAnsi="方正黑体简体" w:eastAsia="方正黑体简体" w:cs="方正黑体简体"/>
          <w:color w:val="000000" w:themeColor="text1"/>
          <w:kern w:val="21"/>
          <w:sz w:val="32"/>
          <w:szCs w:val="32"/>
        </w:rPr>
        <w:t>GXDR-2020-002002</w:t>
      </w: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440" w:lineRule="exact"/>
        <w:rPr>
          <w:rFonts w:ascii="方正仿宋简体" w:eastAsia="方正仿宋简体"/>
          <w:color w:val="000000" w:themeColor="text1"/>
          <w:sz w:val="32"/>
          <w:szCs w:val="32"/>
        </w:rPr>
      </w:pPr>
    </w:p>
    <w:p>
      <w:pPr>
        <w:spacing w:line="560" w:lineRule="exact"/>
        <w:rPr>
          <w:rFonts w:ascii="方正仿宋简体" w:eastAsia="方正仿宋简体"/>
          <w:color w:val="000000" w:themeColor="text1"/>
          <w:sz w:val="32"/>
          <w:szCs w:val="32"/>
        </w:rPr>
      </w:pPr>
    </w:p>
    <w:p>
      <w:pPr>
        <w:rPr>
          <w:color w:val="000000" w:themeColor="text1"/>
        </w:rPr>
      </w:pPr>
      <w:bookmarkStart w:id="1" w:name="_GoBack"/>
      <w:bookmarkEnd w:id="1"/>
    </w:p>
    <w:p>
      <w:pPr>
        <w:spacing w:line="560" w:lineRule="exact"/>
        <w:ind w:right="382" w:rightChars="182"/>
        <w:rPr>
          <w:rFonts w:ascii="方正仿宋简体" w:eastAsia="方正仿宋简体"/>
          <w:color w:val="000000" w:themeColor="text1"/>
          <w:sz w:val="32"/>
          <w:szCs w:val="32"/>
        </w:rPr>
      </w:pPr>
    </w:p>
    <w:p>
      <w:pPr>
        <w:shd w:val="clear" w:color="auto" w:fill="FFFFFF"/>
        <w:adjustRightInd w:val="0"/>
        <w:snapToGrid w:val="0"/>
        <w:spacing w:line="580" w:lineRule="exact"/>
        <w:jc w:val="center"/>
        <w:rPr>
          <w:rFonts w:ascii="方正仿宋简体" w:hAnsi="宋体" w:eastAsia="方正仿宋简体"/>
          <w:color w:val="111111"/>
          <w:kern w:val="0"/>
          <w:sz w:val="32"/>
          <w:szCs w:val="32"/>
        </w:rPr>
      </w:pPr>
      <w:r>
        <w:rPr>
          <w:rFonts w:hint="eastAsia" w:ascii="方正仿宋简体" w:hAnsi="宋体" w:eastAsia="方正仿宋简体"/>
          <w:color w:val="111111"/>
          <w:kern w:val="0"/>
          <w:sz w:val="32"/>
          <w:szCs w:val="32"/>
        </w:rPr>
        <w:t>济高新管办发〔2020〕2号</w:t>
      </w:r>
    </w:p>
    <w:p>
      <w:pPr>
        <w:shd w:val="clear" w:color="auto" w:fill="FFFFFF"/>
        <w:adjustRightInd w:val="0"/>
        <w:snapToGrid w:val="0"/>
        <w:spacing w:line="560" w:lineRule="exact"/>
        <w:jc w:val="center"/>
        <w:rPr>
          <w:rFonts w:ascii="方正仿宋简体" w:eastAsia="方正仿宋简体"/>
          <w:color w:val="000000"/>
          <w:kern w:val="0"/>
          <w:sz w:val="44"/>
          <w:szCs w:val="44"/>
        </w:rPr>
      </w:pPr>
    </w:p>
    <w:p>
      <w:pPr>
        <w:pStyle w:val="5"/>
        <w:shd w:val="clear" w:color="auto" w:fill="FFFFFF"/>
        <w:spacing w:before="0" w:beforeAutospacing="0" w:after="0" w:afterAutospacing="0" w:line="468" w:lineRule="atLeast"/>
        <w:rPr>
          <w:color w:val="000000"/>
          <w:sz w:val="35"/>
          <w:szCs w:val="35"/>
        </w:rPr>
      </w:pPr>
    </w:p>
    <w:p>
      <w:pPr>
        <w:pStyle w:val="5"/>
        <w:shd w:val="clear" w:color="auto" w:fill="FFFFFF"/>
        <w:spacing w:before="0" w:beforeAutospacing="0" w:after="0" w:afterAutospacing="0" w:line="580" w:lineRule="exact"/>
        <w:jc w:val="center"/>
        <w:rPr>
          <w:rFonts w:ascii="方正小标宋简体" w:eastAsia="方正小标宋简体"/>
          <w:color w:val="333333"/>
          <w:sz w:val="44"/>
          <w:szCs w:val="44"/>
        </w:rPr>
      </w:pPr>
      <w:r>
        <w:rPr>
          <w:rFonts w:hint="eastAsia" w:ascii="方正小标宋简体" w:eastAsia="方正小标宋简体"/>
          <w:color w:val="000000"/>
          <w:sz w:val="44"/>
          <w:szCs w:val="44"/>
        </w:rPr>
        <w:t>济宁高新区管委会办公室</w:t>
      </w:r>
    </w:p>
    <w:p>
      <w:pPr>
        <w:pStyle w:val="5"/>
        <w:shd w:val="clear" w:color="auto" w:fill="FFFFFF"/>
        <w:spacing w:before="0" w:beforeAutospacing="0" w:after="0" w:afterAutospacing="0"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关于印发《济宁高新区畜禽养殖禁养区</w:t>
      </w:r>
    </w:p>
    <w:p>
      <w:pPr>
        <w:pStyle w:val="5"/>
        <w:shd w:val="clear" w:color="auto" w:fill="FFFFFF"/>
        <w:spacing w:before="0" w:beforeAutospacing="0" w:after="0" w:afterAutospacing="0" w:line="580" w:lineRule="exact"/>
        <w:jc w:val="center"/>
        <w:rPr>
          <w:rFonts w:ascii="方正小标宋简体" w:eastAsia="方正小标宋简体"/>
          <w:color w:val="333333"/>
          <w:sz w:val="44"/>
          <w:szCs w:val="44"/>
        </w:rPr>
      </w:pPr>
      <w:r>
        <w:rPr>
          <w:rFonts w:hint="eastAsia" w:ascii="方正小标宋简体" w:eastAsia="方正小标宋简体"/>
          <w:color w:val="000000"/>
          <w:sz w:val="44"/>
          <w:szCs w:val="44"/>
        </w:rPr>
        <w:t>优化方案》的通知</w:t>
      </w:r>
    </w:p>
    <w:p>
      <w:pPr>
        <w:pStyle w:val="5"/>
        <w:shd w:val="clear" w:color="auto" w:fill="FFFFFF"/>
        <w:spacing w:before="0" w:beforeAutospacing="0" w:after="0" w:afterAutospacing="0" w:line="580" w:lineRule="exact"/>
        <w:jc w:val="center"/>
        <w:rPr>
          <w:color w:val="333333"/>
          <w:sz w:val="19"/>
          <w:szCs w:val="19"/>
        </w:rPr>
      </w:pPr>
      <w:r>
        <w:rPr>
          <w:rFonts w:hint="eastAsia"/>
          <w:color w:val="333333"/>
          <w:sz w:val="19"/>
          <w:szCs w:val="19"/>
        </w:rPr>
        <w:t> </w:t>
      </w:r>
    </w:p>
    <w:p>
      <w:pPr>
        <w:spacing w:line="580" w:lineRule="exact"/>
        <w:rPr>
          <w:rFonts w:ascii="方正仿宋简体" w:eastAsia="方正仿宋简体"/>
          <w:sz w:val="32"/>
          <w:szCs w:val="32"/>
        </w:rPr>
      </w:pPr>
      <w:r>
        <w:rPr>
          <w:rFonts w:hint="eastAsia" w:ascii="方正仿宋简体" w:eastAsia="方正仿宋简体"/>
          <w:sz w:val="32"/>
          <w:szCs w:val="32"/>
        </w:rPr>
        <w:t>各街道办事处，区直各部门单位，各驻区单位，各园区：</w:t>
      </w:r>
    </w:p>
    <w:p>
      <w:pPr>
        <w:spacing w:line="580" w:lineRule="exact"/>
        <w:ind w:firstLine="640" w:firstLineChars="200"/>
        <w:jc w:val="left"/>
        <w:rPr>
          <w:rFonts w:ascii="方正仿宋简体" w:eastAsia="方正仿宋简体"/>
          <w:sz w:val="32"/>
          <w:szCs w:val="32"/>
        </w:rPr>
      </w:pPr>
      <w:r>
        <w:rPr>
          <w:rFonts w:hint="eastAsia" w:ascii="方正仿宋简体" w:eastAsia="方正仿宋简体"/>
          <w:sz w:val="32"/>
          <w:szCs w:val="32"/>
        </w:rPr>
        <w:t>《济宁高新区畜禽养殖禁养区优化方案》已经管委会同意，现印发给你们，请结合实际认真抓好贯彻落实。</w:t>
      </w:r>
    </w:p>
    <w:p>
      <w:pPr>
        <w:spacing w:line="580" w:lineRule="exact"/>
        <w:ind w:firstLine="5056" w:firstLineChars="1580"/>
        <w:rPr>
          <w:rFonts w:ascii="方正仿宋简体" w:eastAsia="方正仿宋简体"/>
          <w:sz w:val="32"/>
          <w:szCs w:val="32"/>
        </w:rPr>
      </w:pPr>
    </w:p>
    <w:p>
      <w:pPr>
        <w:spacing w:line="580" w:lineRule="exact"/>
        <w:ind w:firstLine="4480" w:firstLineChars="1400"/>
        <w:rPr>
          <w:rFonts w:ascii="方正仿宋简体" w:eastAsia="方正仿宋简体"/>
          <w:sz w:val="32"/>
          <w:szCs w:val="32"/>
        </w:rPr>
      </w:pPr>
      <w:r>
        <w:rPr>
          <w:rFonts w:hint="eastAsia" w:ascii="方正仿宋简体" w:eastAsia="方正仿宋简体"/>
          <w:sz w:val="32"/>
          <w:szCs w:val="32"/>
        </w:rPr>
        <w:t>济宁高新区管委会办公室</w:t>
      </w:r>
    </w:p>
    <w:p>
      <w:pPr>
        <w:spacing w:line="580" w:lineRule="exact"/>
        <w:ind w:firstLine="5120" w:firstLineChars="1600"/>
        <w:rPr>
          <w:rFonts w:ascii="方正仿宋简体" w:eastAsia="方正仿宋简体"/>
          <w:sz w:val="32"/>
          <w:szCs w:val="32"/>
        </w:rPr>
      </w:pPr>
      <w:r>
        <w:rPr>
          <w:rFonts w:hint="eastAsia" w:ascii="方正仿宋简体" w:eastAsia="方正仿宋简体"/>
          <w:sz w:val="32"/>
          <w:szCs w:val="32"/>
        </w:rPr>
        <w:t>2020年2月14日</w:t>
      </w:r>
    </w:p>
    <w:p>
      <w:pPr>
        <w:pStyle w:val="5"/>
        <w:shd w:val="clear" w:color="auto" w:fill="FFFFFF"/>
        <w:spacing w:before="0" w:beforeAutospacing="0" w:after="0" w:afterAutospacing="0" w:line="58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（此件公开发布）</w:t>
      </w:r>
    </w:p>
    <w:p>
      <w:pPr>
        <w:pStyle w:val="5"/>
        <w:shd w:val="clear" w:color="auto" w:fill="FFFFFF"/>
        <w:spacing w:before="0" w:beforeAutospacing="0" w:after="0" w:afterAutospacing="0" w:line="580" w:lineRule="exact"/>
        <w:jc w:val="center"/>
        <w:rPr>
          <w:color w:val="000000"/>
          <w:sz w:val="44"/>
          <w:szCs w:val="44"/>
        </w:rPr>
      </w:pPr>
    </w:p>
    <w:p>
      <w:pPr>
        <w:pStyle w:val="5"/>
        <w:shd w:val="clear" w:color="auto" w:fill="FFFFFF"/>
        <w:spacing w:before="0" w:beforeAutospacing="0" w:after="0" w:afterAutospacing="0" w:line="580" w:lineRule="exact"/>
        <w:jc w:val="center"/>
        <w:rPr>
          <w:color w:val="000000"/>
          <w:sz w:val="44"/>
          <w:szCs w:val="44"/>
        </w:rPr>
      </w:pPr>
    </w:p>
    <w:p>
      <w:pPr>
        <w:pStyle w:val="5"/>
        <w:shd w:val="clear" w:color="auto" w:fill="FFFFFF"/>
        <w:spacing w:before="0" w:beforeAutospacing="0" w:after="0" w:afterAutospacing="0" w:line="560" w:lineRule="exact"/>
        <w:jc w:val="center"/>
        <w:rPr>
          <w:rFonts w:ascii="方正小标宋简体" w:eastAsia="方正小标宋简体"/>
          <w:color w:val="333333"/>
          <w:sz w:val="44"/>
          <w:szCs w:val="44"/>
        </w:rPr>
      </w:pPr>
      <w:r>
        <w:rPr>
          <w:rFonts w:hint="eastAsia" w:ascii="方正小标宋简体" w:eastAsia="方正小标宋简体"/>
          <w:color w:val="000000"/>
          <w:sz w:val="44"/>
          <w:szCs w:val="44"/>
        </w:rPr>
        <w:t>济宁高新区畜禽养殖禁养区优化方案</w:t>
      </w:r>
    </w:p>
    <w:p>
      <w:pPr>
        <w:pStyle w:val="5"/>
        <w:shd w:val="clear" w:color="auto" w:fill="FFFFFF"/>
        <w:spacing w:before="0" w:beforeAutospacing="0" w:after="0" w:afterAutospacing="0" w:line="560" w:lineRule="exact"/>
        <w:jc w:val="both"/>
        <w:rPr>
          <w:color w:val="333333"/>
          <w:sz w:val="19"/>
          <w:szCs w:val="19"/>
        </w:rPr>
      </w:pPr>
      <w:r>
        <w:rPr>
          <w:sz w:val="25"/>
          <w:szCs w:val="25"/>
        </w:rPr>
        <w:t> </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为贯彻落实《中华人民共和国环境保护法》《中华人民共和国畜牧法》《畜禽规模养殖污染防治条例》，推进畜禽养殖污染防治，引导畜牧业绿色发展，保护和改善生态环境，保障人民群众身体健康，按照省生态环境厅省畜牧兽医局《关于转发环办土壤〔2019〕55号文件做好规范畜禽养殖禁养区划定和管理工作促进生猪生产发展的通知》（鲁环函〔2019〕300号）要求，结合我区实际，制定本方案。</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一、指导思想</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以国家和地方环境保护法律、法规为依据，以优化畜禽养殖产业布局、控制农业面源污染、保障生态环境安全为目的，以统筹兼顾、科学可行、依法合规、以人为本为基本原则，综合考虑全区区域主体功能定位及生态功能重要性，正确处理发展和保护的关系，科学合理划定禁养区范围，切实加强环境监管，促进环境保护和畜牧业协调发展。</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二、划定原则</w:t>
      </w:r>
    </w:p>
    <w:p>
      <w:pPr>
        <w:numPr>
          <w:ilvl w:val="0"/>
          <w:numId w:val="1"/>
        </w:num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依法保护生态环境的原则；</w:t>
      </w:r>
    </w:p>
    <w:p>
      <w:pPr>
        <w:numPr>
          <w:ilvl w:val="0"/>
          <w:numId w:val="1"/>
        </w:num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生态环境保护与经济社会发展协调统一的原则；</w:t>
      </w:r>
    </w:p>
    <w:p>
      <w:pPr>
        <w:numPr>
          <w:ilvl w:val="0"/>
          <w:numId w:val="1"/>
        </w:num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生态环境、经济现状与发展规划相结合的原则；</w:t>
      </w:r>
    </w:p>
    <w:p>
      <w:pPr>
        <w:numPr>
          <w:ilvl w:val="0"/>
          <w:numId w:val="1"/>
        </w:num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流域、区域综合考虑，总体协调的原则；</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（五）因地制宜、总体规划、分步实施的原则。</w:t>
      </w:r>
    </w:p>
    <w:p>
      <w:pPr>
        <w:adjustRightInd w:val="0"/>
        <w:snapToGrid w:val="0"/>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三、划定依据</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sz w:val="32"/>
          <w:szCs w:val="32"/>
        </w:rPr>
        <w:t>（一）</w:t>
      </w:r>
      <w:r>
        <w:rPr>
          <w:rFonts w:hint="eastAsia" w:ascii="方正仿宋简体" w:eastAsia="方正仿宋简体"/>
          <w:color w:val="000000"/>
          <w:sz w:val="32"/>
          <w:szCs w:val="32"/>
        </w:rPr>
        <w:t>《中华人民共和国环境保护法》（修订，2014年）；</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（二）《中华人民共和国畜牧法》</w:t>
      </w:r>
      <w:r>
        <w:rPr>
          <w:rFonts w:hint="eastAsia" w:ascii="方正仿宋简体" w:eastAsia="方正仿宋简体"/>
          <w:color w:val="000000"/>
          <w:sz w:val="32"/>
          <w:szCs w:val="32"/>
        </w:rPr>
        <w:t>(修正，2015年）</w:t>
      </w:r>
      <w:r>
        <w:rPr>
          <w:rFonts w:hint="eastAsia" w:ascii="方正仿宋简体" w:eastAsia="方正仿宋简体"/>
          <w:sz w:val="32"/>
          <w:szCs w:val="32"/>
        </w:rPr>
        <w:t>;</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（三）《中华人民共和国水污染防治法》（修正，2017年）；</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（四）《中华人民共和国大气污染防治法》（修正，2018年）；</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（五）《畜禽规模养殖污染防治条例》</w:t>
      </w:r>
      <w:r>
        <w:rPr>
          <w:rFonts w:hint="eastAsia" w:ascii="方正仿宋简体" w:eastAsia="方正仿宋简体"/>
          <w:color w:val="000000"/>
          <w:sz w:val="32"/>
          <w:szCs w:val="32"/>
        </w:rPr>
        <w:t>（2014年）</w:t>
      </w:r>
      <w:r>
        <w:rPr>
          <w:rFonts w:hint="eastAsia" w:ascii="方正仿宋简体" w:eastAsia="方正仿宋简体"/>
          <w:sz w:val="32"/>
          <w:szCs w:val="32"/>
        </w:rPr>
        <w:t>；</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（六）《山东省南水北调工程沿线区域水污染防治条例》</w:t>
      </w:r>
      <w:r>
        <w:rPr>
          <w:rFonts w:hint="eastAsia" w:ascii="方正仿宋简体" w:eastAsia="方正仿宋简体"/>
          <w:color w:val="000000"/>
          <w:sz w:val="32"/>
          <w:szCs w:val="32"/>
        </w:rPr>
        <w:t>（修正，2018年）</w:t>
      </w:r>
      <w:r>
        <w:rPr>
          <w:rFonts w:hint="eastAsia" w:ascii="方正仿宋简体" w:eastAsia="方正仿宋简体"/>
          <w:sz w:val="32"/>
          <w:szCs w:val="32"/>
        </w:rPr>
        <w:t>；</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（七）《饮用水水源地保护区划分技术规范》（HJ/T 338-2007）；</w:t>
      </w:r>
    </w:p>
    <w:p>
      <w:pPr>
        <w:spacing w:line="560" w:lineRule="exact"/>
        <w:ind w:firstLine="640" w:firstLineChars="200"/>
        <w:rPr>
          <w:rFonts w:ascii="方正仿宋简体" w:eastAsia="方正仿宋简体"/>
          <w:sz w:val="32"/>
          <w:szCs w:val="32"/>
        </w:rPr>
      </w:pPr>
      <w:r>
        <w:rPr>
          <w:rFonts w:hint="eastAsia" w:ascii="方正仿宋简体" w:eastAsia="方正仿宋简体"/>
          <w:color w:val="000000"/>
          <w:sz w:val="32"/>
          <w:szCs w:val="32"/>
        </w:rPr>
        <w:t>（八）</w:t>
      </w:r>
      <w:r>
        <w:rPr>
          <w:rFonts w:hint="eastAsia" w:ascii="方正仿宋简体" w:eastAsia="方正仿宋简体"/>
          <w:sz w:val="32"/>
          <w:szCs w:val="32"/>
        </w:rPr>
        <w:t>其他有关法律法规和技术规范。</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四、畜禽禁养区禁止对象及范围</w:t>
      </w:r>
    </w:p>
    <w:p>
      <w:pPr>
        <w:adjustRightInd w:val="0"/>
        <w:snapToGrid w:val="0"/>
        <w:spacing w:line="560" w:lineRule="exact"/>
        <w:ind w:firstLine="640" w:firstLineChars="200"/>
        <w:rPr>
          <w:rFonts w:ascii="方正楷体简体" w:eastAsia="方正楷体简体"/>
          <w:color w:val="000000"/>
          <w:sz w:val="32"/>
          <w:szCs w:val="32"/>
        </w:rPr>
      </w:pPr>
      <w:r>
        <w:rPr>
          <w:rFonts w:hint="eastAsia" w:ascii="方正楷体简体" w:eastAsia="方正楷体简体"/>
          <w:color w:val="000000"/>
          <w:sz w:val="32"/>
          <w:szCs w:val="32"/>
        </w:rPr>
        <w:t>（一）畜禽禁养区禁止对象</w:t>
      </w:r>
    </w:p>
    <w:p>
      <w:pPr>
        <w:adjustRightInd w:val="0"/>
        <w:snapToGrid w:val="0"/>
        <w:spacing w:line="560" w:lineRule="exact"/>
        <w:ind w:firstLine="640" w:firstLineChars="200"/>
        <w:rPr>
          <w:rFonts w:ascii="方正仿宋简体" w:eastAsia="方正仿宋简体"/>
          <w:color w:val="000000"/>
          <w:sz w:val="32"/>
          <w:szCs w:val="32"/>
        </w:rPr>
      </w:pPr>
      <w:r>
        <w:rPr>
          <w:rFonts w:hint="eastAsia" w:ascii="方正仿宋简体" w:eastAsia="方正仿宋简体"/>
          <w:color w:val="000000"/>
          <w:sz w:val="32"/>
          <w:szCs w:val="32"/>
        </w:rPr>
        <w:t>畜禽养殖场、养殖小区指达到省级人民政府确定的养殖规模标准的畜禽集中饲养场所，符合（《关于公布畜禽养殖场（养殖小区）规模标准的通知》（鲁牧畜科发〔2017〕4号）标准，具体如下：</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生猪        年出栏量500头以上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奶牛        存栏量100头以上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肉鸡/肉鸭   年出栏量50000只以上</w:t>
      </w:r>
    </w:p>
    <w:p>
      <w:pPr>
        <w:tabs>
          <w:tab w:val="left" w:pos="3119"/>
        </w:tabs>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蛋鸡/蛋鸭   存栏量10000只以上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肉牛        年出栏量100头以上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羊          年出栏量500只以上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兔          存栏量3000只以上</w:t>
      </w:r>
    </w:p>
    <w:p>
      <w:pPr>
        <w:spacing w:line="560" w:lineRule="exact"/>
        <w:ind w:firstLine="1257" w:firstLineChars="393"/>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其他畜禽    由各设区市根据本地实际确定</w:t>
      </w:r>
    </w:p>
    <w:p>
      <w:pPr>
        <w:spacing w:line="560" w:lineRule="exact"/>
        <w:ind w:firstLine="640" w:firstLineChars="200"/>
        <w:jc w:val="left"/>
        <w:rPr>
          <w:rFonts w:ascii="方正楷体简体" w:hAnsi="仿宋_GB2312" w:eastAsia="方正楷体简体" w:cs="仿宋_GB2312"/>
          <w:sz w:val="32"/>
          <w:szCs w:val="32"/>
        </w:rPr>
      </w:pPr>
      <w:r>
        <w:rPr>
          <w:rFonts w:hint="eastAsia" w:ascii="方正楷体简体" w:hAnsi="仿宋_GB2312" w:eastAsia="方正楷体简体" w:cs="仿宋_GB2312"/>
          <w:sz w:val="32"/>
          <w:szCs w:val="32"/>
        </w:rPr>
        <w:t>（二）畜禽禁养区范围</w:t>
      </w:r>
    </w:p>
    <w:p>
      <w:pPr>
        <w:spacing w:line="560" w:lineRule="exact"/>
        <w:ind w:firstLine="640" w:firstLineChars="200"/>
        <w:jc w:val="left"/>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 饮用水水源保护区。</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城北水源地和贾村水源地一级保护区</w:t>
      </w:r>
      <w:bookmarkStart w:id="0" w:name="OLE_LINK2"/>
      <w:r>
        <w:rPr>
          <w:rFonts w:hint="eastAsia" w:ascii="方正仿宋简体" w:eastAsia="方正仿宋简体"/>
          <w:sz w:val="32"/>
          <w:szCs w:val="32"/>
        </w:rPr>
        <w:t>、农村集中供水工程和饮用水源井</w:t>
      </w:r>
      <w:bookmarkEnd w:id="0"/>
      <w:r>
        <w:rPr>
          <w:rFonts w:hint="eastAsia" w:ascii="方正仿宋简体" w:eastAsia="方正仿宋简体"/>
          <w:sz w:val="32"/>
          <w:szCs w:val="32"/>
        </w:rPr>
        <w:t>。如在本方案执行期间，有饮用水水源保护区撤销或新增的，与之相应禁养区范围亦取消或新增；待城乡供水一体化工程全部竣工使用且全覆盖后，农村集中供水工程和饮用水源井相对应的禁养区范围亦取消。</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 城镇居民区和文化教育科学研究区等人口集中区域。</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（1）城市建成区；</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（2）街道办事处驻地：洸河、柳行、黄屯、王因和接庄街道办事处驻地；</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（3）文化教育科学研究区：辖区内所有学校、幼儿园驻地。</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五、区域管理与控制</w:t>
      </w:r>
    </w:p>
    <w:p>
      <w:pPr>
        <w:adjustRightInd w:val="0"/>
        <w:snapToGrid w:val="0"/>
        <w:spacing w:line="560" w:lineRule="exact"/>
        <w:ind w:firstLine="640" w:firstLineChars="200"/>
        <w:rPr>
          <w:rFonts w:ascii="方正仿宋简体" w:eastAsia="方正仿宋简体"/>
          <w:sz w:val="32"/>
          <w:szCs w:val="32"/>
        </w:rPr>
      </w:pPr>
      <w:r>
        <w:rPr>
          <w:rFonts w:hint="eastAsia" w:ascii="方正仿宋简体" w:eastAsia="方正仿宋简体"/>
          <w:color w:val="000000"/>
          <w:sz w:val="32"/>
          <w:szCs w:val="32"/>
        </w:rPr>
        <w:t>对禁养区内关停需搬迁的规模化养殖场、养殖小区，优先支持异地重建；对确需关闭的养殖场户，给予合理过渡期，避免清理代替治理，严禁采取“一律关停”等简单做法。</w:t>
      </w:r>
    </w:p>
    <w:p>
      <w:pPr>
        <w:spacing w:line="560" w:lineRule="exact"/>
        <w:ind w:firstLine="640" w:firstLineChars="200"/>
        <w:rPr>
          <w:rFonts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六、保障措施  </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（一）加强领导，落实责任。</w:t>
      </w:r>
      <w:r>
        <w:rPr>
          <w:rFonts w:hint="eastAsia" w:ascii="方正仿宋简体" w:eastAsia="方正仿宋简体"/>
          <w:sz w:val="32"/>
          <w:szCs w:val="32"/>
        </w:rPr>
        <w:t>畜禽养殖禁养区划定方案是保护和改善我区生态环境的有力保障。各街道、有关部门要充分认识畜禽养殖区域划分的重要性，按照本方案要求，对重新划定禁养区内仍存在的养殖场进行集中排查，确保禁养区内无规模化养殖场（户），防止死灰复燃现象发生。</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（二）统筹协调，积极指导。</w:t>
      </w:r>
      <w:r>
        <w:rPr>
          <w:rFonts w:hint="eastAsia" w:ascii="方正仿宋简体" w:eastAsia="方正仿宋简体"/>
          <w:sz w:val="32"/>
          <w:szCs w:val="32"/>
        </w:rPr>
        <w:t>相关部门应加强对畜禽养殖业的指导和管理，采取切实可行的措施，大力推广干湿分离、沼气化处理、有机复合肥加工、养殖—沼气—种植等畜禽养殖污染防治实用技术和生态养殖模式，进一步加大畜禽粪尿综合利用力度，促进畜牧业的健康持续发展。</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（三）明确职责，严格执法。</w:t>
      </w:r>
      <w:r>
        <w:rPr>
          <w:rFonts w:hint="eastAsia" w:ascii="方正仿宋简体" w:eastAsia="方正仿宋简体"/>
          <w:sz w:val="32"/>
          <w:szCs w:val="32"/>
        </w:rPr>
        <w:t>畜禽养殖污染防治是一项涉及面广、任务重的系统工程， 各街道、各有关部门要按照职责分工，切实履职到位，做好畜禽养殖污染防治工作，建立长效监管机制、加强日常监管。</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本方案自公布之日起实施。</w:t>
      </w:r>
    </w:p>
    <w:p>
      <w:pPr>
        <w:spacing w:line="560" w:lineRule="exact"/>
        <w:ind w:firstLine="640" w:firstLineChars="200"/>
        <w:rPr>
          <w:rFonts w:ascii="方正仿宋简体" w:eastAsia="方正仿宋简体"/>
          <w:sz w:val="32"/>
          <w:szCs w:val="32"/>
        </w:rPr>
      </w:pPr>
    </w:p>
    <w:p>
      <w:pPr>
        <w:spacing w:line="560" w:lineRule="exact"/>
        <w:ind w:firstLine="640" w:firstLineChars="200"/>
        <w:rPr>
          <w:rFonts w:ascii="方正仿宋简体" w:hAnsi="仿宋" w:eastAsia="方正仿宋简体" w:cs="仿宋"/>
          <w:sz w:val="32"/>
          <w:szCs w:val="32"/>
        </w:rPr>
      </w:pPr>
      <w:r>
        <w:rPr>
          <w:rFonts w:hint="eastAsia" w:ascii="方正仿宋简体" w:eastAsia="方正仿宋简体"/>
          <w:sz w:val="32"/>
          <w:szCs w:val="32"/>
        </w:rPr>
        <w:t>附件： 1. 济宁</w:t>
      </w:r>
      <w:r>
        <w:rPr>
          <w:rFonts w:hint="eastAsia" w:ascii="方正仿宋简体" w:hAnsi="仿宋" w:eastAsia="方正仿宋简体" w:cs="仿宋"/>
          <w:sz w:val="32"/>
          <w:szCs w:val="32"/>
        </w:rPr>
        <w:t>高新区畜禽养殖禁养区分布表</w:t>
      </w:r>
    </w:p>
    <w:p>
      <w:pPr>
        <w:spacing w:line="560" w:lineRule="exact"/>
        <w:ind w:firstLine="1760" w:firstLineChars="550"/>
        <w:rPr>
          <w:rFonts w:ascii="方正仿宋简体" w:eastAsia="方正仿宋简体"/>
          <w:sz w:val="32"/>
          <w:szCs w:val="32"/>
        </w:rPr>
      </w:pPr>
      <w:r>
        <w:rPr>
          <w:rFonts w:hint="eastAsia" w:ascii="方正仿宋简体" w:eastAsia="方正仿宋简体"/>
          <w:sz w:val="32"/>
          <w:szCs w:val="32"/>
        </w:rPr>
        <w:t>2. 济宁</w:t>
      </w:r>
      <w:r>
        <w:rPr>
          <w:rFonts w:hint="eastAsia" w:ascii="方正仿宋简体" w:hAnsi="仿宋" w:eastAsia="方正仿宋简体" w:cs="仿宋"/>
          <w:sz w:val="32"/>
          <w:szCs w:val="32"/>
        </w:rPr>
        <w:t>高新区畜禽养殖禁养区范围图</w:t>
      </w:r>
    </w:p>
    <w:p>
      <w:pPr>
        <w:spacing w:line="560" w:lineRule="exact"/>
        <w:ind w:firstLine="5280" w:firstLineChars="1650"/>
        <w:rPr>
          <w:rFonts w:ascii="方正仿宋简体" w:eastAsia="方正仿宋简体"/>
          <w:sz w:val="32"/>
          <w:szCs w:val="32"/>
        </w:rPr>
      </w:pPr>
    </w:p>
    <w:p>
      <w:pPr>
        <w:spacing w:line="580" w:lineRule="exact"/>
        <w:rPr>
          <w:rFonts w:ascii="方正仿宋简体" w:eastAsia="方正仿宋简体"/>
          <w:sz w:val="32"/>
          <w:szCs w:val="32"/>
        </w:rPr>
      </w:pPr>
    </w:p>
    <w:p>
      <w:pPr>
        <w:spacing w:line="580" w:lineRule="exact"/>
        <w:rPr>
          <w:rFonts w:ascii="方正仿宋简体" w:eastAsia="方正仿宋简体"/>
          <w:sz w:val="32"/>
          <w:szCs w:val="32"/>
        </w:rPr>
      </w:pPr>
    </w:p>
    <w:p>
      <w:pPr>
        <w:spacing w:line="580" w:lineRule="exact"/>
        <w:rPr>
          <w:rFonts w:ascii="方正黑体简体" w:eastAsia="方正黑体简体"/>
          <w:sz w:val="32"/>
          <w:szCs w:val="32"/>
        </w:rPr>
      </w:pPr>
    </w:p>
    <w:p>
      <w:pPr>
        <w:spacing w:line="580" w:lineRule="exact"/>
        <w:rPr>
          <w:rFonts w:ascii="方正黑体简体" w:eastAsia="方正黑体简体"/>
          <w:sz w:val="32"/>
          <w:szCs w:val="32"/>
        </w:rPr>
      </w:pPr>
      <w:r>
        <w:rPr>
          <w:rFonts w:hint="eastAsia" w:ascii="方正黑体简体" w:eastAsia="方正黑体简体"/>
          <w:sz w:val="32"/>
          <w:szCs w:val="32"/>
        </w:rPr>
        <w:t>附件1</w:t>
      </w:r>
    </w:p>
    <w:p>
      <w:pPr>
        <w:widowControl/>
        <w:spacing w:line="580" w:lineRule="exact"/>
        <w:jc w:val="center"/>
        <w:rPr>
          <w:rFonts w:ascii="宋体" w:hAnsi="宋体" w:cs="宋体"/>
          <w:kern w:val="0"/>
          <w:sz w:val="38"/>
          <w:szCs w:val="38"/>
        </w:rPr>
      </w:pPr>
    </w:p>
    <w:p>
      <w:pPr>
        <w:widowControl/>
        <w:spacing w:line="580" w:lineRule="exact"/>
        <w:jc w:val="center"/>
        <w:rPr>
          <w:rFonts w:ascii="宋体" w:hAnsi="宋体" w:cs="宋体"/>
          <w:kern w:val="0"/>
          <w:szCs w:val="21"/>
        </w:rPr>
      </w:pPr>
      <w:r>
        <w:rPr>
          <w:rFonts w:hint="eastAsia" w:ascii="方正小标宋简体" w:hAnsi="宋体" w:eastAsia="方正小标宋简体" w:cs="宋体"/>
          <w:kern w:val="0"/>
          <w:sz w:val="38"/>
          <w:szCs w:val="38"/>
        </w:rPr>
        <w:t>济宁高新区畜禽养殖禁养区分布表</w:t>
      </w:r>
    </w:p>
    <w:p>
      <w:pPr>
        <w:widowControl/>
        <w:spacing w:line="580" w:lineRule="exact"/>
        <w:jc w:val="center"/>
        <w:rPr>
          <w:rFonts w:ascii="宋体" w:hAnsi="宋体" w:cs="宋体"/>
          <w:kern w:val="0"/>
          <w:szCs w:val="21"/>
        </w:rPr>
      </w:pPr>
    </w:p>
    <w:tbl>
      <w:tblPr>
        <w:tblStyle w:val="6"/>
        <w:tblW w:w="8460" w:type="dxa"/>
        <w:tblInd w:w="145" w:type="dxa"/>
        <w:tblLayout w:type="fixed"/>
        <w:tblCellMar>
          <w:top w:w="0" w:type="dxa"/>
          <w:left w:w="0" w:type="dxa"/>
          <w:bottom w:w="0" w:type="dxa"/>
          <w:right w:w="0" w:type="dxa"/>
        </w:tblCellMar>
      </w:tblPr>
      <w:tblGrid>
        <w:gridCol w:w="900"/>
        <w:gridCol w:w="2160"/>
        <w:gridCol w:w="5400"/>
      </w:tblGrid>
      <w:tr>
        <w:tblPrEx>
          <w:tblCellMar>
            <w:top w:w="0" w:type="dxa"/>
            <w:left w:w="0" w:type="dxa"/>
            <w:bottom w:w="0" w:type="dxa"/>
            <w:right w:w="0" w:type="dxa"/>
          </w:tblCellMar>
        </w:tblPrEx>
        <w:trPr>
          <w:trHeight w:val="550" w:hRule="atLeast"/>
          <w:tblHeader/>
        </w:trPr>
        <w:tc>
          <w:tcPr>
            <w:tcW w:w="900" w:type="dxa"/>
            <w:tcBorders>
              <w:top w:val="single" w:color="auto" w:sz="4" w:space="0"/>
              <w:left w:val="single" w:color="auto" w:sz="4" w:space="0"/>
              <w:bottom w:val="single" w:color="auto" w:sz="4" w:space="0"/>
              <w:right w:val="single" w:color="auto" w:sz="4" w:space="0"/>
            </w:tcBorders>
            <w:shd w:val="clear" w:color="auto" w:fill="auto"/>
            <w:tcMar>
              <w:top w:w="0" w:type="dxa"/>
              <w:left w:w="92" w:type="dxa"/>
              <w:bottom w:w="0" w:type="dxa"/>
              <w:right w:w="92" w:type="dxa"/>
            </w:tcMar>
            <w:vAlign w:val="center"/>
          </w:tcPr>
          <w:p>
            <w:pPr>
              <w:widowControl/>
              <w:spacing w:line="420" w:lineRule="exact"/>
              <w:jc w:val="center"/>
              <w:rPr>
                <w:rFonts w:ascii="宋体" w:hAnsi="宋体" w:cs="宋体"/>
                <w:b/>
                <w:kern w:val="0"/>
                <w:szCs w:val="21"/>
              </w:rPr>
            </w:pPr>
            <w:r>
              <w:rPr>
                <w:rFonts w:hint="eastAsia" w:ascii="宋体" w:hAnsi="宋体" w:cs="宋体"/>
                <w:b/>
                <w:kern w:val="0"/>
                <w:szCs w:val="21"/>
              </w:rPr>
              <w:t>序号</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0" w:type="dxa"/>
              <w:left w:w="92" w:type="dxa"/>
              <w:bottom w:w="0" w:type="dxa"/>
              <w:right w:w="92" w:type="dxa"/>
            </w:tcMar>
            <w:vAlign w:val="center"/>
          </w:tcPr>
          <w:p>
            <w:pPr>
              <w:widowControl/>
              <w:spacing w:line="420" w:lineRule="exact"/>
              <w:jc w:val="center"/>
              <w:rPr>
                <w:rFonts w:ascii="宋体" w:hAnsi="宋体" w:cs="宋体"/>
                <w:b/>
                <w:kern w:val="0"/>
                <w:szCs w:val="21"/>
              </w:rPr>
            </w:pPr>
            <w:r>
              <w:rPr>
                <w:rFonts w:hint="eastAsia" w:ascii="宋体" w:hAnsi="宋体" w:cs="宋体"/>
                <w:b/>
                <w:kern w:val="0"/>
                <w:szCs w:val="21"/>
              </w:rPr>
              <w:t>名称</w:t>
            </w:r>
          </w:p>
        </w:tc>
        <w:tc>
          <w:tcPr>
            <w:tcW w:w="5400" w:type="dxa"/>
            <w:tcBorders>
              <w:top w:val="single" w:color="auto" w:sz="4" w:space="0"/>
              <w:left w:val="single" w:color="auto" w:sz="4" w:space="0"/>
              <w:bottom w:val="single" w:color="auto" w:sz="4" w:space="0"/>
              <w:right w:val="single" w:color="auto" w:sz="4" w:space="0"/>
            </w:tcBorders>
            <w:shd w:val="clear" w:color="auto" w:fill="FFFFFF"/>
            <w:tcMar>
              <w:top w:w="0" w:type="dxa"/>
              <w:left w:w="92" w:type="dxa"/>
              <w:bottom w:w="0" w:type="dxa"/>
              <w:right w:w="92" w:type="dxa"/>
            </w:tcMar>
            <w:vAlign w:val="center"/>
          </w:tcPr>
          <w:p>
            <w:pPr>
              <w:widowControl/>
              <w:spacing w:line="420" w:lineRule="exact"/>
              <w:jc w:val="center"/>
              <w:rPr>
                <w:rFonts w:ascii="宋体" w:hAnsi="宋体" w:cs="宋体"/>
                <w:b/>
                <w:kern w:val="0"/>
                <w:szCs w:val="21"/>
              </w:rPr>
            </w:pPr>
            <w:r>
              <w:rPr>
                <w:rFonts w:hint="eastAsia" w:ascii="宋体" w:hAnsi="宋体" w:cs="宋体"/>
                <w:b/>
                <w:kern w:val="0"/>
                <w:szCs w:val="21"/>
              </w:rPr>
              <w:t>禁养区涉及范围</w:t>
            </w:r>
          </w:p>
        </w:tc>
      </w:tr>
      <w:tr>
        <w:tblPrEx>
          <w:tblCellMar>
            <w:top w:w="0" w:type="dxa"/>
            <w:left w:w="0" w:type="dxa"/>
            <w:bottom w:w="0" w:type="dxa"/>
            <w:right w:w="0" w:type="dxa"/>
          </w:tblCellMar>
        </w:tblPrEx>
        <w:trPr>
          <w:trHeight w:val="550"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1</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城北水源地（高新水厂）一级保护区</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为以单井或以外围井的外接多边形，分别向外径向距离为130米的圆或多边形区域。</w:t>
            </w:r>
          </w:p>
        </w:tc>
      </w:tr>
      <w:tr>
        <w:tblPrEx>
          <w:tblCellMar>
            <w:top w:w="0" w:type="dxa"/>
            <w:left w:w="0" w:type="dxa"/>
            <w:bottom w:w="0" w:type="dxa"/>
            <w:right w:w="0" w:type="dxa"/>
          </w:tblCellMar>
        </w:tblPrEx>
        <w:trPr>
          <w:trHeight w:val="550"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2</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贾村水源地</w:t>
            </w:r>
          </w:p>
          <w:p>
            <w:pPr>
              <w:widowControl/>
              <w:spacing w:line="420" w:lineRule="exact"/>
              <w:jc w:val="center"/>
              <w:rPr>
                <w:rFonts w:ascii="宋体" w:hAnsi="宋体" w:cs="宋体"/>
                <w:kern w:val="0"/>
                <w:szCs w:val="21"/>
              </w:rPr>
            </w:pPr>
            <w:r>
              <w:rPr>
                <w:rFonts w:hint="eastAsia" w:ascii="宋体" w:hAnsi="宋体" w:cs="宋体"/>
                <w:kern w:val="0"/>
                <w:szCs w:val="21"/>
              </w:rPr>
              <w:t>一级保护区</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王回庄井为以水源井泵房范围为界；其他井以单井中心或以外围井的外接多边形，分别向外径向距离为162米的圆或多边形区域。</w:t>
            </w:r>
          </w:p>
        </w:tc>
      </w:tr>
      <w:tr>
        <w:tblPrEx>
          <w:tblCellMar>
            <w:top w:w="0" w:type="dxa"/>
            <w:left w:w="0" w:type="dxa"/>
            <w:bottom w:w="0" w:type="dxa"/>
            <w:right w:w="0" w:type="dxa"/>
          </w:tblCellMar>
        </w:tblPrEx>
        <w:trPr>
          <w:trHeight w:val="550"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3</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农村集中供水工程和饮用水源井</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农村饮用水水源地半径50米以内。</w:t>
            </w:r>
          </w:p>
        </w:tc>
      </w:tr>
      <w:tr>
        <w:tblPrEx>
          <w:tblCellMar>
            <w:top w:w="0" w:type="dxa"/>
            <w:left w:w="0" w:type="dxa"/>
            <w:bottom w:w="0" w:type="dxa"/>
            <w:right w:w="0" w:type="dxa"/>
          </w:tblCellMar>
        </w:tblPrEx>
        <w:trPr>
          <w:trHeight w:val="550"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4</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城市建成区</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东外环以西的高新区所属范围；东外环以东范围：西至东外环，东至西浦路，南至济邹路，北至任城大道东延。</w:t>
            </w:r>
          </w:p>
        </w:tc>
      </w:tr>
      <w:tr>
        <w:tblPrEx>
          <w:tblCellMar>
            <w:top w:w="0" w:type="dxa"/>
            <w:left w:w="0" w:type="dxa"/>
            <w:bottom w:w="0" w:type="dxa"/>
            <w:right w:w="0" w:type="dxa"/>
          </w:tblCellMar>
        </w:tblPrEx>
        <w:trPr>
          <w:trHeight w:val="550"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5</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街道办事处驻地</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洸河、柳行、黄屯、王因和接庄街道办事处驻地范围。</w:t>
            </w:r>
          </w:p>
        </w:tc>
      </w:tr>
      <w:tr>
        <w:tblPrEx>
          <w:tblCellMar>
            <w:top w:w="0" w:type="dxa"/>
            <w:left w:w="0" w:type="dxa"/>
            <w:bottom w:w="0" w:type="dxa"/>
            <w:right w:w="0" w:type="dxa"/>
          </w:tblCellMar>
        </w:tblPrEx>
        <w:trPr>
          <w:trHeight w:val="906" w:hRule="atLeast"/>
        </w:trPr>
        <w:tc>
          <w:tcPr>
            <w:tcW w:w="9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580" w:lineRule="exact"/>
              <w:jc w:val="center"/>
              <w:rPr>
                <w:rFonts w:ascii="宋体" w:hAnsi="宋体" w:cs="宋体"/>
                <w:kern w:val="0"/>
                <w:szCs w:val="21"/>
              </w:rPr>
            </w:pPr>
            <w:r>
              <w:rPr>
                <w:rFonts w:hint="eastAsia" w:ascii="宋体" w:hAnsi="宋体" w:cs="宋体"/>
                <w:kern w:val="0"/>
                <w:szCs w:val="21"/>
              </w:rPr>
              <w:t>6</w:t>
            </w:r>
          </w:p>
        </w:tc>
        <w:tc>
          <w:tcPr>
            <w:tcW w:w="216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jc w:val="center"/>
              <w:rPr>
                <w:rFonts w:ascii="宋体" w:hAnsi="宋体" w:cs="宋体"/>
                <w:kern w:val="0"/>
                <w:szCs w:val="21"/>
              </w:rPr>
            </w:pPr>
            <w:r>
              <w:rPr>
                <w:rFonts w:hint="eastAsia" w:ascii="宋体" w:hAnsi="宋体" w:cs="宋体"/>
                <w:kern w:val="0"/>
                <w:szCs w:val="21"/>
              </w:rPr>
              <w:t>文化教育科学研究区</w:t>
            </w:r>
          </w:p>
        </w:tc>
        <w:tc>
          <w:tcPr>
            <w:tcW w:w="5400" w:type="dxa"/>
            <w:tcBorders>
              <w:top w:val="single" w:color="auto" w:sz="4" w:space="0"/>
              <w:left w:val="single" w:color="auto" w:sz="4" w:space="0"/>
              <w:bottom w:val="single" w:color="auto" w:sz="4" w:space="0"/>
              <w:right w:val="single" w:color="auto" w:sz="4" w:space="0"/>
            </w:tcBorders>
            <w:tcMar>
              <w:top w:w="0" w:type="dxa"/>
              <w:left w:w="92" w:type="dxa"/>
              <w:bottom w:w="0" w:type="dxa"/>
              <w:right w:w="92" w:type="dxa"/>
            </w:tcMar>
            <w:vAlign w:val="center"/>
          </w:tcPr>
          <w:p>
            <w:pPr>
              <w:widowControl/>
              <w:spacing w:line="420" w:lineRule="exact"/>
              <w:rPr>
                <w:rFonts w:ascii="宋体" w:hAnsi="宋体" w:cs="宋体"/>
                <w:kern w:val="0"/>
                <w:szCs w:val="21"/>
              </w:rPr>
            </w:pPr>
            <w:r>
              <w:rPr>
                <w:rFonts w:hint="eastAsia" w:ascii="宋体" w:hAnsi="宋体" w:cs="宋体"/>
                <w:kern w:val="0"/>
                <w:szCs w:val="21"/>
              </w:rPr>
              <w:t>辖区内所有学校、幼儿园驻地。</w:t>
            </w:r>
          </w:p>
        </w:tc>
      </w:tr>
    </w:tbl>
    <w:p>
      <w:pPr>
        <w:widowControl/>
        <w:spacing w:line="484" w:lineRule="atLeast"/>
        <w:jc w:val="center"/>
        <w:rPr>
          <w:rFonts w:ascii="宋体" w:hAnsi="宋体" w:cs="宋体"/>
          <w:kern w:val="0"/>
          <w:szCs w:val="21"/>
        </w:rPr>
      </w:pPr>
      <w:r>
        <w:rPr>
          <w:rFonts w:hint="eastAsia" w:ascii="宋体" w:hAnsi="宋体" w:cs="宋体"/>
          <w:kern w:val="0"/>
          <w:szCs w:val="21"/>
        </w:rPr>
        <w:t> </w:t>
      </w:r>
    </w:p>
    <w:p/>
    <w:p>
      <w:pPr>
        <w:spacing w:line="580" w:lineRule="exact"/>
        <w:ind w:firstLine="640" w:firstLineChars="200"/>
        <w:rPr>
          <w:rFonts w:ascii="方正仿宋简体" w:eastAsia="方正仿宋简体"/>
          <w:sz w:val="32"/>
          <w:szCs w:val="32"/>
        </w:rPr>
      </w:pPr>
    </w:p>
    <w:p>
      <w:pPr>
        <w:spacing w:line="580" w:lineRule="exact"/>
        <w:ind w:firstLine="640" w:firstLineChars="200"/>
        <w:rPr>
          <w:rFonts w:ascii="方正仿宋简体" w:eastAsia="方正仿宋简体"/>
          <w:sz w:val="32"/>
          <w:szCs w:val="32"/>
        </w:rPr>
      </w:pPr>
    </w:p>
    <w:p>
      <w:pPr>
        <w:spacing w:line="580" w:lineRule="exact"/>
        <w:rPr>
          <w:rFonts w:ascii="方正黑体简体" w:eastAsia="方正黑体简体"/>
          <w:sz w:val="32"/>
          <w:szCs w:val="32"/>
        </w:rPr>
      </w:pPr>
    </w:p>
    <w:p>
      <w:pPr>
        <w:spacing w:line="580" w:lineRule="exact"/>
        <w:rPr>
          <w:rFonts w:ascii="方正黑体简体" w:eastAsia="方正黑体简体"/>
          <w:sz w:val="32"/>
          <w:szCs w:val="32"/>
        </w:rPr>
      </w:pPr>
    </w:p>
    <w:p>
      <w:pPr>
        <w:spacing w:line="580" w:lineRule="exact"/>
        <w:rPr>
          <w:rFonts w:ascii="方正黑体简体" w:eastAsia="方正黑体简体"/>
          <w:sz w:val="32"/>
          <w:szCs w:val="32"/>
        </w:rPr>
      </w:pPr>
    </w:p>
    <w:p>
      <w:pPr>
        <w:spacing w:line="580" w:lineRule="exact"/>
        <w:rPr>
          <w:rFonts w:ascii="方正黑体简体" w:eastAsia="方正黑体简体"/>
          <w:sz w:val="32"/>
          <w:szCs w:val="32"/>
        </w:rPr>
      </w:pPr>
      <w:r>
        <w:rPr>
          <w:rFonts w:hint="eastAsia" w:ascii="方正黑体简体" w:eastAsia="方正黑体简体"/>
          <w:sz w:val="32"/>
          <w:szCs w:val="32"/>
        </w:rPr>
        <w:t>附件2</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济宁</w:t>
      </w:r>
      <w:r>
        <w:rPr>
          <w:rFonts w:hint="eastAsia" w:ascii="方正小标宋简体" w:hAnsi="仿宋" w:eastAsia="方正小标宋简体" w:cs="仿宋"/>
          <w:sz w:val="44"/>
          <w:szCs w:val="44"/>
        </w:rPr>
        <w:t>高新区畜禽养殖禁养区范围图</w:t>
      </w:r>
    </w:p>
    <w:p/>
    <w:p>
      <w:pPr>
        <w:rPr>
          <w:rFonts w:ascii="方正仿宋简体" w:eastAsia="方正仿宋简体"/>
          <w:sz w:val="32"/>
          <w:szCs w:val="32"/>
        </w:rPr>
      </w:pPr>
      <w:r>
        <w:rPr>
          <w:rFonts w:ascii="方正仿宋简体" w:eastAsia="方正仿宋简体"/>
          <w:sz w:val="32"/>
          <w:szCs w:val="32"/>
        </w:rPr>
        <w:drawing>
          <wp:inline distT="0" distB="0" distL="0" distR="0">
            <wp:extent cx="5160645" cy="6059170"/>
            <wp:effectExtent l="19050" t="0" r="1905" b="0"/>
            <wp:docPr id="1" name="图片 1" descr="附件2 济宁高新区畜禽养殖禁养区范围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2 济宁高新区畜禽养殖禁养区范围图1"/>
                    <pic:cNvPicPr>
                      <a:picLocks noChangeAspect="1" noChangeArrowheads="1"/>
                    </pic:cNvPicPr>
                  </pic:nvPicPr>
                  <pic:blipFill>
                    <a:blip r:embed="rId6" cstate="print"/>
                    <a:srcRect/>
                    <a:stretch>
                      <a:fillRect/>
                    </a:stretch>
                  </pic:blipFill>
                  <pic:spPr>
                    <a:xfrm>
                      <a:off x="0" y="0"/>
                      <a:ext cx="5160645" cy="6059170"/>
                    </a:xfrm>
                    <a:prstGeom prst="rect">
                      <a:avLst/>
                    </a:prstGeom>
                    <a:noFill/>
                    <a:ln w="9525">
                      <a:noFill/>
                      <a:miter lim="800000"/>
                      <a:headEnd/>
                      <a:tailEnd/>
                    </a:ln>
                  </pic:spPr>
                </pic:pic>
              </a:graphicData>
            </a:graphic>
          </wp:inline>
        </w:drawing>
      </w:r>
    </w:p>
    <w:p>
      <w:pPr>
        <w:spacing w:line="360" w:lineRule="auto"/>
        <w:rPr>
          <w:rFonts w:ascii="方正仿宋简体" w:eastAsia="方正仿宋简体"/>
          <w:sz w:val="32"/>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adjustRightInd w:val="0"/>
        <w:spacing w:line="400" w:lineRule="exact"/>
        <w:ind w:firstLine="3150" w:firstLineChars="1500"/>
        <w:rPr>
          <w:rFonts w:ascii="方正仿宋简体" w:eastAsia="方正仿宋简体"/>
          <w:szCs w:val="32"/>
        </w:rPr>
      </w:pPr>
    </w:p>
    <w:p>
      <w:pPr>
        <w:spacing w:line="580" w:lineRule="exact"/>
        <w:ind w:right="23" w:rightChars="11" w:firstLine="140" w:firstLineChars="50"/>
        <w:rPr>
          <w:rFonts w:ascii="方正仿宋简体" w:hAnsi="华文中宋" w:eastAsia="方正仿宋简体"/>
          <w:color w:val="000000"/>
          <w:sz w:val="28"/>
          <w:szCs w:val="28"/>
        </w:rPr>
      </w:pPr>
      <w:r>
        <w:rPr>
          <w:rFonts w:ascii="方正仿宋简体" w:hAnsi="Calibri" w:eastAsia="方正仿宋简体"/>
          <w:sz w:val="28"/>
          <w:szCs w:val="28"/>
        </w:rPr>
        <w:pict>
          <v:line id="_x0000_s2050" o:spid="_x0000_s2050" o:spt="20" style="position:absolute;left:0pt;margin-left:0pt;margin-top:32.7pt;height:0pt;width:441.4pt;z-index:251660288;mso-width-relative:page;mso-height-relative:page;" coordsize="21600,21600" o:gfxdata="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l0Fx0gAAAAQBAAAPAAAAAAAAAAEAIAAAACIAAABkcnMvZG93&#10;bnJldi54bWxQSwECFAAUAAAACACHTuJAXPCxp80BAACNAwAADgAAAAAAAAABACAAAAAhAQAAZHJz&#10;L2Uyb0RvYy54bWxQSwUGAAAAAAYABgBZAQAAYAUAAAAA&#10;">
            <v:path arrowok="t"/>
            <v:fill focussize="0,0"/>
            <v:stroke/>
            <v:imagedata o:title=""/>
            <o:lock v:ext="edit"/>
          </v:line>
        </w:pict>
      </w:r>
      <w:r>
        <w:rPr>
          <w:rFonts w:ascii="方正仿宋简体" w:hAnsi="Calibri" w:eastAsia="方正仿宋简体"/>
          <w:sz w:val="28"/>
          <w:szCs w:val="28"/>
        </w:rPr>
        <w:pict>
          <v:line id="_x0000_s2051" o:spid="_x0000_s2051" o:spt="20" style="position:absolute;left:0pt;margin-left:0pt;margin-top:3.75pt;height:0pt;width:441.4pt;z-index:251661312;mso-width-relative:page;mso-height-relative:page;" coordsize="21600,21600" o:gfxdata="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l0Fx0gAAAAQBAAAPAAAAAAAAAAEAIAAAACIAAABkcnMvZG93&#10;bnJldi54bWxQSwECFAAUAAAACACHTuJAXPCxp80BAACNAwAADgAAAAAAAAABACAAAAAhAQAAZHJz&#10;L2Uyb0RvYy54bWxQSwUGAAAAAAYABgBZAQAAYAUAAAAA&#10;">
            <v:path arrowok="t"/>
            <v:fill focussize="0,0"/>
            <v:stroke/>
            <v:imagedata o:title=""/>
            <o:lock v:ext="edit"/>
          </v:line>
        </w:pict>
      </w:r>
      <w:r>
        <w:rPr>
          <w:rFonts w:hint="eastAsia" w:ascii="方正仿宋简体" w:eastAsia="方正仿宋简体"/>
          <w:sz w:val="28"/>
          <w:szCs w:val="28"/>
        </w:rPr>
        <w:t>济宁高新区管委会办公室                   2020年2月14日印发</w:t>
      </w:r>
      <w:r>
        <w:rPr>
          <w:rFonts w:ascii="方正仿宋简体" w:hAnsi="Calibri" w:eastAsia="方正仿宋简体"/>
          <w:sz w:val="28"/>
          <w:szCs w:val="28"/>
        </w:rPr>
        <w:pict>
          <v:line id="_x0000_s2052" o:spid="_x0000_s2052" o:spt="20" style="position:absolute;left:0pt;margin-left:0pt;margin-top:3.55pt;height:0pt;width:418.5pt;z-index:251662336;mso-width-relative:page;mso-height-relative:page;" stroked="f" coordsize="21600,21600" o:gfxdata="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se0UdMAAAAGAQAADwAAAAAAAAABACAAAAAiAAAAZHJzL2Rv&#10;d25yZXYueG1sUEsBAhQAFAAAAAgAh07iQLsZWDTNAQAAjQMAAA4AAAAAAAAAAQAgAAAAIgEAAGRy&#10;cy9lMm9Eb2MueG1sUEsFBgAAAAAGAAYAWQEAAGEFAAAAAA==&#10;">
            <v:path arrowok="t"/>
            <v:fill focussize="0,0"/>
            <v:stroke on="f" weight="0.25pt"/>
            <v:imagedata o:title=""/>
            <o:lock v:ext="edit"/>
          </v:line>
        </w:pict>
      </w:r>
    </w:p>
    <w:sectPr>
      <w:footerReference r:id="rId3" w:type="default"/>
      <w:footerReference r:id="rId4" w:type="even"/>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93395"/>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93399"/>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63A7"/>
    <w:multiLevelType w:val="singleLevel"/>
    <w:tmpl w:val="586C63A7"/>
    <w:lvl w:ilvl="0" w:tentative="0">
      <w:start w:val="1"/>
      <w:numFmt w:val="chineseCounting"/>
      <w:suff w:val="nothing"/>
      <w:lvlText w:val="（%1）"/>
      <w:lvlJc w:val="left"/>
      <w:rPr>
        <w:rFonts w:cs="Times New Roman"/>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4473"/>
    <w:rsid w:val="00000C43"/>
    <w:rsid w:val="0000690D"/>
    <w:rsid w:val="00023CA8"/>
    <w:rsid w:val="00026EA7"/>
    <w:rsid w:val="00060418"/>
    <w:rsid w:val="00060F36"/>
    <w:rsid w:val="000853F9"/>
    <w:rsid w:val="000E5759"/>
    <w:rsid w:val="00127FFB"/>
    <w:rsid w:val="00136FA9"/>
    <w:rsid w:val="001554D0"/>
    <w:rsid w:val="0017554E"/>
    <w:rsid w:val="00203C11"/>
    <w:rsid w:val="00216C0E"/>
    <w:rsid w:val="00242228"/>
    <w:rsid w:val="00257934"/>
    <w:rsid w:val="002C2BC6"/>
    <w:rsid w:val="002C65EC"/>
    <w:rsid w:val="002F2A4F"/>
    <w:rsid w:val="002F5354"/>
    <w:rsid w:val="00311F66"/>
    <w:rsid w:val="00352DD2"/>
    <w:rsid w:val="00370325"/>
    <w:rsid w:val="00377A9D"/>
    <w:rsid w:val="003C18E4"/>
    <w:rsid w:val="004045F7"/>
    <w:rsid w:val="004170B7"/>
    <w:rsid w:val="00432C1C"/>
    <w:rsid w:val="00436650"/>
    <w:rsid w:val="00487EAC"/>
    <w:rsid w:val="004A1644"/>
    <w:rsid w:val="004A7468"/>
    <w:rsid w:val="004E0146"/>
    <w:rsid w:val="00522BE6"/>
    <w:rsid w:val="00555EDB"/>
    <w:rsid w:val="00562853"/>
    <w:rsid w:val="005656F8"/>
    <w:rsid w:val="00574962"/>
    <w:rsid w:val="0059458C"/>
    <w:rsid w:val="00597425"/>
    <w:rsid w:val="005E7CCC"/>
    <w:rsid w:val="005F394E"/>
    <w:rsid w:val="00624288"/>
    <w:rsid w:val="00635FD5"/>
    <w:rsid w:val="006449A2"/>
    <w:rsid w:val="00671EA7"/>
    <w:rsid w:val="00694802"/>
    <w:rsid w:val="006C47FF"/>
    <w:rsid w:val="006C5C4E"/>
    <w:rsid w:val="0071490E"/>
    <w:rsid w:val="0073505A"/>
    <w:rsid w:val="00736C30"/>
    <w:rsid w:val="0077292D"/>
    <w:rsid w:val="00793538"/>
    <w:rsid w:val="007D6137"/>
    <w:rsid w:val="008050D6"/>
    <w:rsid w:val="0081794C"/>
    <w:rsid w:val="00853C40"/>
    <w:rsid w:val="00893289"/>
    <w:rsid w:val="008A69F3"/>
    <w:rsid w:val="008B1962"/>
    <w:rsid w:val="008E05DB"/>
    <w:rsid w:val="009078F1"/>
    <w:rsid w:val="00941C1F"/>
    <w:rsid w:val="009444CF"/>
    <w:rsid w:val="00976092"/>
    <w:rsid w:val="00981425"/>
    <w:rsid w:val="009B3E4A"/>
    <w:rsid w:val="009D016C"/>
    <w:rsid w:val="00A11167"/>
    <w:rsid w:val="00A34473"/>
    <w:rsid w:val="00A67059"/>
    <w:rsid w:val="00A7457A"/>
    <w:rsid w:val="00AB5ACD"/>
    <w:rsid w:val="00B0718F"/>
    <w:rsid w:val="00B12131"/>
    <w:rsid w:val="00B21685"/>
    <w:rsid w:val="00B26792"/>
    <w:rsid w:val="00B5442B"/>
    <w:rsid w:val="00BA06B4"/>
    <w:rsid w:val="00C853B1"/>
    <w:rsid w:val="00CE3C7E"/>
    <w:rsid w:val="00CE504D"/>
    <w:rsid w:val="00D32653"/>
    <w:rsid w:val="00D41498"/>
    <w:rsid w:val="00D57E2D"/>
    <w:rsid w:val="00D82DBA"/>
    <w:rsid w:val="00DB7D45"/>
    <w:rsid w:val="00DF53C8"/>
    <w:rsid w:val="00E20A28"/>
    <w:rsid w:val="00E72ED6"/>
    <w:rsid w:val="00E85DB4"/>
    <w:rsid w:val="00EA0307"/>
    <w:rsid w:val="00EE2315"/>
    <w:rsid w:val="00F261CF"/>
    <w:rsid w:val="00F536E5"/>
    <w:rsid w:val="00F55A39"/>
    <w:rsid w:val="00FB5304"/>
    <w:rsid w:val="00FC4A90"/>
    <w:rsid w:val="00FD3513"/>
    <w:rsid w:val="00FD67BB"/>
    <w:rsid w:val="452E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adjustRightInd w:val="0"/>
      <w:snapToGrid w:val="0"/>
      <w:spacing w:before="100" w:beforeAutospacing="1" w:after="100" w:afterAutospacing="1"/>
      <w:jc w:val="left"/>
    </w:pPr>
    <w:rPr>
      <w:rFonts w:ascii="Times New Roman" w:hAnsi="Times New Roman" w:eastAsia="宋体" w:cs="Times New Roman"/>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62B35-84EA-428C-B7BD-2E53D8DED45B}">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8</Pages>
  <Words>351</Words>
  <Characters>2003</Characters>
  <Lines>16</Lines>
  <Paragraphs>4</Paragraphs>
  <TotalTime>6</TotalTime>
  <ScaleCrop>false</ScaleCrop>
  <LinksUpToDate>false</LinksUpToDate>
  <CharactersWithSpaces>2350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2019-03-04T01:50:00Z</dcterms:created>
  <dc:creator>微软中国</dc:creator>
  <cp:lastModifiedBy>Administrator</cp:lastModifiedBy>
  <cp:lastPrinted>2020-11-25T07:15:22Z</cp:lastPrinted>
  <dcterms:modified xsi:type="dcterms:W3CDTF">2020-11-25T07:18:03Z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