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rPr>
          <w:rFonts w:ascii="方正仿宋简体" w:eastAsia="方正仿宋简体"/>
          <w:b/>
          <w:color w:val="000000" w:themeColor="text1"/>
          <w:sz w:val="32"/>
          <w:szCs w:val="32"/>
          <w14:textFill>
            <w14:solidFill>
              <w14:schemeClr w14:val="tx1"/>
            </w14:solidFill>
          </w14:textFill>
        </w:rPr>
      </w:pPr>
    </w:p>
    <w:p>
      <w:pPr>
        <w:spacing w:line="590" w:lineRule="exact"/>
        <w:ind w:right="-100"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lang w:val="en-US" w:eastAsia="zh-CN"/>
          <w14:textFill>
            <w14:solidFill>
              <w14:schemeClr w14:val="tx1"/>
            </w14:solidFill>
          </w14:textFill>
        </w:rPr>
        <w:t>柳行街道办事处</w:t>
      </w:r>
      <w:r>
        <w:rPr>
          <w:rFonts w:hint="eastAsia" w:ascii="方正小标宋简体" w:eastAsia="方正小标宋简体"/>
          <w:b/>
          <w:color w:val="000000" w:themeColor="text1"/>
          <w:sz w:val="44"/>
          <w:szCs w:val="44"/>
          <w14:textFill>
            <w14:solidFill>
              <w14:schemeClr w14:val="tx1"/>
            </w14:solidFill>
          </w14:textFill>
        </w:rPr>
        <w:t>2021年政府信息公开</w:t>
      </w:r>
    </w:p>
    <w:p>
      <w:pPr>
        <w:spacing w:line="590" w:lineRule="exact"/>
        <w:ind w:right="-100"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工作年度报告</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本报告由</w:t>
      </w:r>
      <w:r>
        <w:rPr>
          <w:rFonts w:hint="eastAsia" w:ascii="方正仿宋简体" w:eastAsia="方正仿宋简体"/>
          <w:b/>
          <w:color w:val="000000" w:themeColor="text1"/>
          <w:sz w:val="32"/>
          <w:szCs w:val="32"/>
          <w:lang w:val="en-US" w:eastAsia="zh-CN"/>
          <w14:textFill>
            <w14:solidFill>
              <w14:schemeClr w14:val="tx1"/>
            </w14:solidFill>
          </w14:textFill>
        </w:rPr>
        <w:t>柳行街道办事处</w:t>
      </w:r>
      <w:r>
        <w:rPr>
          <w:rFonts w:hint="eastAsia" w:ascii="方正仿宋简体" w:eastAsia="方正仿宋简体"/>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本报告所列数据的统计期限自2021年1月1日起至2021年12月31日止。本报告电子版可在济宁国家高新技术产业开发区”管委会门户网站（www.jnhn.gov.cn）查阅或下载。如对本报告有疑问，请与</w:t>
      </w:r>
      <w:r>
        <w:rPr>
          <w:rFonts w:hint="eastAsia" w:ascii="方正仿宋简体" w:eastAsia="方正仿宋简体"/>
          <w:b/>
          <w:color w:val="000000" w:themeColor="text1"/>
          <w:sz w:val="32"/>
          <w:szCs w:val="32"/>
          <w:lang w:val="en-US" w:eastAsia="zh-CN"/>
          <w14:textFill>
            <w14:solidFill>
              <w14:schemeClr w14:val="tx1"/>
            </w14:solidFill>
          </w14:textFill>
        </w:rPr>
        <w:t>柳行街道办事处</w:t>
      </w:r>
      <w:r>
        <w:rPr>
          <w:rFonts w:hint="eastAsia" w:ascii="方正仿宋简体" w:eastAsia="方正仿宋简体"/>
          <w:b/>
          <w:color w:val="000000" w:themeColor="text1"/>
          <w:sz w:val="32"/>
          <w:szCs w:val="32"/>
          <w14:textFill>
            <w14:solidFill>
              <w14:schemeClr w14:val="tx1"/>
            </w14:solidFill>
          </w14:textFill>
        </w:rPr>
        <w:t>联系（地址：</w:t>
      </w:r>
      <w:r>
        <w:rPr>
          <w:rFonts w:hint="eastAsia" w:ascii="方正仿宋简体" w:eastAsia="方正仿宋简体"/>
          <w:b/>
          <w:color w:val="000000" w:themeColor="text1"/>
          <w:sz w:val="32"/>
          <w:szCs w:val="32"/>
          <w:lang w:val="en-US" w:eastAsia="zh-CN"/>
          <w14:textFill>
            <w14:solidFill>
              <w14:schemeClr w14:val="tx1"/>
            </w14:solidFill>
          </w14:textFill>
        </w:rPr>
        <w:t>济宁高新区柳行街道办事处</w:t>
      </w:r>
      <w:r>
        <w:rPr>
          <w:rFonts w:hint="eastAsia" w:ascii="方正仿宋简体" w:eastAsia="方正仿宋简体"/>
          <w:b/>
          <w:color w:val="000000" w:themeColor="text1"/>
          <w:sz w:val="32"/>
          <w:szCs w:val="32"/>
          <w14:textFill>
            <w14:solidFill>
              <w14:schemeClr w14:val="tx1"/>
            </w14:solidFill>
          </w14:textFill>
        </w:rPr>
        <w:t>，联系电话：0537-</w:t>
      </w:r>
      <w:r>
        <w:rPr>
          <w:rFonts w:hint="eastAsia" w:ascii="方正仿宋简体" w:eastAsia="方正仿宋简体"/>
          <w:b/>
          <w:color w:val="000000" w:themeColor="text1"/>
          <w:sz w:val="32"/>
          <w:szCs w:val="32"/>
          <w:lang w:val="en-US" w:eastAsia="zh-CN"/>
          <w14:textFill>
            <w14:solidFill>
              <w14:schemeClr w14:val="tx1"/>
            </w14:solidFill>
          </w14:textFill>
        </w:rPr>
        <w:t>3236699</w:t>
      </w:r>
      <w:r>
        <w:rPr>
          <w:rFonts w:hint="eastAsia" w:ascii="方正仿宋简体" w:eastAsia="方正仿宋简体"/>
          <w:b/>
          <w:color w:val="000000" w:themeColor="text1"/>
          <w:sz w:val="32"/>
          <w:szCs w:val="32"/>
          <w14:textFill>
            <w14:solidFill>
              <w14:schemeClr w14:val="tx1"/>
            </w14:solidFill>
          </w14:textFill>
        </w:rPr>
        <w:t>）。</w:t>
      </w:r>
    </w:p>
    <w:p>
      <w:pPr>
        <w:spacing w:line="590" w:lineRule="exact"/>
        <w:ind w:right="-100" w:rightChars="-50" w:firstLine="641"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一、总体情况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hint="eastAsia" w:ascii="方正仿宋简体" w:hAnsi="方正仿宋简体" w:eastAsia="方正仿宋简体" w:cs="方正仿宋简体"/>
          <w:b/>
          <w:sz w:val="32"/>
          <w:szCs w:val="32"/>
          <w:shd w:val="clear" w:color="auto" w:fill="FFFFFF"/>
        </w:rPr>
      </w:pPr>
      <w:r>
        <w:rPr>
          <w:rFonts w:hint="eastAsia" w:ascii="方正仿宋简体" w:hAnsi="方正仿宋简体" w:eastAsia="方正仿宋简体" w:cs="方正仿宋简体"/>
          <w:b/>
          <w:sz w:val="32"/>
          <w:szCs w:val="32"/>
          <w:shd w:val="clear" w:color="auto" w:fill="FFFFFF"/>
          <w:lang w:val="en-US" w:eastAsia="zh-CN"/>
        </w:rPr>
        <w:t>2021</w:t>
      </w:r>
      <w:r>
        <w:rPr>
          <w:rFonts w:hint="eastAsia" w:ascii="方正仿宋简体" w:hAnsi="方正仿宋简体" w:eastAsia="方正仿宋简体" w:cs="方正仿宋简体"/>
          <w:b/>
          <w:sz w:val="32"/>
          <w:szCs w:val="32"/>
          <w:shd w:val="clear" w:color="auto" w:fill="FFFFFF"/>
        </w:rPr>
        <w:t xml:space="preserve">年，我街道认真执行《条例》规定，高度重视政府信息公开工作，逐步健全完善政府信息公开工作机制，积极稳妥推进，确保政府信息公开工作依法、规范、有序进行，现将有关工作报告如下： </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hint="eastAsia" w:ascii="方正仿宋简体" w:hAnsi="方正仿宋简体" w:eastAsia="方正仿宋简体" w:cs="方正仿宋简体"/>
          <w:b/>
          <w:color w:val="0000FF"/>
          <w:sz w:val="32"/>
          <w:szCs w:val="32"/>
          <w:shd w:val="clear" w:color="auto" w:fill="FFFFFF"/>
        </w:rPr>
      </w:pPr>
      <w:bookmarkStart w:id="0" w:name="OLE_LINK1"/>
      <w:r>
        <w:rPr>
          <w:rFonts w:hint="eastAsia" w:ascii="方正仿宋简体" w:hAnsi="方正仿宋简体" w:eastAsia="方正仿宋简体" w:cs="方正仿宋简体"/>
          <w:b/>
          <w:color w:val="auto"/>
          <w:sz w:val="32"/>
          <w:szCs w:val="32"/>
          <w:shd w:val="clear" w:color="auto" w:fill="FFFFFF"/>
          <w:lang w:val="en-US" w:eastAsia="zh-CN"/>
        </w:rPr>
        <w:t>2021</w:t>
      </w:r>
      <w:r>
        <w:rPr>
          <w:rFonts w:hint="eastAsia" w:ascii="方正仿宋简体" w:hAnsi="方正仿宋简体" w:eastAsia="方正仿宋简体" w:cs="方正仿宋简体"/>
          <w:b/>
          <w:color w:val="auto"/>
          <w:sz w:val="32"/>
          <w:szCs w:val="32"/>
          <w:shd w:val="clear" w:color="auto" w:fill="FFFFFF"/>
        </w:rPr>
        <w:t>年我街道累计在济宁高新区管委会门户网站上主动公开政府信息</w:t>
      </w:r>
      <w:r>
        <w:rPr>
          <w:rFonts w:hint="eastAsia" w:ascii="方正仿宋简体" w:hAnsi="方正仿宋简体" w:eastAsia="方正仿宋简体" w:cs="方正仿宋简体"/>
          <w:b/>
          <w:color w:val="auto"/>
          <w:sz w:val="32"/>
          <w:szCs w:val="32"/>
          <w:shd w:val="clear" w:color="auto" w:fill="FFFFFF"/>
          <w:lang w:val="en-US" w:eastAsia="zh-CN"/>
        </w:rPr>
        <w:t>103</w:t>
      </w:r>
      <w:r>
        <w:rPr>
          <w:rFonts w:hint="eastAsia" w:ascii="方正仿宋简体" w:hAnsi="方正仿宋简体" w:eastAsia="方正仿宋简体" w:cs="方正仿宋简体"/>
          <w:b/>
          <w:color w:val="auto"/>
          <w:sz w:val="32"/>
          <w:szCs w:val="32"/>
          <w:shd w:val="clear" w:color="auto" w:fill="FFFFFF"/>
        </w:rPr>
        <w:t>条，其中</w:t>
      </w:r>
      <w:r>
        <w:rPr>
          <w:rFonts w:hint="eastAsia" w:ascii="方正仿宋简体" w:hAnsi="方正仿宋简体" w:eastAsia="方正仿宋简体" w:cs="方正仿宋简体"/>
          <w:b/>
          <w:color w:val="auto"/>
          <w:sz w:val="32"/>
          <w:szCs w:val="32"/>
          <w:shd w:val="clear" w:color="auto" w:fill="FFFFFF"/>
          <w:lang w:val="en-US" w:eastAsia="zh-CN"/>
        </w:rPr>
        <w:t>组织机构类1条；</w:t>
      </w:r>
      <w:r>
        <w:rPr>
          <w:rFonts w:hint="eastAsia" w:ascii="方正仿宋简体" w:hAnsi="方正仿宋简体" w:eastAsia="方正仿宋简体" w:cs="方正仿宋简体"/>
          <w:b/>
          <w:color w:val="auto"/>
          <w:sz w:val="32"/>
          <w:szCs w:val="32"/>
          <w:shd w:val="clear" w:color="auto" w:fill="FFFFFF"/>
        </w:rPr>
        <w:t>政策文件类</w:t>
      </w:r>
      <w:r>
        <w:rPr>
          <w:rFonts w:hint="eastAsia" w:ascii="方正仿宋简体" w:hAnsi="方正仿宋简体" w:eastAsia="方正仿宋简体" w:cs="方正仿宋简体"/>
          <w:b/>
          <w:color w:val="auto"/>
          <w:sz w:val="32"/>
          <w:szCs w:val="32"/>
          <w:shd w:val="clear" w:color="auto" w:fill="FFFFFF"/>
          <w:lang w:val="en-US" w:eastAsia="zh-CN"/>
        </w:rPr>
        <w:t>7</w:t>
      </w:r>
      <w:r>
        <w:rPr>
          <w:rFonts w:hint="eastAsia" w:ascii="方正仿宋简体" w:hAnsi="方正仿宋简体" w:eastAsia="方正仿宋简体" w:cs="方正仿宋简体"/>
          <w:b/>
          <w:color w:val="auto"/>
          <w:sz w:val="32"/>
          <w:szCs w:val="32"/>
          <w:shd w:val="clear" w:color="auto" w:fill="FFFFFF"/>
        </w:rPr>
        <w:t>条；会议公开类</w:t>
      </w:r>
      <w:r>
        <w:rPr>
          <w:rFonts w:hint="eastAsia" w:ascii="方正仿宋简体" w:hAnsi="方正仿宋简体" w:eastAsia="方正仿宋简体" w:cs="方正仿宋简体"/>
          <w:b/>
          <w:color w:val="auto"/>
          <w:sz w:val="32"/>
          <w:szCs w:val="32"/>
          <w:shd w:val="clear" w:color="auto" w:fill="FFFFFF"/>
          <w:lang w:val="en-US" w:eastAsia="zh-CN"/>
        </w:rPr>
        <w:t>32</w:t>
      </w:r>
      <w:r>
        <w:rPr>
          <w:rFonts w:hint="eastAsia" w:ascii="方正仿宋简体" w:hAnsi="方正仿宋简体" w:eastAsia="方正仿宋简体" w:cs="方正仿宋简体"/>
          <w:b/>
          <w:color w:val="auto"/>
          <w:sz w:val="32"/>
          <w:szCs w:val="32"/>
          <w:shd w:val="clear" w:color="auto" w:fill="FFFFFF"/>
        </w:rPr>
        <w:t>条；行政权力运行公开类</w:t>
      </w:r>
      <w:r>
        <w:rPr>
          <w:rFonts w:hint="eastAsia" w:ascii="方正仿宋简体" w:hAnsi="方正仿宋简体" w:eastAsia="方正仿宋简体" w:cs="方正仿宋简体"/>
          <w:b/>
          <w:color w:val="auto"/>
          <w:sz w:val="32"/>
          <w:szCs w:val="32"/>
          <w:shd w:val="clear" w:color="auto" w:fill="FFFFFF"/>
          <w:lang w:val="en-US" w:eastAsia="zh-CN"/>
        </w:rPr>
        <w:t>10</w:t>
      </w:r>
      <w:r>
        <w:rPr>
          <w:rFonts w:hint="eastAsia" w:ascii="方正仿宋简体" w:hAnsi="方正仿宋简体" w:eastAsia="方正仿宋简体" w:cs="方正仿宋简体"/>
          <w:b/>
          <w:color w:val="auto"/>
          <w:sz w:val="32"/>
          <w:szCs w:val="32"/>
          <w:shd w:val="clear" w:color="auto" w:fill="FFFFFF"/>
        </w:rPr>
        <w:t>条；</w:t>
      </w:r>
      <w:r>
        <w:rPr>
          <w:rFonts w:hint="eastAsia" w:ascii="方正仿宋简体" w:hAnsi="方正仿宋简体" w:eastAsia="方正仿宋简体" w:cs="方正仿宋简体"/>
          <w:b/>
          <w:color w:val="auto"/>
          <w:sz w:val="32"/>
          <w:szCs w:val="32"/>
          <w:shd w:val="clear" w:color="auto" w:fill="FFFFFF"/>
          <w:lang w:val="en-US" w:eastAsia="zh-CN"/>
        </w:rPr>
        <w:t>重点领域信息公开类2条；社会公益事业建设领域类18条；安全生产类1条；公式公告类6条；</w:t>
      </w:r>
      <w:r>
        <w:rPr>
          <w:rFonts w:hint="eastAsia" w:ascii="方正仿宋简体" w:hAnsi="方正仿宋简体" w:eastAsia="方正仿宋简体" w:cs="方正仿宋简体"/>
          <w:b/>
          <w:color w:val="auto"/>
          <w:sz w:val="32"/>
          <w:szCs w:val="32"/>
          <w:shd w:val="clear" w:color="auto" w:fill="FFFFFF"/>
        </w:rPr>
        <w:t>应急管理类</w:t>
      </w:r>
      <w:r>
        <w:rPr>
          <w:rFonts w:hint="eastAsia" w:ascii="方正仿宋简体" w:hAnsi="方正仿宋简体" w:eastAsia="方正仿宋简体" w:cs="方正仿宋简体"/>
          <w:b/>
          <w:color w:val="auto"/>
          <w:sz w:val="32"/>
          <w:szCs w:val="32"/>
          <w:shd w:val="clear" w:color="auto" w:fill="FFFFFF"/>
          <w:lang w:val="en-US" w:eastAsia="zh-CN"/>
        </w:rPr>
        <w:t>9</w:t>
      </w:r>
      <w:r>
        <w:rPr>
          <w:rFonts w:hint="eastAsia" w:ascii="方正仿宋简体" w:hAnsi="方正仿宋简体" w:eastAsia="方正仿宋简体" w:cs="方正仿宋简体"/>
          <w:b/>
          <w:color w:val="auto"/>
          <w:sz w:val="32"/>
          <w:szCs w:val="32"/>
          <w:shd w:val="clear" w:color="auto" w:fill="FFFFFF"/>
        </w:rPr>
        <w:t>条；政务动态类</w:t>
      </w:r>
      <w:r>
        <w:rPr>
          <w:rFonts w:hint="eastAsia" w:ascii="方正仿宋简体" w:hAnsi="方正仿宋简体" w:eastAsia="方正仿宋简体" w:cs="方正仿宋简体"/>
          <w:b/>
          <w:color w:val="auto"/>
          <w:sz w:val="32"/>
          <w:szCs w:val="32"/>
          <w:shd w:val="clear" w:color="auto" w:fill="FFFFFF"/>
          <w:lang w:val="en-US" w:eastAsia="zh-CN"/>
        </w:rPr>
        <w:t>14</w:t>
      </w:r>
      <w:r>
        <w:rPr>
          <w:rFonts w:hint="eastAsia" w:ascii="方正仿宋简体" w:hAnsi="方正仿宋简体" w:eastAsia="方正仿宋简体" w:cs="方正仿宋简体"/>
          <w:b/>
          <w:color w:val="auto"/>
          <w:sz w:val="32"/>
          <w:szCs w:val="32"/>
          <w:shd w:val="clear" w:color="auto" w:fill="FFFFFF"/>
        </w:rPr>
        <w:t>条</w:t>
      </w:r>
      <w:r>
        <w:rPr>
          <w:rFonts w:hint="eastAsia" w:ascii="方正仿宋简体" w:hAnsi="方正仿宋简体" w:eastAsia="方正仿宋简体" w:cs="方正仿宋简体"/>
          <w:b/>
          <w:color w:val="auto"/>
          <w:sz w:val="32"/>
          <w:szCs w:val="32"/>
          <w:shd w:val="clear" w:color="auto" w:fill="FFFFFF"/>
          <w:lang w:eastAsia="zh-CN"/>
        </w:rPr>
        <w:t>；</w:t>
      </w:r>
      <w:r>
        <w:rPr>
          <w:rFonts w:hint="eastAsia" w:ascii="方正仿宋简体" w:hAnsi="方正仿宋简体" w:eastAsia="方正仿宋简体" w:cs="方正仿宋简体"/>
          <w:b/>
          <w:color w:val="auto"/>
          <w:sz w:val="32"/>
          <w:szCs w:val="32"/>
          <w:shd w:val="clear" w:color="auto" w:fill="FFFFFF"/>
          <w:lang w:val="en-US" w:eastAsia="zh-CN"/>
        </w:rPr>
        <w:t>主动公开基本目录类1条；试点领域标准目录1条；信息公开指南1条</w:t>
      </w:r>
      <w:r>
        <w:rPr>
          <w:rFonts w:hint="eastAsia" w:ascii="方正仿宋简体" w:hAnsi="方正仿宋简体" w:eastAsia="方正仿宋简体" w:cs="方正仿宋简体"/>
          <w:b/>
          <w:color w:val="auto"/>
          <w:sz w:val="32"/>
          <w:szCs w:val="32"/>
          <w:shd w:val="clear" w:color="auto" w:fill="FFFFFF"/>
        </w:rPr>
        <w:t>。</w:t>
      </w:r>
    </w:p>
    <w:bookmarkEnd w:id="0"/>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（一）主动公开情况</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2021年济宁高新区</w:t>
      </w:r>
      <w:r>
        <w:rPr>
          <w:rFonts w:hint="eastAsia" w:ascii="方正仿宋简体" w:eastAsia="方正仿宋简体"/>
          <w:b/>
          <w:color w:val="000000" w:themeColor="text1"/>
          <w:sz w:val="32"/>
          <w:szCs w:val="32"/>
          <w:lang w:val="en-US" w:eastAsia="zh-CN"/>
          <w14:textFill>
            <w14:solidFill>
              <w14:schemeClr w14:val="tx1"/>
            </w14:solidFill>
          </w14:textFill>
        </w:rPr>
        <w:t>柳行街道办事处</w:t>
      </w:r>
      <w:r>
        <w:rPr>
          <w:rFonts w:hint="eastAsia" w:ascii="方正仿宋简体" w:eastAsia="方正仿宋简体"/>
          <w:b/>
          <w:color w:val="000000" w:themeColor="text1"/>
          <w:sz w:val="32"/>
          <w:szCs w:val="32"/>
          <w14:textFill>
            <w14:solidFill>
              <w14:schemeClr w14:val="tx1"/>
            </w14:solidFill>
          </w14:textFill>
        </w:rPr>
        <w:t>在济宁高新区管委会门户网站主动发布了政策文件、会议公开、年度工作计划、行政权力运行公开和重点领域信息公开等方面信息10</w:t>
      </w:r>
      <w:r>
        <w:rPr>
          <w:rFonts w:hint="eastAsia" w:ascii="方正仿宋简体" w:eastAsia="方正仿宋简体"/>
          <w:b/>
          <w:color w:val="000000" w:themeColor="text1"/>
          <w:sz w:val="32"/>
          <w:szCs w:val="32"/>
          <w:lang w:val="en-US" w:eastAsia="zh-CN"/>
          <w14:textFill>
            <w14:solidFill>
              <w14:schemeClr w14:val="tx1"/>
            </w14:solidFill>
          </w14:textFill>
        </w:rPr>
        <w:t>3</w:t>
      </w:r>
      <w:r>
        <w:rPr>
          <w:rFonts w:hint="eastAsia" w:ascii="方正仿宋简体" w:eastAsia="方正仿宋简体"/>
          <w:b/>
          <w:color w:val="000000" w:themeColor="text1"/>
          <w:sz w:val="32"/>
          <w:szCs w:val="32"/>
          <w14:textFill>
            <w14:solidFill>
              <w14:schemeClr w14:val="tx1"/>
            </w14:solidFill>
          </w14:textFill>
        </w:rPr>
        <w:t>条，全面公开综合</w:t>
      </w:r>
      <w:r>
        <w:rPr>
          <w:rFonts w:hint="eastAsia" w:ascii="方正仿宋简体" w:eastAsia="方正仿宋简体"/>
          <w:b/>
          <w:color w:val="000000" w:themeColor="text1"/>
          <w:sz w:val="32"/>
          <w:szCs w:val="32"/>
          <w:lang w:val="en-US" w:eastAsia="zh-CN"/>
          <w14:textFill>
            <w14:solidFill>
              <w14:schemeClr w14:val="tx1"/>
            </w14:solidFill>
          </w14:textFill>
        </w:rPr>
        <w:t>柳行街道办事处</w:t>
      </w:r>
      <w:r>
        <w:rPr>
          <w:rFonts w:hint="eastAsia" w:ascii="方正仿宋简体" w:eastAsia="方正仿宋简体"/>
          <w:b/>
          <w:color w:val="000000" w:themeColor="text1"/>
          <w:sz w:val="32"/>
          <w:szCs w:val="32"/>
          <w14:textFill>
            <w14:solidFill>
              <w14:schemeClr w14:val="tx1"/>
            </w14:solidFill>
          </w14:textFill>
        </w:rPr>
        <w:t>各方面工作，让群众更加理解支持我们的工作。</w:t>
      </w:r>
    </w:p>
    <w:p>
      <w:pPr>
        <w:spacing w:line="590" w:lineRule="exact"/>
        <w:ind w:right="-100" w:rightChars="-50" w:firstLine="643" w:firstLineChars="200"/>
        <w:rPr>
          <w:rFonts w:hint="eastAsia" w:ascii="方正楷体简体" w:hAnsi="Times New Roman" w:eastAsia="方正楷体简体" w:cs="Times New Roman"/>
          <w:b/>
          <w:color w:val="000000" w:themeColor="text1"/>
          <w:sz w:val="32"/>
          <w:szCs w:val="32"/>
          <w:lang w:val="en-US" w:eastAsia="zh-CN"/>
          <w14:textFill>
            <w14:solidFill>
              <w14:schemeClr w14:val="tx1"/>
            </w14:solidFill>
          </w14:textFill>
        </w:rPr>
      </w:pPr>
      <w:r>
        <w:rPr>
          <w:rFonts w:hint="eastAsia" w:ascii="方正楷体简体" w:hAnsi="Times New Roman" w:eastAsia="方正楷体简体" w:cs="Times New Roman"/>
          <w:b/>
          <w:color w:val="000000" w:themeColor="text1"/>
          <w:sz w:val="32"/>
          <w:szCs w:val="32"/>
          <w:lang w:val="en-US" w:eastAsia="zh-CN"/>
          <w14:textFill>
            <w14:solidFill>
              <w14:schemeClr w14:val="tx1"/>
            </w14:solidFill>
          </w14:textFill>
        </w:rPr>
        <w:t>（二）依申请公开情况</w:t>
      </w:r>
    </w:p>
    <w:p>
      <w:pPr>
        <w:spacing w:line="590" w:lineRule="exact"/>
        <w:ind w:right="-100" w:rightChars="-50" w:firstLine="643" w:firstLineChars="200"/>
        <w:rPr>
          <w:rFonts w:hint="eastAsia" w:ascii="方正仿宋简体" w:hAnsi="方正仿宋简体" w:eastAsia="方正仿宋简体" w:cs="方正仿宋简体"/>
          <w:b/>
          <w:color w:val="auto"/>
          <w:kern w:val="0"/>
          <w:sz w:val="32"/>
          <w:szCs w:val="32"/>
          <w:shd w:val="clear" w:color="auto" w:fill="FFFFFF"/>
          <w:lang w:val="en-US" w:eastAsia="zh-CN" w:bidi="ar"/>
        </w:rPr>
      </w:pPr>
      <w:r>
        <w:rPr>
          <w:rFonts w:hint="eastAsia" w:ascii="方正仿宋简体" w:hAnsi="方正仿宋简体" w:eastAsia="方正仿宋简体" w:cs="方正仿宋简体"/>
          <w:b/>
          <w:color w:val="auto"/>
          <w:kern w:val="0"/>
          <w:sz w:val="32"/>
          <w:szCs w:val="32"/>
          <w:shd w:val="clear" w:color="auto" w:fill="FFFFFF"/>
          <w:lang w:val="en-US" w:eastAsia="zh-CN" w:bidi="ar"/>
        </w:rPr>
        <w:t>规范依申请公开办理工作，完善信息处理流程，及时办理依申请公开件，保障了公民、法人和其他组织依法获取政府信息的权利，充分发挥政府信息的作用，畅通了诉求渠道，提升了信息公开服务水平。济宁高新区柳行街道办事处2021年无依申请公开的案件。</w:t>
      </w:r>
    </w:p>
    <w:p>
      <w:pPr>
        <w:spacing w:line="590" w:lineRule="exact"/>
        <w:ind w:right="-100" w:rightChars="-50" w:firstLine="643" w:firstLineChars="200"/>
        <w:rPr>
          <w:rFonts w:hint="eastAsia" w:ascii="方正楷体简体" w:hAnsi="Times New Roman" w:eastAsia="方正楷体简体" w:cs="Times New Roman"/>
          <w:b/>
          <w:color w:val="000000" w:themeColor="text1"/>
          <w:sz w:val="32"/>
          <w:szCs w:val="32"/>
          <w:lang w:val="en-US" w:eastAsia="zh-CN"/>
          <w14:textFill>
            <w14:solidFill>
              <w14:schemeClr w14:val="tx1"/>
            </w14:solidFill>
          </w14:textFill>
        </w:rPr>
      </w:pPr>
      <w:r>
        <w:rPr>
          <w:rFonts w:hint="eastAsia" w:ascii="方正楷体简体" w:hAnsi="Times New Roman" w:eastAsia="方正楷体简体" w:cs="Times New Roman"/>
          <w:b/>
          <w:color w:val="000000" w:themeColor="text1"/>
          <w:sz w:val="32"/>
          <w:szCs w:val="32"/>
          <w:lang w:val="en-US" w:eastAsia="zh-CN"/>
          <w14:textFill>
            <w14:solidFill>
              <w14:schemeClr w14:val="tx1"/>
            </w14:solidFill>
          </w14:textFill>
        </w:rPr>
        <w:t>（三）政府信息管理情况</w:t>
      </w:r>
    </w:p>
    <w:p>
      <w:pPr>
        <w:spacing w:line="590" w:lineRule="exact"/>
        <w:ind w:right="-100" w:rightChars="-50" w:firstLine="643" w:firstLineChars="200"/>
        <w:rPr>
          <w:rFonts w:hint="eastAsia" w:ascii="方正仿宋简体" w:hAnsi="方正仿宋简体" w:eastAsia="方正仿宋简体" w:cs="方正仿宋简体"/>
          <w:b/>
          <w:color w:val="auto"/>
          <w:kern w:val="0"/>
          <w:sz w:val="32"/>
          <w:szCs w:val="32"/>
          <w:shd w:val="clear" w:color="auto" w:fill="FFFFFF"/>
          <w:lang w:val="en-US" w:eastAsia="zh-CN" w:bidi="ar"/>
        </w:rPr>
      </w:pPr>
      <w:r>
        <w:rPr>
          <w:rFonts w:hint="eastAsia" w:ascii="方正仿宋简体" w:hAnsi="方正仿宋简体" w:eastAsia="方正仿宋简体" w:cs="方正仿宋简体"/>
          <w:b/>
          <w:color w:val="auto"/>
          <w:kern w:val="0"/>
          <w:sz w:val="32"/>
          <w:szCs w:val="32"/>
          <w:shd w:val="clear" w:color="auto" w:fill="FFFFFF"/>
          <w:lang w:val="en-US" w:eastAsia="zh-CN" w:bidi="ar"/>
        </w:rPr>
        <w:t>加强政府信息管理制度建设,严格信息发布审核工作，编制公开工作通知，明确各部门是网站信息发布的“第一关口”，高度重视信息发布前“审核”工作，做好合规合法、语言文字、内容格式、保密审查等各方面把关工作，避免信息发布不当造成不良后果。</w:t>
      </w:r>
    </w:p>
    <w:p>
      <w:pPr>
        <w:spacing w:line="590" w:lineRule="exact"/>
        <w:ind w:right="-100" w:rightChars="-50" w:firstLine="643" w:firstLineChars="200"/>
        <w:rPr>
          <w:rFonts w:hint="eastAsia" w:ascii="方正楷体简体" w:hAnsi="Times New Roman" w:eastAsia="方正楷体简体" w:cs="Times New Roman"/>
          <w:b/>
          <w:color w:val="000000" w:themeColor="text1"/>
          <w:sz w:val="32"/>
          <w:szCs w:val="32"/>
          <w:lang w:val="en-US" w:eastAsia="zh-CN"/>
          <w14:textFill>
            <w14:solidFill>
              <w14:schemeClr w14:val="tx1"/>
            </w14:solidFill>
          </w14:textFill>
        </w:rPr>
      </w:pPr>
      <w:r>
        <w:rPr>
          <w:rFonts w:hint="eastAsia" w:ascii="方正楷体简体" w:hAnsi="Times New Roman" w:eastAsia="方正楷体简体" w:cs="Times New Roman"/>
          <w:b/>
          <w:color w:val="000000" w:themeColor="text1"/>
          <w:sz w:val="32"/>
          <w:szCs w:val="32"/>
          <w:lang w:val="en-US" w:eastAsia="zh-CN"/>
          <w14:textFill>
            <w14:solidFill>
              <w14:schemeClr w14:val="tx1"/>
            </w14:solidFill>
          </w14:textFill>
        </w:rPr>
        <w:t>（四）政府信息公开平台建设情况</w:t>
      </w:r>
    </w:p>
    <w:p>
      <w:pPr>
        <w:spacing w:line="590" w:lineRule="exact"/>
        <w:ind w:right="-100" w:rightChars="-50" w:firstLine="643" w:firstLineChars="200"/>
        <w:rPr>
          <w:rFonts w:hint="eastAsia" w:ascii="方正仿宋简体" w:hAnsi="方正仿宋简体" w:eastAsia="方正仿宋简体" w:cs="方正仿宋简体"/>
          <w:b/>
          <w:color w:val="auto"/>
          <w:kern w:val="0"/>
          <w:sz w:val="32"/>
          <w:szCs w:val="32"/>
          <w:shd w:val="clear" w:color="auto" w:fill="FFFFFF"/>
          <w:lang w:val="en-US" w:eastAsia="zh-CN" w:bidi="ar"/>
        </w:rPr>
      </w:pPr>
      <w:r>
        <w:rPr>
          <w:rFonts w:hint="eastAsia" w:ascii="方正仿宋简体" w:hAnsi="方正仿宋简体" w:eastAsia="方正仿宋简体" w:cs="方正仿宋简体"/>
          <w:b/>
          <w:color w:val="auto"/>
          <w:kern w:val="0"/>
          <w:sz w:val="32"/>
          <w:szCs w:val="32"/>
          <w:shd w:val="clear" w:color="auto" w:fill="FFFFFF"/>
          <w:lang w:val="en-US" w:eastAsia="zh-CN" w:bidi="ar"/>
        </w:rPr>
        <w:t>街道办事处已安排党政办专人负责更新管委会网站行政执法公示专栏和双随机一公开专栏，将行政执法情况和双随机一公开情况及时、准确地向社会公众发布，接受公众监督。</w:t>
      </w:r>
    </w:p>
    <w:p>
      <w:pPr>
        <w:spacing w:line="590" w:lineRule="exact"/>
        <w:ind w:right="-100" w:rightChars="-50" w:firstLine="643" w:firstLineChars="200"/>
        <w:rPr>
          <w:rFonts w:hint="eastAsia" w:ascii="方正楷体简体" w:hAnsi="Times New Roman" w:eastAsia="方正楷体简体" w:cs="Times New Roman"/>
          <w:b/>
          <w:color w:val="000000" w:themeColor="text1"/>
          <w:sz w:val="32"/>
          <w:szCs w:val="32"/>
          <w:lang w:val="en-US" w:eastAsia="zh-CN"/>
          <w14:textFill>
            <w14:solidFill>
              <w14:schemeClr w14:val="tx1"/>
            </w14:solidFill>
          </w14:textFill>
        </w:rPr>
      </w:pPr>
      <w:r>
        <w:rPr>
          <w:rFonts w:hint="eastAsia" w:ascii="方正楷体简体" w:hAnsi="Times New Roman" w:eastAsia="方正楷体简体" w:cs="Times New Roman"/>
          <w:b/>
          <w:color w:val="000000" w:themeColor="text1"/>
          <w:sz w:val="32"/>
          <w:szCs w:val="32"/>
          <w:lang w:val="en-US" w:eastAsia="zh-CN"/>
          <w14:textFill>
            <w14:solidFill>
              <w14:schemeClr w14:val="tx1"/>
            </w14:solidFill>
          </w14:textFill>
        </w:rPr>
        <w:t>（五）监督保障情况</w:t>
      </w:r>
    </w:p>
    <w:p>
      <w:pPr>
        <w:spacing w:line="590" w:lineRule="exact"/>
        <w:ind w:right="-100" w:rightChars="-50" w:firstLine="643" w:firstLineChars="200"/>
        <w:rPr>
          <w:rFonts w:hint="eastAsia" w:ascii="方正仿宋简体" w:hAnsi="方正仿宋简体" w:eastAsia="方正仿宋简体" w:cs="方正仿宋简体"/>
          <w:b/>
          <w:color w:val="auto"/>
          <w:kern w:val="0"/>
          <w:sz w:val="32"/>
          <w:szCs w:val="32"/>
          <w:shd w:val="clear" w:color="auto" w:fill="FFFFFF"/>
          <w:lang w:val="en-US" w:eastAsia="zh-CN" w:bidi="ar"/>
        </w:rPr>
      </w:pPr>
      <w:r>
        <w:rPr>
          <w:rFonts w:hint="eastAsia" w:ascii="方正仿宋简体" w:hAnsi="方正仿宋简体" w:eastAsia="方正仿宋简体" w:cs="方正仿宋简体"/>
          <w:b/>
          <w:color w:val="auto"/>
          <w:kern w:val="0"/>
          <w:sz w:val="32"/>
          <w:szCs w:val="32"/>
          <w:shd w:val="clear" w:color="auto" w:fill="FFFFFF"/>
          <w:lang w:val="en-US" w:eastAsia="zh-CN" w:bidi="ar"/>
        </w:rPr>
        <w:t>济宁高新区柳行街道办事处政务信息公开工作由一名主任作为分管负责人进行总体监督调度，党政办具体承办，且设置一名兼职人员具体办理政务信息审批单的收集及政务信息的上传工作。为进一步提升业务能力，采取多种形式，畅通监督渠道，充分发挥干部、职工和群众监督的作用。向社会公布监督电话，设意见箱。广泛收集群众对本单位政务信息公开工作的意见和建议，同时做好办理结果的反馈工作，以调动干部、职工和群众参与监督的积极性。</w:t>
      </w:r>
    </w:p>
    <w:p>
      <w:pPr>
        <w:spacing w:line="590" w:lineRule="exact"/>
        <w:ind w:right="-100" w:rightChars="-50" w:firstLine="641"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bidi="ar"/>
              </w:rPr>
              <w:t> </w:t>
            </w: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bidi="ar"/>
              </w:rPr>
              <w:t> </w:t>
            </w: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bidi="ar"/>
              </w:rPr>
              <w:t> </w:t>
            </w: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spacing w:before="62" w:beforeLines="10" w:after="62" w:afterLines="10" w:line="600" w:lineRule="exact"/>
        <w:ind w:firstLine="641"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hint="default"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default"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tcPr>
          <w:p>
            <w:pPr>
              <w:widowControl/>
              <w:spacing w:line="300" w:lineRule="exact"/>
              <w:jc w:val="center"/>
              <w:rPr>
                <w:rFonts w:hint="default"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spacing w:line="300" w:lineRule="exact"/>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hint="eastAsia" w:ascii="方正仿宋简体" w:hAnsi="方正仿宋简体" w:eastAsia="方正仿宋简体" w:cs="方正仿宋简体"/>
          <w:b/>
          <w:sz w:val="32"/>
          <w:szCs w:val="32"/>
          <w:shd w:val="clear" w:color="auto" w:fill="FFFFFF"/>
          <w:lang w:val="en-US" w:eastAsia="zh-CN"/>
        </w:rPr>
      </w:pPr>
      <w:r>
        <w:rPr>
          <w:rFonts w:hint="eastAsia" w:ascii="方正仿宋简体" w:hAnsi="方正仿宋简体" w:eastAsia="方正仿宋简体" w:cs="方正仿宋简体"/>
          <w:b/>
          <w:sz w:val="32"/>
          <w:szCs w:val="32"/>
          <w:shd w:val="clear" w:color="auto" w:fill="FFFFFF"/>
          <w:lang w:val="en-US" w:eastAsia="zh-CN"/>
        </w:rPr>
        <w:t>2021年，柳行街道办事处政府信息公开工作虽然取得了一些进步，但是对照文件规定和上级要求，距离社会公众的愿望，都还存在一定差距：一是政府信息公开的深度和广度还有待进一步拓展；二是公开信息的时效性有待进一步增强、内容需要进一步细化。</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hint="eastAsia" w:ascii="方正仿宋简体" w:hAnsi="方正仿宋简体" w:eastAsia="方正仿宋简体" w:cs="方正仿宋简体"/>
          <w:b/>
          <w:sz w:val="32"/>
          <w:szCs w:val="32"/>
          <w:shd w:val="clear" w:color="auto" w:fill="FFFFFF"/>
          <w:lang w:val="en-US" w:eastAsia="zh-CN"/>
        </w:rPr>
      </w:pPr>
      <w:r>
        <w:rPr>
          <w:rFonts w:hint="eastAsia" w:ascii="方正仿宋简体" w:hAnsi="方正仿宋简体" w:eastAsia="方正仿宋简体" w:cs="方正仿宋简体"/>
          <w:b/>
          <w:sz w:val="32"/>
          <w:szCs w:val="32"/>
          <w:shd w:val="clear" w:color="auto" w:fill="FFFFFF"/>
          <w:lang w:val="en-US" w:eastAsia="zh-CN"/>
        </w:rPr>
        <w:t>下ー步，将按照国家、省和市、区的决策部署，进一步全面推进政府信息公开工作：一要加强队伍建设。加大培训力度，进一步提高政务公开业务水平，准确把握《政府信息公开条例》的基本原则和具体要求，关注街道计划项目的申报、评审、立项等重点环节，确保政务公开工作制度化、规范化发展。二要高质量做好政策解读和互动回应。及时解读宣传街道重大政策举措，并不断丰富解读形式，健全回应机制，及时有效回应社会关切，不断改进工作，让群众更好地获取与反馈信息。</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1" w:firstLineChars="200"/>
        <w:jc w:val="both"/>
        <w:textAlignment w:val="auto"/>
        <w:rPr>
          <w:rFonts w:hint="eastAsia" w:ascii="方正黑体简体" w:hAnsi="方正黑体简体" w:eastAsia="方正黑体简体" w:cs="方正黑体简体"/>
          <w:b/>
          <w:sz w:val="32"/>
          <w:szCs w:val="32"/>
          <w:shd w:val="clear" w:color="auto" w:fill="FFFFFF"/>
        </w:rPr>
      </w:pPr>
      <w:r>
        <w:rPr>
          <w:rFonts w:hint="eastAsia" w:ascii="方正黑体简体" w:hAnsi="方正黑体简体" w:eastAsia="方正黑体简体" w:cs="方正黑体简体"/>
          <w:b/>
          <w:sz w:val="32"/>
          <w:szCs w:val="32"/>
          <w:shd w:val="clear" w:color="auto" w:fill="FFFFFF"/>
        </w:rPr>
        <w:t>六、其他需要报告的事项</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hint="eastAsia" w:ascii="方正黑体简体" w:hAnsi="方正黑体简体" w:eastAsia="方正黑体简体" w:cs="方正黑体简体"/>
          <w:b/>
          <w:sz w:val="32"/>
          <w:szCs w:val="32"/>
          <w:shd w:val="clear" w:color="auto" w:fill="FFFFFF"/>
        </w:rPr>
      </w:pPr>
      <w:r>
        <w:rPr>
          <w:rFonts w:hint="eastAsia" w:ascii="方正仿宋简体" w:hAnsi="方正仿宋简体" w:eastAsia="方正仿宋简体" w:cs="方正仿宋简体"/>
          <w:b/>
          <w:sz w:val="32"/>
          <w:szCs w:val="32"/>
          <w:shd w:val="clear" w:color="auto" w:fill="FFFFFF"/>
          <w:lang w:val="en-US" w:eastAsia="zh-CN"/>
        </w:rPr>
        <w:t>无其他需要报告的事项。</w:t>
      </w:r>
      <w:bookmarkStart w:id="1" w:name="_GoBack"/>
      <w:bookmarkEnd w:id="1"/>
    </w:p>
    <w:p>
      <w:pPr>
        <w:spacing w:line="590" w:lineRule="exact"/>
        <w:ind w:right="-100" w:rightChars="-50" w:firstLine="643" w:firstLineChars="200"/>
        <w:rPr>
          <w:rFonts w:ascii="方正仿宋简体" w:eastAsia="方正仿宋简体"/>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31EC8"/>
    <w:rsid w:val="070C3BF1"/>
    <w:rsid w:val="15B46561"/>
    <w:rsid w:val="3D516932"/>
    <w:rsid w:val="42405483"/>
    <w:rsid w:val="5DC31EC8"/>
    <w:rsid w:val="70904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2021-12-31T06:56:00Z</dcterms:created>
  <dc:creator>……</dc:creator>
  <cp:lastModifiedBy>WPS_1467860262</cp:lastModifiedBy>
  <dcterms:modified xsi:type="dcterms:W3CDTF">2022-01-25T08:37:21Z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82707894BED44B4B8C9F773298ED0F78</vt:lpwstr>
  </property>
</Properties>
</file>