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  <w:t>“无废城市”监管体系建设任务清单及进度安排</w:t>
      </w:r>
    </w:p>
    <w:bookmarkEnd w:id="0"/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656"/>
        <w:gridCol w:w="3862"/>
        <w:gridCol w:w="196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建立部门联防联控监管机制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建立生态环境、公安等多部门合作机制，加强信息共享，形成监管合力。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领导小组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强化联合执法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强化联合执法工作，严肃查处固体废物污染环境的违法行为，实施生态环境损害赔偿制度，落实生态环境损害修复责任。落实环境监管执法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双随机、一公开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制度，注重柔性执法，建立健全环境污染问题发现机制。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公安分局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完善公众参与监督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建设机制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利用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12345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市民服务热线、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12369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环保举报热线、信访投诉等举报、查处、反馈机制，畅通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监督渠道，实施固体废物环境违法行为举报奖励制度。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强化公众参与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及时公布重要举措和阶段成效，使群众增强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建设的获得感和幸福感。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落实危险废物环境污染责任保险制度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按照国家有关规定，危险废物经营单位环境污染责任保险覆盖率达到100%。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落实企业环境信用评价体系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落实环保信用评价体系，实现固废重点排污单位和危险废物经营单位环保信用评价全覆盖。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开展危险废物规范化环境管理评估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十四五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全国危险废物规范化环境管理评估工作方案》，对产废单位和经营单位进行评估，力争抽查合格率达到100%。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按年度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加强日常常规性监管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加强对建筑垃圾的现场管理和监督，开展生活垃圾分类日常运行管理检查，加强秸秆禁烧常规性监督管理工作。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综合行政执法局、发展软环境保障局（城乡统筹）、生态环境分局等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加强餐厨废弃物收运处置管理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加强餐厨废弃物收运处置企业监督管理，提高餐厨废弃物收运签约率，到2023年底，建成区内规模以上固定场所全部完成餐厨废弃物收运签约，并逐步扩大餐厨废弃物收集运输体系覆盖范围，到2025年底，实现建成区内固定场所餐厨废弃物收运签约全覆盖，实现餐厨废弃物处理区域共享、应收尽收。加大执法检查力度，严厉打击餐厨废弃物乱泼乱倒、非法收运处置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地沟油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生产、加工、销售等违法违规行为。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综合行政执法局、公安分局、市场监督管理局等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E8664B6"/>
    <w:rsid w:val="1EB728F0"/>
    <w:rsid w:val="2E8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2024-03-07T08:59:00Z</dcterms:created>
  <dc:creator>糖炒栗子 ້໌ᮨ</dc:creator>
  <cp:lastModifiedBy>糖炒栗子 ້໌ᮨ</cp:lastModifiedBy>
  <dcterms:modified xsi:type="dcterms:W3CDTF">2024-03-07T09:01:35Z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2BAFEFAD4EA9420CA0D81B2B174F366A_13</vt:lpwstr>
  </property>
</Properties>
</file>