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济宁高新区综合行政执法局</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rPr>
          <w:rFonts w:ascii="方正小标宋简体" w:eastAsia="方正小标宋简体"/>
          <w:b w:val="0"/>
          <w:bCs w:val="0"/>
          <w:color w:val="000000" w:themeColor="text1"/>
          <w:sz w:val="44"/>
          <w:szCs w:val="44"/>
          <w14:textFill>
            <w14:solidFill>
              <w14:schemeClr w14:val="tx1"/>
            </w14:solidFill>
          </w14:textFill>
        </w:rPr>
      </w:pPr>
      <w:r>
        <w:rPr>
          <w:rFonts w:hint="eastAsia" w:ascii="方正小标宋简体" w:eastAsia="方正小标宋简体"/>
          <w:b w:val="0"/>
          <w:bCs w:val="0"/>
          <w:color w:val="000000" w:themeColor="text1"/>
          <w:sz w:val="44"/>
          <w:szCs w:val="44"/>
          <w14:textFill>
            <w14:solidFill>
              <w14:schemeClr w14:val="tx1"/>
            </w14:solidFill>
          </w14:textFill>
        </w:rPr>
        <w:t>202</w:t>
      </w:r>
      <w:r>
        <w:rPr>
          <w:rFonts w:hint="eastAsia" w:ascii="方正小标宋简体" w:eastAsia="方正小标宋简体"/>
          <w:b w:val="0"/>
          <w:bCs w:val="0"/>
          <w:color w:val="000000" w:themeColor="text1"/>
          <w:sz w:val="44"/>
          <w:szCs w:val="44"/>
          <w:lang w:val="en-US" w:eastAsia="zh-CN"/>
          <w14:textFill>
            <w14:solidFill>
              <w14:schemeClr w14:val="tx1"/>
            </w14:solidFill>
          </w14:textFill>
        </w:rPr>
        <w:t>2</w:t>
      </w:r>
      <w:r>
        <w:rPr>
          <w:rFonts w:hint="eastAsia" w:ascii="方正小标宋简体" w:eastAsia="方正小标宋简体"/>
          <w:b w:val="0"/>
          <w:bCs w:val="0"/>
          <w:color w:val="000000" w:themeColor="text1"/>
          <w:sz w:val="44"/>
          <w:szCs w:val="44"/>
          <w14:textFill>
            <w14:solidFill>
              <w14:schemeClr w14:val="tx1"/>
            </w14:solidFill>
          </w14:textFill>
        </w:rPr>
        <w:t>年信息公开工作年度报告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仿宋简体" w:eastAsia="方正仿宋简体"/>
          <w:b w:val="0"/>
          <w:bCs w:val="0"/>
          <w:color w:val="000000" w:themeColor="text1"/>
          <w:sz w:val="32"/>
          <w:szCs w:val="32"/>
          <w:highlight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本报告由</w:t>
      </w: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高新区综合行政执法局</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本报告所列数据的统计期限自2022年1月1日起至2022年12月31日止。本报告电子版可在“济宁国家高新技术产业开发区”管委会门户网站（http://www.jnhn.gov.cn）查阅或下载。如对本报告有疑问，请与高新区综合行政执法局联系（地址：</w:t>
      </w: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济宁高新区海川路</w:t>
      </w: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9号</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，联系电话：0537-</w:t>
      </w: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3255301</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黑体简体" w:eastAsia="方正黑体简体"/>
          <w:b w:val="0"/>
          <w:bCs w:val="0"/>
          <w:color w:val="000000" w:themeColor="text1"/>
          <w:sz w:val="32"/>
          <w:szCs w:val="32"/>
          <w:highlight w:val="none"/>
          <w14:textFill>
            <w14:solidFill>
              <w14:schemeClr w14:val="tx1"/>
            </w14:solidFill>
          </w14:textFill>
        </w:rPr>
      </w:pPr>
      <w:r>
        <w:rPr>
          <w:rFonts w:hint="eastAsia" w:ascii="方正黑体简体" w:eastAsia="方正黑体简体"/>
          <w:b w:val="0"/>
          <w:bCs w:val="0"/>
          <w:color w:val="000000" w:themeColor="text1"/>
          <w:sz w:val="32"/>
          <w:szCs w:val="32"/>
          <w:highlight w:val="none"/>
          <w14:textFill>
            <w14:solidFill>
              <w14:schemeClr w14:val="tx1"/>
            </w14:solidFill>
          </w14:textFill>
        </w:rPr>
        <w:t>一、总体情况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2022年，济宁高新区综合行政执法局全面贯彻党的二十大精神，认真落实</w:t>
      </w: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省、市、区</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有关工作要求，围绕城市管理中心工作，坚持“以公开为常态、不公开为例外”，加大信息主动公开力度，依法依规做好依申请公开，努力提高政府信息公开工作规范化水平。政府信息公开工作在服务</w:t>
      </w: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区党工委管委会</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工作，保障公民知情权、参与权和监督权等方面发挥积极作用。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楷体简体" w:eastAsia="方正楷体简体"/>
          <w:b w:val="0"/>
          <w:bCs w:val="0"/>
          <w:color w:val="000000" w:themeColor="text1"/>
          <w:sz w:val="32"/>
          <w:szCs w:val="32"/>
          <w14:textFill>
            <w14:solidFill>
              <w14:schemeClr w14:val="tx1"/>
            </w14:solidFill>
          </w14:textFill>
        </w:rPr>
      </w:pPr>
      <w:r>
        <w:rPr>
          <w:rFonts w:hint="eastAsia" w:ascii="方正楷体简体" w:eastAsia="方正楷体简体"/>
          <w:b w:val="0"/>
          <w:bCs w:val="0"/>
          <w:color w:val="000000" w:themeColor="text1"/>
          <w:sz w:val="32"/>
          <w:szCs w:val="32"/>
          <w:lang w:eastAsia="zh-CN"/>
          <w14:textFill>
            <w14:solidFill>
              <w14:schemeClr w14:val="tx1"/>
            </w14:solidFill>
          </w14:textFill>
        </w:rPr>
        <w:t>（一）</w:t>
      </w:r>
      <w:r>
        <w:rPr>
          <w:rFonts w:hint="eastAsia" w:ascii="方正楷体简体" w:eastAsia="方正楷体简体"/>
          <w:b w:val="0"/>
          <w:bCs w:val="0"/>
          <w:color w:val="000000" w:themeColor="text1"/>
          <w:sz w:val="32"/>
          <w:szCs w:val="32"/>
          <w14:textFill>
            <w14:solidFill>
              <w14:schemeClr w14:val="tx1"/>
            </w14:solidFill>
          </w14:textFill>
        </w:rPr>
        <w:t>主动公开情况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202</w:t>
      </w: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年济宁高新区综合行政执法局在济宁高新区管委会门户网站主动发布政策文件、会议公开、年度工作计划、行政权力运行公开和重点领域信息公开等</w:t>
      </w: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各类</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信息</w:t>
      </w: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96</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条</w:t>
      </w: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。在各级各类媒体上刊播新闻报道</w:t>
      </w: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183篇，其中国家级、省级媒体刊发新闻报道13篇，市级媒体刊发66篇，区级媒体刊发104篇，全面反映</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我区城市管理工作做法和动态</w:t>
      </w: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drawing>
          <wp:inline distT="0" distB="0" distL="114300" distR="114300">
            <wp:extent cx="5264150" cy="3278505"/>
            <wp:effectExtent l="0" t="0" r="12700" b="17145"/>
            <wp:docPr id="3" name="图片 3" descr="51e0acb232052943b6ae0135e8976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1e0acb232052943b6ae0135e8976c8"/>
                    <pic:cNvPicPr>
                      <a:picLocks noChangeAspect="1"/>
                    </pic:cNvPicPr>
                  </pic:nvPicPr>
                  <pic:blipFill>
                    <a:blip r:embed="rId6"/>
                    <a:stretch>
                      <a:fillRect/>
                    </a:stretch>
                  </pic:blipFill>
                  <pic:spPr>
                    <a:xfrm>
                      <a:off x="0" y="0"/>
                      <a:ext cx="5264150" cy="327850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rPr>
          <w:rFonts w:ascii="方正楷体简体" w:eastAsia="方正楷体简体"/>
          <w:b w:val="0"/>
          <w:bCs w:val="0"/>
          <w:color w:val="000000" w:themeColor="text1"/>
          <w:sz w:val="32"/>
          <w:szCs w:val="32"/>
          <w14:textFill>
            <w14:solidFill>
              <w14:schemeClr w14:val="tx1"/>
            </w14:solidFill>
          </w14:textFill>
        </w:rPr>
      </w:pPr>
      <w:r>
        <w:rPr>
          <w:rFonts w:hint="eastAsia" w:ascii="方正楷体简体" w:eastAsia="方正楷体简体"/>
          <w:b w:val="0"/>
          <w:bCs w:val="0"/>
          <w:color w:val="000000" w:themeColor="text1"/>
          <w:sz w:val="32"/>
          <w:szCs w:val="32"/>
          <w14:textFill>
            <w14:solidFill>
              <w14:schemeClr w14:val="tx1"/>
            </w14:solidFill>
          </w14:textFill>
        </w:rPr>
        <w:t>（二）依申请公开情况</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2022</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年</w:t>
      </w: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我局</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无依申请公开的案件。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楷体简体" w:eastAsia="方正楷体简体"/>
          <w:b w:val="0"/>
          <w:bCs w:val="0"/>
          <w:color w:val="000000" w:themeColor="text1"/>
          <w:sz w:val="32"/>
          <w:szCs w:val="32"/>
          <w14:textFill>
            <w14:solidFill>
              <w14:schemeClr w14:val="tx1"/>
            </w14:solidFill>
          </w14:textFill>
        </w:rPr>
      </w:pPr>
      <w:r>
        <w:rPr>
          <w:rFonts w:hint="eastAsia" w:ascii="方正楷体简体" w:eastAsia="方正楷体简体"/>
          <w:b w:val="0"/>
          <w:bCs w:val="0"/>
          <w:color w:val="000000" w:themeColor="text1"/>
          <w:sz w:val="32"/>
          <w:szCs w:val="32"/>
          <w14:textFill>
            <w14:solidFill>
              <w14:schemeClr w14:val="tx1"/>
            </w14:solidFill>
          </w14:textFill>
        </w:rPr>
        <w:t>（三）政府信息管理情况</w:t>
      </w:r>
    </w:p>
    <w:p>
      <w:pPr>
        <w:spacing w:line="560" w:lineRule="exact"/>
        <w:ind w:firstLine="640" w:firstLineChars="200"/>
        <w:jc w:val="both"/>
        <w:rPr>
          <w:rFonts w:hint="eastAsia" w:ascii="微软雅黑" w:hAnsi="微软雅黑" w:eastAsia="微软雅黑" w:cs="微软雅黑"/>
          <w:i w:val="0"/>
          <w:caps w:val="0"/>
          <w:color w:val="333333"/>
          <w:spacing w:val="0"/>
          <w:sz w:val="24"/>
          <w:szCs w:val="24"/>
          <w:shd w:val="clear" w:fill="FFFFFF"/>
        </w:rPr>
      </w:pP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加强政府信息公开工作的日常管理，明确专人负责信息发布</w:t>
      </w: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严格落实信息网上发布审核机制，凡需发布的信息均按照主要领导进行信息审核，相关人员再进行信息发布的流程执行</w:t>
      </w: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w:t>
      </w:r>
      <w:r>
        <w:rPr>
          <w:rFonts w:hint="eastAsia" w:ascii="方正仿宋简体" w:hAnsi="方正仿宋简体" w:eastAsia="方正仿宋简体" w:cs="方正仿宋简体"/>
          <w:color w:val="000000" w:themeColor="text1"/>
          <w:kern w:val="0"/>
          <w:sz w:val="32"/>
          <w:szCs w:val="32"/>
          <w:highlight w:val="none"/>
          <w14:textFill>
            <w14:solidFill>
              <w14:schemeClr w14:val="tx1"/>
            </w14:solidFill>
          </w14:textFill>
        </w:rPr>
        <w:t>严格做好政府信息保密审查工作，通过规范政府信息保密工作，增强工作人员保密意识，做好分类指导工作，多措并举扎牢政府信息保密防线。</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楷体简体" w:eastAsia="方正楷体简体"/>
          <w:b w:val="0"/>
          <w:bCs w:val="0"/>
          <w:color w:val="000000" w:themeColor="text1"/>
          <w:sz w:val="32"/>
          <w:szCs w:val="32"/>
          <w14:textFill>
            <w14:solidFill>
              <w14:schemeClr w14:val="tx1"/>
            </w14:solidFill>
          </w14:textFill>
        </w:rPr>
      </w:pPr>
      <w:r>
        <w:rPr>
          <w:rFonts w:hint="eastAsia" w:ascii="方正楷体简体" w:eastAsia="方正楷体简体"/>
          <w:b w:val="0"/>
          <w:bCs w:val="0"/>
          <w:color w:val="000000" w:themeColor="text1"/>
          <w:sz w:val="32"/>
          <w:szCs w:val="32"/>
          <w14:textFill>
            <w14:solidFill>
              <w14:schemeClr w14:val="tx1"/>
            </w14:solidFill>
          </w14:textFill>
        </w:rPr>
        <w:t>（四）政府信息公开平台建设情况</w:t>
      </w:r>
    </w:p>
    <w:p>
      <w:pPr>
        <w:spacing w:line="560" w:lineRule="exact"/>
        <w:ind w:firstLine="640" w:firstLineChars="200"/>
        <w:jc w:val="both"/>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举办了“提升版权服务 优化营商环境”新闻发布会，向与会媒体代表介绍了济宁高新区版权服务工作成果，并回答记者提问</w:t>
      </w:r>
      <w:bookmarkStart w:id="1" w:name="_GoBack"/>
      <w:bookmarkEnd w:id="1"/>
      <w:r>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t>。安排专人定期更新管委会网站行政执法公示专栏和双随机一公开专栏，将行政执法情况和双随机一公开情况及时、准确地向社会公众发布，接受公众监督。充分利用各类平台收集并依法回复各类信访事项。</w:t>
      </w: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2022年济宁高新区综合行政执法局共受理12345政务服务热线转办事项4057件(次)，其中《市长信箱》32件、闪电新闻19件，国务院“互联网+督查1件。其他类型4005件，截至12月31日，应办结3987件，实际办结3987件。全局平均办结率为100%。另外受理领导信箱事项10条，网络问政143件，办结率100%。</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楷体简体" w:eastAsia="方正楷体简体"/>
          <w:b w:val="0"/>
          <w:bCs w:val="0"/>
          <w:color w:val="000000" w:themeColor="text1"/>
          <w:sz w:val="32"/>
          <w:szCs w:val="32"/>
          <w14:textFill>
            <w14:solidFill>
              <w14:schemeClr w14:val="tx1"/>
            </w14:solidFill>
          </w14:textFill>
        </w:rPr>
      </w:pPr>
      <w:r>
        <w:rPr>
          <w:rFonts w:hint="eastAsia" w:ascii="方正楷体简体" w:eastAsia="方正楷体简体"/>
          <w:b w:val="0"/>
          <w:bCs w:val="0"/>
          <w:color w:val="000000" w:themeColor="text1"/>
          <w:sz w:val="32"/>
          <w:szCs w:val="32"/>
          <w14:textFill>
            <w14:solidFill>
              <w14:schemeClr w14:val="tx1"/>
            </w14:solidFill>
          </w14:textFill>
        </w:rPr>
        <w:t>（五）监督保障情况</w:t>
      </w:r>
    </w:p>
    <w:p>
      <w:pPr>
        <w:spacing w:line="560" w:lineRule="exact"/>
        <w:ind w:firstLine="640" w:firstLineChars="200"/>
        <w:jc w:val="both"/>
        <w:rPr>
          <w:rFonts w:hint="eastAsia" w:ascii="方正仿宋简体" w:hAnsi="方正仿宋简体" w:eastAsia="方正仿宋简体" w:cs="方正仿宋简体"/>
          <w:color w:val="000000" w:themeColor="text1"/>
          <w:kern w:val="0"/>
          <w:sz w:val="32"/>
          <w:szCs w:val="32"/>
          <w:highlight w:val="none"/>
          <w:lang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建立规范的信息采集、审核、发布、更新机制。济宁高新区综合行政执法局政务信息公开工作由一名副局长作为分管负责人进行总体监督调度，局综合处具体承办，综合处安排专人具体办理政务信息审批单的收集及政务信息的上传工作。完善联络员制度，各部门明确一名信息公开联络员，负责信息编写上报，增加审核环节，保证发布信息的安全准确、及时有效。将政务公开和政府信息公开工作纳入本局绩效考核范围，不断加强工作督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黑体简体" w:eastAsia="方正黑体简体"/>
          <w:b w:val="0"/>
          <w:bCs w:val="0"/>
          <w:color w:val="000000" w:themeColor="text1"/>
          <w:sz w:val="32"/>
          <w:szCs w:val="32"/>
          <w14:textFill>
            <w14:solidFill>
              <w14:schemeClr w14:val="tx1"/>
            </w14:solidFill>
          </w14:textFill>
        </w:rPr>
      </w:pPr>
      <w:r>
        <w:rPr>
          <w:rFonts w:hint="eastAsia" w:ascii="方正黑体简体" w:eastAsia="方正黑体简体"/>
          <w:b w:val="0"/>
          <w:bCs w:val="0"/>
          <w:color w:val="000000" w:themeColor="text1"/>
          <w:sz w:val="32"/>
          <w:szCs w:val="32"/>
          <w14:textFill>
            <w14:solidFill>
              <w14:schemeClr w14:val="tx1"/>
            </w14:solidFill>
          </w14:textFill>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黑体简体" w:eastAsia="方正黑体简体"/>
                <w:b w:val="0"/>
                <w:bCs w:val="0"/>
                <w:color w:val="000000" w:themeColor="text1"/>
                <w:sz w:val="24"/>
                <w:szCs w:val="24"/>
                <w14:textFill>
                  <w14:solidFill>
                    <w14:schemeClr w14:val="tx1"/>
                  </w14:solidFill>
                </w14:textFill>
              </w:rPr>
            </w:pPr>
            <w:r>
              <w:rPr>
                <w:rFonts w:hint="eastAsia" w:ascii="方正黑体简体" w:hAnsi="宋体" w:eastAsia="方正黑体简体" w:cs="宋体"/>
                <w:b w:val="0"/>
                <w:bCs w:val="0"/>
                <w:color w:val="000000" w:themeColor="text1"/>
                <w:sz w:val="24"/>
                <w:szCs w:val="24"/>
                <w14:textFill>
                  <w14:solidFill>
                    <w14:schemeClr w14:val="tx1"/>
                  </w14:solidFill>
                </w14:textFill>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规章</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color w:val="000000" w:themeColor="text1"/>
                <w:sz w:val="24"/>
                <w:szCs w:val="24"/>
                <w:lang w:val="en-US" w:eastAsia="zh-CN"/>
                <w14:textFill>
                  <w14:solidFill>
                    <w14:schemeClr w14:val="tx1"/>
                  </w14:solidFill>
                </w14:textFill>
              </w:rPr>
            </w:pPr>
            <w:r>
              <w:rPr>
                <w:rFonts w:hint="eastAsia" w:ascii="方正仿宋简体" w:eastAsia="方正仿宋简体"/>
                <w:b w:val="0"/>
                <w:bCs w:val="0"/>
                <w:color w:val="000000" w:themeColor="text1"/>
                <w:sz w:val="24"/>
                <w:szCs w:val="24"/>
                <w:lang w:val="en-US" w:eastAsia="zh-CN"/>
                <w14:textFill>
                  <w14:solidFill>
                    <w14:schemeClr w14:val="tx1"/>
                  </w14:solidFill>
                </w14:textFill>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color w:val="000000" w:themeColor="text1"/>
                <w:sz w:val="24"/>
                <w:szCs w:val="24"/>
                <w:lang w:val="en-US" w:eastAsia="zh-CN"/>
                <w14:textFill>
                  <w14:solidFill>
                    <w14:schemeClr w14:val="tx1"/>
                  </w14:solidFill>
                </w14:textFill>
              </w:rPr>
            </w:pPr>
            <w:r>
              <w:rPr>
                <w:rFonts w:hint="eastAsia" w:ascii="方正仿宋简体" w:eastAsia="方正仿宋简体"/>
                <w:b w:val="0"/>
                <w:bCs w:val="0"/>
                <w:color w:val="000000" w:themeColor="text1"/>
                <w:sz w:val="24"/>
                <w:szCs w:val="24"/>
                <w:lang w:val="en-US" w:eastAsia="zh-CN"/>
                <w14:textFill>
                  <w14:solidFill>
                    <w14:schemeClr w14:val="tx1"/>
                  </w14:solidFill>
                </w14:textFill>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color w:val="000000" w:themeColor="text1"/>
                <w:sz w:val="24"/>
                <w:szCs w:val="24"/>
                <w:lang w:val="en-US" w:eastAsia="zh-CN"/>
                <w14:textFill>
                  <w14:solidFill>
                    <w14:schemeClr w14:val="tx1"/>
                  </w14:solidFill>
                </w14:textFill>
              </w:rPr>
            </w:pPr>
            <w:r>
              <w:rPr>
                <w:rFonts w:hint="eastAsia" w:ascii="方正仿宋简体" w:eastAsia="方正仿宋简体"/>
                <w:b w:val="0"/>
                <w:bCs w:val="0"/>
                <w:color w:val="000000" w:themeColor="text1"/>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行政规范性文件</w:t>
            </w:r>
          </w:p>
        </w:tc>
        <w:tc>
          <w:tcPr>
            <w:tcW w:w="2133"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color w:val="000000" w:themeColor="text1"/>
                <w:sz w:val="24"/>
                <w:szCs w:val="24"/>
                <w:lang w:val="en-US" w:eastAsia="zh-CN"/>
                <w14:textFill>
                  <w14:solidFill>
                    <w14:schemeClr w14:val="tx1"/>
                  </w14:solidFill>
                </w14:textFill>
              </w:rPr>
            </w:pPr>
            <w:r>
              <w:rPr>
                <w:rFonts w:hint="eastAsia" w:ascii="方正仿宋简体" w:eastAsia="方正仿宋简体"/>
                <w:b w:val="0"/>
                <w:bCs w:val="0"/>
                <w:color w:val="000000" w:themeColor="text1"/>
                <w:sz w:val="24"/>
                <w:szCs w:val="24"/>
                <w:lang w:val="en-US" w:eastAsia="zh-CN"/>
                <w14:textFill>
                  <w14:solidFill>
                    <w14:schemeClr w14:val="tx1"/>
                  </w14:solidFill>
                </w14:textFill>
              </w:rPr>
              <w:t>0</w:t>
            </w:r>
          </w:p>
        </w:tc>
        <w:tc>
          <w:tcPr>
            <w:tcW w:w="2216"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color w:val="000000" w:themeColor="text1"/>
                <w:sz w:val="24"/>
                <w:szCs w:val="24"/>
                <w:lang w:val="en-US" w:eastAsia="zh-CN"/>
                <w14:textFill>
                  <w14:solidFill>
                    <w14:schemeClr w14:val="tx1"/>
                  </w14:solidFill>
                </w14:textFill>
              </w:rPr>
            </w:pPr>
            <w:r>
              <w:rPr>
                <w:rFonts w:hint="eastAsia" w:ascii="方正仿宋简体" w:eastAsia="方正仿宋简体"/>
                <w:b w:val="0"/>
                <w:bCs w:val="0"/>
                <w:color w:val="000000" w:themeColor="text1"/>
                <w:sz w:val="24"/>
                <w:szCs w:val="24"/>
                <w:lang w:val="en-US" w:eastAsia="zh-CN"/>
                <w14:textFill>
                  <w14:solidFill>
                    <w14:schemeClr w14:val="tx1"/>
                  </w14:solidFill>
                </w14:textFill>
              </w:rPr>
              <w:t>0</w:t>
            </w:r>
          </w:p>
        </w:tc>
        <w:tc>
          <w:tcPr>
            <w:tcW w:w="1989" w:type="dxa"/>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color w:val="000000" w:themeColor="text1"/>
                <w:sz w:val="24"/>
                <w:szCs w:val="24"/>
                <w:lang w:val="en-US" w:eastAsia="zh-CN"/>
                <w14:textFill>
                  <w14:solidFill>
                    <w14:schemeClr w14:val="tx1"/>
                  </w14:solidFill>
                </w14:textFill>
              </w:rPr>
            </w:pPr>
            <w:r>
              <w:rPr>
                <w:rFonts w:hint="eastAsia" w:ascii="方正仿宋简体" w:eastAsia="方正仿宋简体"/>
                <w:b w:val="0"/>
                <w:bCs w:val="0"/>
                <w:color w:val="000000" w:themeColor="text1"/>
                <w:sz w:val="24"/>
                <w:szCs w:val="24"/>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黑体简体" w:hAnsi="宋体" w:eastAsia="方正黑体简体" w:cs="宋体"/>
                <w:b w:val="0"/>
                <w:bCs w:val="0"/>
                <w:color w:val="000000" w:themeColor="text1"/>
                <w:sz w:val="24"/>
                <w:szCs w:val="24"/>
                <w14:textFill>
                  <w14:solidFill>
                    <w14:schemeClr w14:val="tx1"/>
                  </w14:solidFill>
                </w14:textFill>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方正仿宋简体" w:eastAsia="方正仿宋简体"/>
                <w:b w:val="0"/>
                <w:bCs w:val="0"/>
                <w:color w:val="000000" w:themeColor="text1"/>
                <w:sz w:val="24"/>
                <w:szCs w:val="24"/>
                <w:lang w:val="en-US" w:eastAsia="zh-CN"/>
                <w14:textFill>
                  <w14:solidFill>
                    <w14:schemeClr w14:val="tx1"/>
                  </w14:solidFill>
                </w14:textFill>
              </w:rPr>
            </w:pPr>
            <w:r>
              <w:rPr>
                <w:rFonts w:hint="eastAsia" w:ascii="方正仿宋简体" w:eastAsia="方正仿宋简体"/>
                <w:b w:val="0"/>
                <w:bCs w:val="0"/>
                <w:color w:val="000000" w:themeColor="text1"/>
                <w:sz w:val="24"/>
                <w:szCs w:val="24"/>
                <w:highlight w:val="none"/>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黑体简体" w:hAnsi="宋体" w:eastAsia="方正黑体简体" w:cs="宋体"/>
                <w:b w:val="0"/>
                <w:bCs w:val="0"/>
                <w:color w:val="000000" w:themeColor="text1"/>
                <w:sz w:val="24"/>
                <w:szCs w:val="24"/>
                <w14:textFill>
                  <w14:solidFill>
                    <w14:schemeClr w14:val="tx1"/>
                  </w14:solidFill>
                </w14:textFill>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default" w:ascii="方正仿宋简体" w:eastAsia="方正仿宋简体"/>
                <w:b w:val="0"/>
                <w:bCs w:val="0"/>
                <w:color w:val="000000" w:themeColor="text1"/>
                <w:sz w:val="24"/>
                <w:szCs w:val="24"/>
                <w:lang w:val="en-US" w:eastAsia="zh-CN"/>
                <w14:textFill>
                  <w14:solidFill>
                    <w14:schemeClr w14:val="tx1"/>
                  </w14:solidFill>
                </w14:textFill>
              </w:rPr>
            </w:pPr>
            <w:r>
              <w:rPr>
                <w:rFonts w:hint="eastAsia" w:ascii="方正仿宋简体" w:eastAsia="方正仿宋简体"/>
                <w:b w:val="0"/>
                <w:bCs w:val="0"/>
                <w:color w:val="000000" w:themeColor="text1"/>
                <w:sz w:val="24"/>
                <w:szCs w:val="24"/>
                <w:highlight w:val="none"/>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left"/>
              <w:rPr>
                <w:rFonts w:hint="eastAsia" w:ascii="方正仿宋简体" w:eastAsia="方正仿宋简体"/>
                <w:b w:val="0"/>
                <w:bCs w:val="0"/>
                <w:color w:val="000000" w:themeColor="text1"/>
                <w:sz w:val="24"/>
                <w:szCs w:val="24"/>
                <w:lang w:val="en-US" w:eastAsia="zh-CN"/>
                <w14:textFill>
                  <w14:solidFill>
                    <w14:schemeClr w14:val="tx1"/>
                  </w14:solidFill>
                </w14:textFill>
              </w:rPr>
            </w:pPr>
            <w:r>
              <w:rPr>
                <w:rFonts w:hint="eastAsia" w:ascii="方正仿宋简体" w:eastAsia="方正仿宋简体"/>
                <w:b w:val="0"/>
                <w:bCs w:val="0"/>
                <w:color w:val="000000" w:themeColor="text1"/>
                <w:sz w:val="24"/>
                <w:szCs w:val="24"/>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黑体简体" w:hAnsi="宋体" w:eastAsia="方正黑体简体" w:cs="宋体"/>
                <w:b w:val="0"/>
                <w:bCs w:val="0"/>
                <w:color w:val="000000" w:themeColor="text1"/>
                <w:sz w:val="24"/>
                <w:szCs w:val="24"/>
                <w14:textFill>
                  <w14:solidFill>
                    <w14:schemeClr w14:val="tx1"/>
                  </w14:solidFill>
                </w14:textFill>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ascii="方正仿宋简体" w:eastAsia="方正仿宋简体"/>
                <w:b w:val="0"/>
                <w:bCs w:val="0"/>
                <w:color w:val="000000" w:themeColor="text1"/>
                <w:sz w:val="24"/>
                <w:szCs w:val="24"/>
                <w14:textFill>
                  <w14:solidFill>
                    <w14:schemeClr w14:val="tx1"/>
                  </w14:solidFill>
                </w14:textFill>
              </w:rPr>
            </w:pPr>
            <w:r>
              <w:rPr>
                <w:rFonts w:hint="eastAsia" w:ascii="方正仿宋简体" w:hAnsi="宋体" w:eastAsia="方正仿宋简体" w:cs="宋体"/>
                <w:b w:val="0"/>
                <w:bCs w:val="0"/>
                <w:color w:val="000000" w:themeColor="text1"/>
                <w:sz w:val="24"/>
                <w:szCs w:val="24"/>
                <w14:textFill>
                  <w14:solidFill>
                    <w14:schemeClr w14:val="tx1"/>
                  </w14:solidFill>
                </w14:textFill>
              </w:rPr>
              <w:t>行政事业性收费</w:t>
            </w:r>
          </w:p>
        </w:tc>
        <w:tc>
          <w:tcPr>
            <w:tcW w:w="6338" w:type="dxa"/>
            <w:gridSpan w:val="3"/>
            <w:shd w:val="clear" w:color="auto" w:fill="FFFFFF" w:themeFill="background1"/>
            <w:tcMar>
              <w:left w:w="57" w:type="dxa"/>
              <w:right w:w="57" w:type="dxa"/>
            </w:tcMar>
            <w:vAlign w:val="center"/>
          </w:tcPr>
          <w:p>
            <w:pPr>
              <w:spacing w:line="340" w:lineRule="exact"/>
              <w:rPr>
                <w:rFonts w:hint="eastAsia" w:ascii="方正仿宋简体" w:eastAsia="方正仿宋简体"/>
                <w:b w:val="0"/>
                <w:bCs w:val="0"/>
                <w:color w:val="000000" w:themeColor="text1"/>
                <w:sz w:val="24"/>
                <w:szCs w:val="24"/>
                <w:lang w:val="en-US" w:eastAsia="zh-CN"/>
                <w14:textFill>
                  <w14:solidFill>
                    <w14:schemeClr w14:val="tx1"/>
                  </w14:solidFill>
                </w14:textFill>
              </w:rPr>
            </w:pPr>
            <w:r>
              <w:rPr>
                <w:rFonts w:hint="eastAsia" w:ascii="方正仿宋简体" w:eastAsia="方正仿宋简体"/>
                <w:b w:val="0"/>
                <w:bCs w:val="0"/>
                <w:color w:val="000000" w:themeColor="text1"/>
                <w:sz w:val="24"/>
                <w:szCs w:val="24"/>
                <w:lang w:val="en-US" w:eastAsia="zh-CN"/>
                <w14:textFill>
                  <w14:solidFill>
                    <w14:schemeClr w14:val="tx1"/>
                  </w14:solidFill>
                </w14:textFill>
              </w:rPr>
              <w:t>0</w:t>
            </w:r>
          </w:p>
        </w:tc>
      </w:tr>
    </w:tbl>
    <w:p>
      <w:pPr>
        <w:spacing w:beforeLines="10" w:afterLines="10" w:line="600" w:lineRule="exact"/>
        <w:ind w:firstLine="640" w:firstLineChars="200"/>
        <w:rPr>
          <w:rFonts w:ascii="方正黑体简体" w:eastAsia="方正黑体简体"/>
          <w:b w:val="0"/>
          <w:bCs w:val="0"/>
          <w:color w:val="000000" w:themeColor="text1"/>
          <w:sz w:val="32"/>
          <w:szCs w:val="32"/>
          <w14:textFill>
            <w14:solidFill>
              <w14:schemeClr w14:val="tx1"/>
            </w14:solidFill>
          </w14:textFill>
        </w:rPr>
      </w:pPr>
      <w:r>
        <w:rPr>
          <w:rFonts w:hint="eastAsia" w:ascii="方正黑体简体" w:eastAsia="方正黑体简体"/>
          <w:b w:val="0"/>
          <w:bCs w:val="0"/>
          <w:color w:val="000000" w:themeColor="text1"/>
          <w:sz w:val="32"/>
          <w:szCs w:val="32"/>
          <w14:textFill>
            <w14:solidFill>
              <w14:schemeClr w14:val="tx1"/>
            </w14:solidFill>
          </w14:textFill>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楷体" w:eastAsia="方正黑体简体" w:cs="楷体"/>
                <w:b w:val="0"/>
                <w:bCs w:val="0"/>
                <w:color w:val="000000" w:themeColor="text1"/>
                <w:sz w:val="21"/>
                <w:szCs w:val="21"/>
                <w14:textFill>
                  <w14:solidFill>
                    <w14:schemeClr w14:val="tx1"/>
                  </w14:solidFill>
                </w14:textFill>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val="0"/>
                <w:bCs w:val="0"/>
                <w:color w:val="000000" w:themeColor="text1"/>
                <w:sz w:val="21"/>
                <w:szCs w:val="21"/>
                <w14:textFill>
                  <w14:solidFill>
                    <w14:schemeClr w14:val="tx1"/>
                  </w14:solidFill>
                </w14:textFill>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自然人</w:t>
            </w:r>
          </w:p>
        </w:tc>
        <w:tc>
          <w:tcPr>
            <w:tcW w:w="2917" w:type="dxa"/>
            <w:gridSpan w:val="5"/>
            <w:tcMar>
              <w:left w:w="108" w:type="dxa"/>
              <w:right w:w="108" w:type="dxa"/>
            </w:tcMar>
            <w:vAlign w:val="center"/>
          </w:tcPr>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法人或其他组织</w:t>
            </w:r>
          </w:p>
        </w:tc>
        <w:tc>
          <w:tcPr>
            <w:tcW w:w="521" w:type="dxa"/>
            <w:vMerge w:val="restart"/>
            <w:tcMar>
              <w:left w:w="108" w:type="dxa"/>
              <w:right w:w="108" w:type="dxa"/>
            </w:tcMar>
            <w:vAlign w:val="center"/>
          </w:tcPr>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791"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599" w:type="dxa"/>
            <w:tcMar>
              <w:left w:w="108" w:type="dxa"/>
              <w:right w:w="108" w:type="dxa"/>
            </w:tcMar>
            <w:vAlign w:val="center"/>
          </w:tcPr>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商业</w:t>
            </w:r>
          </w:p>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企业</w:t>
            </w:r>
          </w:p>
        </w:tc>
        <w:tc>
          <w:tcPr>
            <w:tcW w:w="590" w:type="dxa"/>
            <w:tcMar>
              <w:left w:w="108" w:type="dxa"/>
              <w:right w:w="108" w:type="dxa"/>
            </w:tcMar>
            <w:vAlign w:val="center"/>
          </w:tcPr>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科研</w:t>
            </w:r>
          </w:p>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机构</w:t>
            </w:r>
          </w:p>
        </w:tc>
        <w:tc>
          <w:tcPr>
            <w:tcW w:w="598" w:type="dxa"/>
            <w:tcMar>
              <w:left w:w="108" w:type="dxa"/>
              <w:right w:w="108" w:type="dxa"/>
            </w:tcMar>
            <w:vAlign w:val="center"/>
          </w:tcPr>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社会公益组织</w:t>
            </w:r>
          </w:p>
        </w:tc>
        <w:tc>
          <w:tcPr>
            <w:tcW w:w="571" w:type="dxa"/>
            <w:tcMar>
              <w:left w:w="108" w:type="dxa"/>
              <w:right w:w="108" w:type="dxa"/>
            </w:tcMar>
            <w:vAlign w:val="center"/>
          </w:tcPr>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法律服务机构</w:t>
            </w:r>
          </w:p>
        </w:tc>
        <w:tc>
          <w:tcPr>
            <w:tcW w:w="559" w:type="dxa"/>
            <w:tcMar>
              <w:left w:w="108" w:type="dxa"/>
              <w:right w:w="108" w:type="dxa"/>
            </w:tcMar>
            <w:vAlign w:val="center"/>
          </w:tcPr>
          <w:p>
            <w:pPr>
              <w:widowControl/>
              <w:spacing w:line="300" w:lineRule="exact"/>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其他</w:t>
            </w:r>
          </w:p>
        </w:tc>
        <w:tc>
          <w:tcPr>
            <w:tcW w:w="521" w:type="dxa"/>
            <w:vMerge w:val="continue"/>
            <w:tcMar>
              <w:left w:w="108" w:type="dxa"/>
              <w:right w:w="108"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（一）予以公开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（二）部分公开</w:t>
            </w:r>
            <w:r>
              <w:rPr>
                <w:rFonts w:hint="eastAsia" w:ascii="方正仿宋简体" w:hAnsi="楷体" w:eastAsia="方正仿宋简体" w:cs="楷体"/>
                <w:b w:val="0"/>
                <w:bCs w:val="0"/>
                <w:color w:val="000000" w:themeColor="text1"/>
                <w:sz w:val="21"/>
                <w:szCs w:val="21"/>
                <w14:textFill>
                  <w14:solidFill>
                    <w14:schemeClr w14:val="tx1"/>
                  </w14:solidFill>
                </w14:textFill>
              </w:rPr>
              <w:t>（区分处理的，只计这一情形，不计其他情形）</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default"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（三）不予公开</w:t>
            </w: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1.属于国家秘密</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2.其他法律行政法规禁止公开</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3.危及“三安全一稳定”</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4.保护第三方合法权益</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5.属于三类内部事务信息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6.属于四类过程性信息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7.属于行政执法案卷</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8.属于行政查询事项</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（四）无法提供</w:t>
            </w: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1.本机关不掌握相关政府信息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2.没有现成信息需要另行制作</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3.补正后申请内容仍不明确</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（五）不予处理</w:t>
            </w: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1.信访举报投诉类申请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2.重复申请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3.要求提供公开出版物</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4.无正当理由大量反复申请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vAlign w:val="center"/>
          </w:tcPr>
          <w:p>
            <w:pPr>
              <w:widowControl/>
              <w:spacing w:line="300" w:lineRule="exac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5.要求行政机关确认或重新出具已获取信息</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（六）其他处理</w:t>
            </w:r>
          </w:p>
        </w:tc>
        <w:tc>
          <w:tcPr>
            <w:tcW w:w="2878" w:type="dxa"/>
            <w:tcMar>
              <w:left w:w="57" w:type="dxa"/>
              <w:right w:w="57" w:type="dxa"/>
            </w:tcMar>
            <w:vAlign w:val="center"/>
          </w:tcPr>
          <w:p>
            <w:pPr>
              <w:widowControl/>
              <w:spacing w:line="300" w:lineRule="exac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vAlign w:val="center"/>
          </w:tcPr>
          <w:p>
            <w:pPr>
              <w:widowControl/>
              <w:spacing w:line="300" w:lineRule="exac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942"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2878" w:type="dxa"/>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3.其他</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val="0"/>
                <w:bCs w:val="0"/>
                <w:color w:val="000000" w:themeColor="text1"/>
                <w:sz w:val="21"/>
                <w:szCs w:val="21"/>
                <w14:textFill>
                  <w14:solidFill>
                    <w14:schemeClr w14:val="tx1"/>
                  </w14:solidFill>
                </w14:textFill>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（七）总计</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val="0"/>
                <w:bCs w:val="0"/>
                <w:color w:val="000000" w:themeColor="text1"/>
                <w:sz w:val="21"/>
                <w:szCs w:val="21"/>
                <w14:textFill>
                  <w14:solidFill>
                    <w14:schemeClr w14:val="tx1"/>
                  </w14:solidFill>
                </w14:textFill>
              </w:rPr>
            </w:pPr>
            <w:r>
              <w:rPr>
                <w:rFonts w:hint="eastAsia" w:ascii="方正仿宋简体" w:hAnsi="宋体" w:eastAsia="方正仿宋简体" w:cs="宋体"/>
                <w:b w:val="0"/>
                <w:bCs w:val="0"/>
                <w:color w:val="000000" w:themeColor="text1"/>
                <w:sz w:val="21"/>
                <w:szCs w:val="21"/>
                <w14:textFill>
                  <w14:solidFill>
                    <w14:schemeClr w14:val="tx1"/>
                  </w14:solidFill>
                </w14:textFill>
              </w:rPr>
              <w:t>四、结转下年度继续办理</w:t>
            </w:r>
          </w:p>
        </w:tc>
        <w:tc>
          <w:tcPr>
            <w:tcW w:w="79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c>
          <w:tcPr>
            <w:tcW w:w="521" w:type="dxa"/>
            <w:tcMar>
              <w:left w:w="57" w:type="dxa"/>
              <w:right w:w="57" w:type="dxa"/>
            </w:tcMar>
            <w:vAlign w:val="center"/>
          </w:tcPr>
          <w:p>
            <w:pPr>
              <w:spacing w:line="300" w:lineRule="exact"/>
              <w:ind w:firstLine="210" w:firstLineChars="100"/>
              <w:jc w:val="both"/>
              <w:rPr>
                <w:rFonts w:hint="eastAsia" w:ascii="方正仿宋简体" w:eastAsia="方正仿宋简体"/>
                <w:b w:val="0"/>
                <w:bCs w:val="0"/>
                <w:color w:val="000000" w:themeColor="text1"/>
                <w:sz w:val="21"/>
                <w:szCs w:val="21"/>
                <w:lang w:val="en-US" w:eastAsia="zh-CN"/>
                <w14:textFill>
                  <w14:solidFill>
                    <w14:schemeClr w14:val="tx1"/>
                  </w14:solidFill>
                </w14:textFill>
              </w:rPr>
            </w:pPr>
            <w:r>
              <w:rPr>
                <w:rFonts w:hint="eastAsia" w:ascii="方正仿宋简体" w:eastAsia="方正仿宋简体"/>
                <w:b w:val="0"/>
                <w:bCs w:val="0"/>
                <w:color w:val="000000" w:themeColor="text1"/>
                <w:sz w:val="21"/>
                <w:szCs w:val="21"/>
                <w:lang w:val="en-US" w:eastAsia="zh-CN"/>
                <w14:textFill>
                  <w14:solidFill>
                    <w14:schemeClr w14:val="tx1"/>
                  </w14:solidFill>
                </w14:textFill>
              </w:rPr>
              <w:t>0</w:t>
            </w:r>
          </w:p>
        </w:tc>
      </w:tr>
    </w:tbl>
    <w:p>
      <w:pPr>
        <w:spacing w:line="590" w:lineRule="exact"/>
        <w:ind w:right="-110" w:rightChars="-50" w:firstLine="640" w:firstLineChars="200"/>
        <w:rPr>
          <w:rFonts w:ascii="方正黑体简体" w:eastAsia="方正黑体简体"/>
          <w:b w:val="0"/>
          <w:bCs w:val="0"/>
          <w:color w:val="000000" w:themeColor="text1"/>
          <w:sz w:val="32"/>
          <w:szCs w:val="32"/>
          <w14:textFill>
            <w14:solidFill>
              <w14:schemeClr w14:val="tx1"/>
            </w14:solidFill>
          </w14:textFill>
        </w:rPr>
      </w:pPr>
      <w:r>
        <w:rPr>
          <w:rFonts w:hint="eastAsia" w:ascii="方正黑体简体" w:eastAsia="方正黑体简体"/>
          <w:b w:val="0"/>
          <w:bCs w:val="0"/>
          <w:color w:val="000000" w:themeColor="text1"/>
          <w:sz w:val="32"/>
          <w:szCs w:val="32"/>
          <w14:textFill>
            <w14:solidFill>
              <w14:schemeClr w14:val="tx1"/>
            </w14:solidFill>
          </w14:textFill>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hAnsi="宋体" w:eastAsia="方正黑体简体" w:cs="宋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结果</w:t>
            </w:r>
          </w:p>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color w:val="000000" w:themeColor="text1"/>
                <w:sz w:val="21"/>
                <w:szCs w:val="21"/>
                <w:lang w:eastAsia="zh-CN"/>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其他</w:t>
            </w:r>
          </w:p>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color w:val="000000" w:themeColor="text1"/>
                <w:sz w:val="21"/>
                <w:szCs w:val="21"/>
                <w:lang w:eastAsia="zh-CN"/>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尚未</w:t>
            </w:r>
          </w:p>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val="0"/>
                <w:bCs w:val="0"/>
                <w:color w:val="000000" w:themeColor="text1"/>
                <w:sz w:val="21"/>
                <w:szCs w:val="21"/>
                <w14:textFill>
                  <w14:solidFill>
                    <w14:schemeClr w14:val="tx1"/>
                  </w14:solidFill>
                </w14:textFill>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val="0"/>
                <w:bCs w:val="0"/>
                <w:color w:val="000000" w:themeColor="text1"/>
                <w:sz w:val="21"/>
                <w:szCs w:val="21"/>
                <w14:textFill>
                  <w14:solidFill>
                    <w14:schemeClr w14:val="tx1"/>
                  </w14:solidFill>
                </w14:textFill>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val="0"/>
                <w:bCs w:val="0"/>
                <w:color w:val="000000" w:themeColor="text1"/>
                <w:sz w:val="21"/>
                <w:szCs w:val="21"/>
                <w14:textFill>
                  <w14:solidFill>
                    <w14:schemeClr w14:val="tx1"/>
                  </w14:solidFill>
                </w14:textFill>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val="0"/>
                <w:bCs w:val="0"/>
                <w:color w:val="000000" w:themeColor="text1"/>
                <w:sz w:val="21"/>
                <w:szCs w:val="21"/>
                <w14:textFill>
                  <w14:solidFill>
                    <w14:schemeClr w14:val="tx1"/>
                  </w14:solidFill>
                </w14:textFill>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ascii="方正黑体简体" w:eastAsia="方正黑体简体"/>
                <w:b w:val="0"/>
                <w:bCs w:val="0"/>
                <w:color w:val="000000" w:themeColor="text1"/>
                <w:sz w:val="21"/>
                <w:szCs w:val="21"/>
                <w14:textFill>
                  <w14:solidFill>
                    <w14:schemeClr w14:val="tx1"/>
                  </w14:solidFill>
                </w14:textFill>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color w:val="000000" w:themeColor="text1"/>
                <w:sz w:val="21"/>
                <w:szCs w:val="21"/>
                <w:lang w:eastAsia="zh-CN"/>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结果</w:t>
            </w:r>
          </w:p>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color w:val="000000" w:themeColor="text1"/>
                <w:sz w:val="21"/>
                <w:szCs w:val="21"/>
                <w:lang w:eastAsia="zh-CN"/>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结果</w:t>
            </w:r>
          </w:p>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color w:val="000000" w:themeColor="text1"/>
                <w:sz w:val="21"/>
                <w:szCs w:val="21"/>
                <w:lang w:eastAsia="zh-CN"/>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其他</w:t>
            </w:r>
          </w:p>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color w:val="000000" w:themeColor="text1"/>
                <w:sz w:val="21"/>
                <w:szCs w:val="21"/>
                <w:lang w:eastAsia="zh-CN"/>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尚未</w:t>
            </w:r>
          </w:p>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color w:val="000000" w:themeColor="text1"/>
                <w:sz w:val="21"/>
                <w:szCs w:val="21"/>
                <w:lang w:eastAsia="zh-CN"/>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结果</w:t>
            </w:r>
          </w:p>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color w:val="000000" w:themeColor="text1"/>
                <w:sz w:val="21"/>
                <w:szCs w:val="21"/>
                <w:lang w:eastAsia="zh-CN"/>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结果</w:t>
            </w:r>
          </w:p>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color w:val="000000" w:themeColor="text1"/>
                <w:sz w:val="21"/>
                <w:szCs w:val="21"/>
                <w:lang w:eastAsia="zh-CN"/>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其他</w:t>
            </w:r>
          </w:p>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hAnsi="宋体" w:eastAsia="方正黑体简体" w:cs="宋体"/>
                <w:b w:val="0"/>
                <w:bCs w:val="0"/>
                <w:color w:val="000000" w:themeColor="text1"/>
                <w:sz w:val="21"/>
                <w:szCs w:val="21"/>
                <w:lang w:eastAsia="zh-CN"/>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尚未</w:t>
            </w:r>
          </w:p>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ascii="方正黑体简体" w:eastAsia="方正黑体简体"/>
                <w:b w:val="0"/>
                <w:bCs w:val="0"/>
                <w:color w:val="000000" w:themeColor="text1"/>
                <w:sz w:val="21"/>
                <w:szCs w:val="21"/>
                <w14:textFill>
                  <w14:solidFill>
                    <w14:schemeClr w14:val="tx1"/>
                  </w14:solidFill>
                </w14:textFill>
              </w:rPr>
            </w:pPr>
            <w:r>
              <w:rPr>
                <w:rFonts w:hint="eastAsia" w:ascii="方正黑体简体" w:hAnsi="宋体" w:eastAsia="方正黑体简体" w:cs="宋体"/>
                <w:b w:val="0"/>
                <w:bCs w:val="0"/>
                <w:color w:val="000000" w:themeColor="text1"/>
                <w:sz w:val="21"/>
                <w:szCs w:val="21"/>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4" w:leftChars="-20" w:right="-44" w:rightChars="-20"/>
              <w:jc w:val="center"/>
              <w:rPr>
                <w:rFonts w:hint="default"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44" w:leftChars="-20" w:right="-44" w:rightChars="-20"/>
              <w:rPr>
                <w:rFonts w:hint="eastAsia" w:ascii="方正黑体简体" w:eastAsia="方正黑体简体"/>
                <w:b w:val="0"/>
                <w:bCs w:val="0"/>
                <w:color w:val="000000" w:themeColor="text1"/>
                <w:sz w:val="21"/>
                <w:szCs w:val="21"/>
                <w:lang w:val="en-US" w:eastAsia="zh-CN"/>
                <w14:textFill>
                  <w14:solidFill>
                    <w14:schemeClr w14:val="tx1"/>
                  </w14:solidFill>
                </w14:textFill>
              </w:rPr>
            </w:pPr>
            <w:r>
              <w:rPr>
                <w:rFonts w:hint="eastAsia" w:ascii="方正黑体简体" w:eastAsia="方正黑体简体"/>
                <w:b w:val="0"/>
                <w:bCs w:val="0"/>
                <w:color w:val="000000" w:themeColor="text1"/>
                <w:sz w:val="21"/>
                <w:szCs w:val="21"/>
                <w:lang w:val="en-US" w:eastAsia="zh-CN"/>
                <w14:textFill>
                  <w14:solidFill>
                    <w14:schemeClr w14:val="tx1"/>
                  </w14:solidFill>
                </w14:textFill>
              </w:rPr>
              <w:t>0</w:t>
            </w:r>
          </w:p>
        </w:tc>
      </w:tr>
    </w:tbl>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黑体简体" w:eastAsia="方正黑体简体"/>
          <w:b w:val="0"/>
          <w:bCs w:val="0"/>
          <w:color w:val="000000" w:themeColor="text1"/>
          <w:sz w:val="32"/>
          <w:szCs w:val="32"/>
          <w14:textFill>
            <w14:solidFill>
              <w14:schemeClr w14:val="tx1"/>
            </w14:solidFill>
          </w14:textFill>
        </w:rPr>
      </w:pPr>
      <w:r>
        <w:rPr>
          <w:rFonts w:hint="eastAsia" w:ascii="方正黑体简体" w:eastAsia="方正黑体简体"/>
          <w:b w:val="0"/>
          <w:bCs w:val="0"/>
          <w:color w:val="000000" w:themeColor="text1"/>
          <w:sz w:val="32"/>
          <w:szCs w:val="32"/>
          <w14:textFill>
            <w14:solidFill>
              <w14:schemeClr w14:val="tx1"/>
            </w14:solidFill>
          </w14:textFill>
        </w:rPr>
        <w:t>五、存在的主要问题及改进情况</w:t>
      </w:r>
    </w:p>
    <w:p>
      <w:pPr>
        <w:spacing w:line="560" w:lineRule="exact"/>
        <w:ind w:firstLine="640" w:firstLineChars="200"/>
        <w:jc w:val="both"/>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2022年政府信息公开工作仍存在一些问题。一是政府信息公开主动性不够强、及时性不够，对一些公开的内容存在遗漏现象；二是公开的内容和形式还欠丰富。</w:t>
      </w:r>
    </w:p>
    <w:p>
      <w:pPr>
        <w:spacing w:line="560" w:lineRule="exact"/>
        <w:ind w:firstLine="640" w:firstLineChars="200"/>
        <w:jc w:val="both"/>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2023年，我局将继续围绕区党工委管委会决策部署，改进工作措施。一是加强队伍建设，加大政务公开工作人员的培训力度，树立爱岗敬业意识，提高业务技能；二是加强内部沟通，单位各部门及时提供、定期维护，提高信息公开内容的广度与深度；三是抓好政策解读，通过政策咨询、媒体访谈、新闻发布会等形式，强化政策宣传解读回应力度；四是强化媒体合作，建立与新闻媒体的沟通联系机制，充分运用新闻媒体资源，扩大信息公开的覆盖面和影响力。</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ascii="方正黑体简体" w:eastAsia="方正黑体简体"/>
          <w:b w:val="0"/>
          <w:bCs w:val="0"/>
          <w:color w:val="000000" w:themeColor="text1"/>
          <w:sz w:val="32"/>
          <w:szCs w:val="32"/>
          <w:highlight w:val="none"/>
          <w14:textFill>
            <w14:solidFill>
              <w14:schemeClr w14:val="tx1"/>
            </w14:solidFill>
          </w14:textFill>
        </w:rPr>
      </w:pPr>
      <w:r>
        <w:rPr>
          <w:rFonts w:hint="eastAsia" w:ascii="方正黑体简体" w:eastAsia="方正黑体简体"/>
          <w:b w:val="0"/>
          <w:bCs w:val="0"/>
          <w:color w:val="000000" w:themeColor="text1"/>
          <w:sz w:val="32"/>
          <w:szCs w:val="32"/>
          <w:highlight w:val="none"/>
          <w14:textFill>
            <w14:solidFill>
              <w14:schemeClr w14:val="tx1"/>
            </w14:solidFill>
          </w14:textFill>
        </w:rPr>
        <w:t>六、其他需要报告的事项</w:t>
      </w:r>
    </w:p>
    <w:p>
      <w:pPr>
        <w:spacing w:line="560" w:lineRule="exact"/>
        <w:ind w:firstLine="640" w:firstLineChars="200"/>
        <w:jc w:val="both"/>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（一）依据《国务院办公厅关于印发〈政府信息公开信息处理费管理办法〉的通知》(国办函〔2020〕109号)）文件精神，2022年我局未收取信息处理费。</w:t>
      </w:r>
    </w:p>
    <w:p>
      <w:pPr>
        <w:spacing w:line="560" w:lineRule="exact"/>
        <w:ind w:firstLine="640" w:firstLineChars="200"/>
        <w:jc w:val="both"/>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二）2022年，根据《山东省人民政府办公厅关于印发2022年山东省政务公开工作要点的通知》（鲁政办发〔2022〕5号）、《济宁市人民政府办公室关于印发2022年济宁市政务公开工作任务分解表的通知》文件精神及高新区管委会办公室《</w:t>
      </w:r>
      <w:bookmarkStart w:id="0" w:name="BKsubject"/>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关于印发2022年高新区政务公开工作任务分解表的通知</w:t>
      </w:r>
      <w:bookmarkEnd w:id="0"/>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》，结合我局工作实际，持续做好政务公开信息整理、审核、上传工作，按时间节点完成政务公开平台项目更新工作，不断提升政务公开的广度和深度，各项工作均圆满完成。</w:t>
      </w:r>
    </w:p>
    <w:p>
      <w:pPr>
        <w:spacing w:line="560" w:lineRule="exact"/>
        <w:ind w:firstLine="640" w:firstLineChars="200"/>
        <w:jc w:val="both"/>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（三）2022年我局未收到人大代表建议和政协提案。</w:t>
      </w:r>
    </w:p>
    <w:p>
      <w:pPr>
        <w:spacing w:line="560" w:lineRule="exact"/>
        <w:ind w:firstLine="640" w:firstLineChars="200"/>
        <w:jc w:val="both"/>
        <w:rPr>
          <w:rFonts w:hint="default"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pPr>
      <w:r>
        <w:rPr>
          <w:rFonts w:hint="eastAsia" w:ascii="方正仿宋简体" w:hAnsi="方正仿宋简体" w:eastAsia="方正仿宋简体" w:cs="方正仿宋简体"/>
          <w:color w:val="000000" w:themeColor="text1"/>
          <w:kern w:val="0"/>
          <w:sz w:val="32"/>
          <w:szCs w:val="32"/>
          <w:highlight w:val="none"/>
          <w:lang w:val="en-US" w:eastAsia="zh-CN"/>
          <w14:textFill>
            <w14:solidFill>
              <w14:schemeClr w14:val="tx1"/>
            </w14:solidFill>
          </w14:textFill>
        </w:rPr>
        <w:t>（四）2022年我局不断创新政务公开的渠道和形式，打通新媒体渠道，强化媒体合作，扩大了信息公开的覆盖面和影响力。</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kMTk5NWFjYzNkZGIzMTVmZTdkZjZjN2M5NDc5NjcifQ=="/>
  </w:docVars>
  <w:rsids>
    <w:rsidRoot w:val="00D31D50"/>
    <w:rsid w:val="00323B43"/>
    <w:rsid w:val="0036550C"/>
    <w:rsid w:val="003D37D8"/>
    <w:rsid w:val="00426133"/>
    <w:rsid w:val="004358AB"/>
    <w:rsid w:val="00841A33"/>
    <w:rsid w:val="008B7726"/>
    <w:rsid w:val="00D31D50"/>
    <w:rsid w:val="01AA3535"/>
    <w:rsid w:val="02A740F9"/>
    <w:rsid w:val="068210B9"/>
    <w:rsid w:val="06A87CC4"/>
    <w:rsid w:val="078018DD"/>
    <w:rsid w:val="09472849"/>
    <w:rsid w:val="0A611208"/>
    <w:rsid w:val="0C0F4D9D"/>
    <w:rsid w:val="0C4D4B85"/>
    <w:rsid w:val="0D3D3285"/>
    <w:rsid w:val="0D57070E"/>
    <w:rsid w:val="0EEE742C"/>
    <w:rsid w:val="10311639"/>
    <w:rsid w:val="10485750"/>
    <w:rsid w:val="10EB7FAC"/>
    <w:rsid w:val="15BC2EAD"/>
    <w:rsid w:val="16462D18"/>
    <w:rsid w:val="1676618E"/>
    <w:rsid w:val="17A50A19"/>
    <w:rsid w:val="19F25B1E"/>
    <w:rsid w:val="1A836C81"/>
    <w:rsid w:val="1C2B3402"/>
    <w:rsid w:val="1D8C2B12"/>
    <w:rsid w:val="1E7C6E80"/>
    <w:rsid w:val="1EA60A95"/>
    <w:rsid w:val="1FD93DB9"/>
    <w:rsid w:val="2135038B"/>
    <w:rsid w:val="21576086"/>
    <w:rsid w:val="2178462E"/>
    <w:rsid w:val="23446CEF"/>
    <w:rsid w:val="237C79D3"/>
    <w:rsid w:val="240E46A0"/>
    <w:rsid w:val="27080AA1"/>
    <w:rsid w:val="296D472D"/>
    <w:rsid w:val="2EA42069"/>
    <w:rsid w:val="2FE1669F"/>
    <w:rsid w:val="30F14FDE"/>
    <w:rsid w:val="31D041F3"/>
    <w:rsid w:val="325236B8"/>
    <w:rsid w:val="3263006E"/>
    <w:rsid w:val="32711D0A"/>
    <w:rsid w:val="34476647"/>
    <w:rsid w:val="35BE50CF"/>
    <w:rsid w:val="35DC4BD1"/>
    <w:rsid w:val="36344B03"/>
    <w:rsid w:val="36683E12"/>
    <w:rsid w:val="3AE713D8"/>
    <w:rsid w:val="3B886AEE"/>
    <w:rsid w:val="3BF92987"/>
    <w:rsid w:val="3D1D0E02"/>
    <w:rsid w:val="3D4D17E8"/>
    <w:rsid w:val="3D780C4B"/>
    <w:rsid w:val="3DCE5504"/>
    <w:rsid w:val="401A7639"/>
    <w:rsid w:val="40477484"/>
    <w:rsid w:val="40DA2994"/>
    <w:rsid w:val="42A52463"/>
    <w:rsid w:val="436D7C4D"/>
    <w:rsid w:val="444103CB"/>
    <w:rsid w:val="448707A9"/>
    <w:rsid w:val="453526B6"/>
    <w:rsid w:val="45EA19BC"/>
    <w:rsid w:val="46FA63E1"/>
    <w:rsid w:val="482C0675"/>
    <w:rsid w:val="490301B3"/>
    <w:rsid w:val="49604223"/>
    <w:rsid w:val="49D32A17"/>
    <w:rsid w:val="4A35612F"/>
    <w:rsid w:val="4BCE6EAF"/>
    <w:rsid w:val="4C797BC3"/>
    <w:rsid w:val="4DF177E8"/>
    <w:rsid w:val="50981885"/>
    <w:rsid w:val="50EB1D36"/>
    <w:rsid w:val="51485345"/>
    <w:rsid w:val="51945DB6"/>
    <w:rsid w:val="52022B5B"/>
    <w:rsid w:val="547D0AA7"/>
    <w:rsid w:val="548D68CA"/>
    <w:rsid w:val="56253A12"/>
    <w:rsid w:val="56372D3A"/>
    <w:rsid w:val="57391CDD"/>
    <w:rsid w:val="57416115"/>
    <w:rsid w:val="579F17FC"/>
    <w:rsid w:val="57D9652F"/>
    <w:rsid w:val="5A69790D"/>
    <w:rsid w:val="5B205D68"/>
    <w:rsid w:val="5BEC3AEF"/>
    <w:rsid w:val="5C7300C3"/>
    <w:rsid w:val="5C7615AA"/>
    <w:rsid w:val="5CCC49D7"/>
    <w:rsid w:val="5CD60F28"/>
    <w:rsid w:val="5DCB4528"/>
    <w:rsid w:val="5E283EDA"/>
    <w:rsid w:val="5ED02C75"/>
    <w:rsid w:val="5F115494"/>
    <w:rsid w:val="5F2A2FFC"/>
    <w:rsid w:val="5F7B3216"/>
    <w:rsid w:val="60C10A48"/>
    <w:rsid w:val="60E72D50"/>
    <w:rsid w:val="625E6DF7"/>
    <w:rsid w:val="66A24E6A"/>
    <w:rsid w:val="66AB6E29"/>
    <w:rsid w:val="6704446C"/>
    <w:rsid w:val="68B84332"/>
    <w:rsid w:val="69816F45"/>
    <w:rsid w:val="698F40D8"/>
    <w:rsid w:val="698F67F0"/>
    <w:rsid w:val="699B2728"/>
    <w:rsid w:val="69AC17F7"/>
    <w:rsid w:val="6C2D2CC4"/>
    <w:rsid w:val="6E0E30C9"/>
    <w:rsid w:val="6E6D075B"/>
    <w:rsid w:val="7245017D"/>
    <w:rsid w:val="72D20BDB"/>
    <w:rsid w:val="73A94C19"/>
    <w:rsid w:val="73EB34EA"/>
    <w:rsid w:val="745021F7"/>
    <w:rsid w:val="76DE116C"/>
    <w:rsid w:val="77DD2867"/>
    <w:rsid w:val="78152CF9"/>
    <w:rsid w:val="787535DD"/>
    <w:rsid w:val="7A6D13E4"/>
    <w:rsid w:val="7BE96239"/>
    <w:rsid w:val="7C543F2D"/>
    <w:rsid w:val="7D6A76FE"/>
    <w:rsid w:val="7DD468B2"/>
    <w:rsid w:val="7EAE56A9"/>
    <w:rsid w:val="7F2F0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toc 1"/>
    <w:next w:val="1"/>
    <w:qFormat/>
    <w:uiPriority w:val="0"/>
    <w:pPr>
      <w:widowControl w:val="0"/>
      <w:snapToGrid w:val="0"/>
      <w:spacing w:line="640" w:lineRule="exact"/>
      <w:ind w:firstLine="705"/>
      <w:jc w:val="both"/>
    </w:pPr>
    <w:rPr>
      <w:rFonts w:ascii="仿宋_GB2312" w:hAnsi="Times New Roman" w:eastAsia="仿宋_GB2312" w:cs="仿宋_GB2312"/>
      <w:color w:val="000000"/>
      <w:kern w:val="2"/>
      <w:sz w:val="36"/>
      <w:szCs w:val="36"/>
      <w:lang w:val="en-US" w:eastAsia="zh-CN" w:bidi="ar-SA"/>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customStyle="1" w:styleId="7">
    <w:name w:val="BodyText"/>
    <w:basedOn w:val="1"/>
    <w:qFormat/>
    <w:uiPriority w:val="0"/>
    <w:pPr>
      <w:spacing w:after="120"/>
      <w:textAlignment w:val="baseline"/>
    </w:pPr>
    <w:rPr>
      <w:rFonts w:eastAsia="仿宋_GB2312"/>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3007</Words>
  <Characters>3154</Characters>
  <Lines>1</Lines>
  <Paragraphs>1</Paragraphs>
  <TotalTime>4</TotalTime>
  <ScaleCrop>false</ScaleCrop>
  <LinksUpToDate>false</LinksUpToDate>
  <CharactersWithSpaces>3155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cp:lastModifiedBy>
  <cp:lastPrinted>2023-02-02T08:09:00Z</cp:lastPrinted>
  <dcterms:modified xsi:type="dcterms:W3CDTF">2023-02-09T03:57:17Z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DB88539FF86C40689E3FA9FC3B894714</vt:lpwstr>
  </property>
</Properties>
</file>