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仿宋简体" w:eastAsia="方正小标宋简体" w:cs="方正仿宋简体"/>
          <w:b w:val="0"/>
          <w:bCs w:val="0"/>
          <w:w w:val="9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  <w:t>关于鼓励支持工业企业开展技术改造行动的</w:t>
      </w:r>
      <w:r>
        <w:rPr>
          <w:rFonts w:hint="eastAsia" w:ascii="方正小标宋简体" w:hAnsi="方正仿宋简体" w:eastAsia="方正小标宋简体" w:cs="方正仿宋简体"/>
          <w:b w:val="0"/>
          <w:bCs w:val="0"/>
          <w:w w:val="90"/>
          <w:sz w:val="44"/>
          <w:szCs w:val="44"/>
        </w:rPr>
        <w:t>实施意见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楷体简体" w:hAnsi="方正楷体简体" w:eastAsia="方正楷体简体" w:cs="方正楷体简体"/>
          <w:b w:val="0"/>
          <w:bCs w:val="0"/>
          <w:w w:val="90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w w:val="90"/>
          <w:sz w:val="32"/>
          <w:szCs w:val="32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b w:val="0"/>
          <w:bCs w:val="0"/>
          <w:w w:val="90"/>
          <w:sz w:val="32"/>
          <w:szCs w:val="32"/>
          <w:lang w:val="en-US" w:eastAsia="zh-CN"/>
        </w:rPr>
        <w:t>征求意见稿</w:t>
      </w:r>
      <w:r>
        <w:rPr>
          <w:rFonts w:hint="eastAsia" w:ascii="方正楷体简体" w:hAnsi="方正楷体简体" w:eastAsia="方正楷体简体" w:cs="方正楷体简体"/>
          <w:b w:val="0"/>
          <w:bCs w:val="0"/>
          <w:w w:val="9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方正仿宋简体"/>
          <w:bCs/>
          <w:color w:val="000000"/>
          <w:sz w:val="36"/>
          <w:szCs w:val="36"/>
        </w:rPr>
      </w:pPr>
      <w:r>
        <w:rPr>
          <w:rFonts w:hint="eastAsia" w:ascii="Times New Roman" w:hAnsi="Times New Roman" w:eastAsia="方正仿宋简体" w:cs="方正仿宋简体"/>
          <w:bCs/>
          <w:color w:val="000000"/>
          <w:sz w:val="32"/>
          <w:szCs w:val="32"/>
        </w:rPr>
        <w:t>为进一步贯彻《山东省人民政府关于支持民营经济高质量发展的若干意见》和《济宁市人民政府关于支持民营经济高质量发展的若干意见》等一系列文件精神，进一步推动我区企业加大技术改造力度，扩大技改有效投资，以自动化、智能化装备推动传统工业产业实现高质量发展，现就鼓励支持工业企业开展技术改造行动制定如下支持政策意见：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  <w:t>一、支持方向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方正仿宋简体" w:cs="方正仿宋简体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Cs/>
          <w:color w:val="000000"/>
          <w:sz w:val="32"/>
          <w:szCs w:val="32"/>
        </w:rPr>
        <w:t>（一）</w:t>
      </w:r>
      <w:r>
        <w:rPr>
          <w:rFonts w:ascii="Times New Roman" w:hAnsi="Times New Roman" w:eastAsia="方正仿宋简体" w:cs="方正仿宋简体"/>
          <w:bCs/>
          <w:color w:val="000000"/>
          <w:sz w:val="32"/>
          <w:szCs w:val="32"/>
        </w:rPr>
        <w:t>支持符合《工业企业技术改造升级投资指南》等产业政策鼓励类要求的技术改造项目；优先支持</w:t>
      </w:r>
      <w:r>
        <w:rPr>
          <w:rFonts w:hint="eastAsia" w:ascii="Times New Roman" w:hAnsi="Times New Roman" w:eastAsia="方正仿宋简体" w:cs="方正仿宋简体"/>
          <w:bCs/>
          <w:color w:val="000000"/>
          <w:sz w:val="32"/>
          <w:szCs w:val="32"/>
        </w:rPr>
        <w:t>重点行业“机器换人”项目、关键高危岗位“机器换人”示范项目，以及采用市内生产的机器人和智能制造系统、</w:t>
      </w:r>
      <w:r>
        <w:rPr>
          <w:rFonts w:hint="eastAsia" w:ascii="Times New Roman" w:hAnsi="Times New Roman" w:eastAsia="方正仿宋简体" w:cs="方正仿宋简体"/>
          <w:bCs/>
          <w:color w:val="000000"/>
          <w:spacing w:val="-11"/>
          <w:sz w:val="32"/>
          <w:szCs w:val="32"/>
        </w:rPr>
        <w:t>特种机器人改造提升技术工艺的企业</w:t>
      </w:r>
      <w:r>
        <w:rPr>
          <w:rFonts w:ascii="Times New Roman" w:hAnsi="Times New Roman" w:eastAsia="方正仿宋简体" w:cs="方正仿宋简体"/>
          <w:bCs/>
          <w:color w:val="000000"/>
          <w:spacing w:val="-11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方正仿宋简体" w:cs="方正仿宋简体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Cs/>
          <w:color w:val="000000"/>
          <w:sz w:val="32"/>
          <w:szCs w:val="32"/>
        </w:rPr>
        <w:t>（二）支持提高装备水平。鼓励企业加快淘汰落后工艺技术和设备，推广应用自动化、数字化、网络化、智能化等先进制造系统、智能制造设备及大型成套技术装备。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方正仿宋简体" w:cs="方正仿宋简体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Cs/>
          <w:color w:val="000000"/>
          <w:sz w:val="32"/>
          <w:szCs w:val="32"/>
        </w:rPr>
        <w:t>（三）促进绿色低碳发展。鼓励企业实施资源能源节约、综合利用、清洁生产、环境保护等技术改造；支持高效节能、节水、环保技术和产品装备产业化。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方正仿宋简体" w:cs="方正仿宋简体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Cs/>
          <w:color w:val="000000"/>
          <w:sz w:val="32"/>
          <w:szCs w:val="32"/>
        </w:rPr>
        <w:t>（四）鼓励优化产品结构。支持重点企业瞄准国际国内前沿技术，加快装备升级改造，改进工艺流程，提高产品质量，增加产品品种，提高新产品贡献率，</w:t>
      </w:r>
      <w:r>
        <w:rPr>
          <w:rFonts w:hint="eastAsia" w:ascii="Times New Roman" w:hAnsi="Times New Roman" w:eastAsia="方正仿宋简体" w:cs="方正仿宋简体"/>
          <w:bCs/>
          <w:color w:val="000000"/>
          <w:spacing w:val="-11"/>
          <w:sz w:val="32"/>
          <w:szCs w:val="32"/>
        </w:rPr>
        <w:t>提升产品市场占有率和品牌知名度。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方正仿宋简体" w:hAnsi="Times New Roman" w:eastAsia="方正仿宋简体" w:cs="方正仿宋简体"/>
          <w:bCs/>
          <w:color w:val="000000"/>
          <w:sz w:val="32"/>
          <w:szCs w:val="32"/>
        </w:rPr>
      </w:pPr>
      <w:r>
        <w:rPr>
          <w:rFonts w:hint="eastAsia" w:ascii="方正仿宋简体" w:hAnsi="Times New Roman" w:eastAsia="方正仿宋简体" w:cs="方正仿宋简体"/>
          <w:bCs/>
          <w:color w:val="000000"/>
          <w:sz w:val="32"/>
          <w:szCs w:val="32"/>
        </w:rPr>
        <w:t>（五）支持属于新技术、新产业、新业态、新模式“四新”和产业智慧化、智慧产业化、跨界融合化、品牌高端化“四化”范畴的技术改造项目。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方正仿宋简体" w:hAnsi="Times New Roman" w:eastAsia="方正仿宋简体" w:cs="方正仿宋简体"/>
          <w:bCs/>
          <w:color w:val="000000"/>
          <w:sz w:val="32"/>
          <w:szCs w:val="32"/>
        </w:rPr>
      </w:pPr>
      <w:r>
        <w:rPr>
          <w:rFonts w:hint="eastAsia" w:ascii="方正仿宋简体" w:hAnsi="Times New Roman" w:eastAsia="方正仿宋简体" w:cs="方正仿宋简体"/>
          <w:bCs/>
          <w:color w:val="000000"/>
          <w:sz w:val="32"/>
          <w:szCs w:val="32"/>
        </w:rPr>
        <w:t>（六）促进安全生产。实施安全产业工业产品、生产工艺和装备的技术改造，鼓励安全生产管理与监测预警系统、应急处理系统、危险品生产储运设备设施等技术装备的升级换代。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方正仿宋简体" w:hAnsi="Times New Roman" w:eastAsia="方正仿宋简体" w:cs="方正仿宋简体"/>
          <w:bCs/>
          <w:color w:val="000000"/>
          <w:sz w:val="32"/>
          <w:szCs w:val="32"/>
        </w:rPr>
      </w:pPr>
      <w:r>
        <w:rPr>
          <w:rFonts w:hint="eastAsia" w:ascii="方正仿宋简体" w:hAnsi="Times New Roman" w:eastAsia="方正仿宋简体" w:cs="方正仿宋简体"/>
          <w:bCs/>
          <w:color w:val="000000"/>
          <w:sz w:val="32"/>
          <w:szCs w:val="32"/>
        </w:rPr>
        <w:t>（七）促进集群集聚发展。鼓励各属地园区主动承接产业、技术转移，突出发展主导产业，带动上下游产业，促进产业链延伸与完善，形成产业集群。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  <w:t>二、支持范围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方正仿宋简体" w:hAnsi="Times New Roman" w:eastAsia="方正仿宋简体" w:cs="方正仿宋简体"/>
          <w:bCs/>
          <w:color w:val="000000"/>
          <w:sz w:val="32"/>
          <w:szCs w:val="32"/>
        </w:rPr>
      </w:pPr>
      <w:r>
        <w:rPr>
          <w:rFonts w:hint="eastAsia" w:ascii="方正仿宋简体" w:hAnsi="Times New Roman" w:eastAsia="方正仿宋简体" w:cs="方正仿宋简体"/>
          <w:bCs/>
          <w:color w:val="000000"/>
          <w:sz w:val="32"/>
          <w:szCs w:val="32"/>
        </w:rPr>
        <w:t>（一）在济宁高新区境内注册、具有独立的法人资格，且正常经营一年以上。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方正仿宋简体" w:hAnsi="Times New Roman" w:eastAsia="方正仿宋简体" w:cs="方正仿宋简体"/>
          <w:bCs/>
          <w:color w:val="000000"/>
          <w:sz w:val="32"/>
          <w:szCs w:val="32"/>
        </w:rPr>
      </w:pPr>
      <w:r>
        <w:rPr>
          <w:rFonts w:hint="eastAsia" w:ascii="方正仿宋简体" w:hAnsi="Times New Roman" w:eastAsia="方正仿宋简体" w:cs="方正仿宋简体"/>
          <w:bCs/>
          <w:color w:val="000000"/>
          <w:sz w:val="32"/>
          <w:szCs w:val="32"/>
        </w:rPr>
        <w:t>（二）申报项目必须符合国家产业政策和支持领域及方向，技术水平高、产业关联强、经济带动大、市场前景好。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方正仿宋简体" w:hAnsi="Times New Roman" w:eastAsia="方正仿宋简体" w:cs="方正仿宋简体"/>
          <w:bCs/>
          <w:color w:val="000000"/>
          <w:sz w:val="32"/>
          <w:szCs w:val="32"/>
        </w:rPr>
      </w:pPr>
      <w:r>
        <w:rPr>
          <w:rFonts w:hint="eastAsia" w:ascii="方正仿宋简体" w:hAnsi="Times New Roman" w:eastAsia="方正仿宋简体" w:cs="方正仿宋简体"/>
          <w:bCs/>
          <w:color w:val="000000"/>
          <w:sz w:val="32"/>
          <w:szCs w:val="32"/>
        </w:rPr>
        <w:t>（三）申报项目已在工信部门进行了技改备案（核准），环评、规划、土地等相关手续完备。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方正仿宋简体" w:hAnsi="Times New Roman" w:eastAsia="方正仿宋简体" w:cs="方正仿宋简体"/>
          <w:bCs/>
          <w:color w:val="000000"/>
          <w:sz w:val="32"/>
          <w:szCs w:val="32"/>
        </w:rPr>
      </w:pPr>
      <w:r>
        <w:rPr>
          <w:rFonts w:hint="eastAsia" w:ascii="方正仿宋简体" w:hAnsi="Times New Roman" w:eastAsia="方正仿宋简体" w:cs="方正仿宋简体"/>
          <w:bCs/>
          <w:color w:val="000000"/>
          <w:sz w:val="32"/>
          <w:szCs w:val="32"/>
        </w:rPr>
        <w:t>（四）申报项目必须纳入政府统计范围，即纳入统计部门的当期在建技改项目库。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方正仿宋简体" w:hAnsi="Times New Roman" w:eastAsia="方正仿宋简体" w:cs="方正仿宋简体"/>
          <w:bCs/>
          <w:color w:val="000000"/>
          <w:sz w:val="32"/>
          <w:szCs w:val="32"/>
        </w:rPr>
      </w:pPr>
      <w:r>
        <w:rPr>
          <w:rFonts w:hint="eastAsia" w:ascii="方正仿宋简体" w:hAnsi="Times New Roman" w:eastAsia="方正仿宋简体" w:cs="方正仿宋简体"/>
          <w:bCs/>
          <w:color w:val="000000"/>
          <w:sz w:val="32"/>
          <w:szCs w:val="32"/>
        </w:rPr>
        <w:t>（五）已获得市级（含）以上各类技改资金扶持的项目，不得重复享受。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三、支持标准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方正仿宋简体" w:hAnsi="Times New Roman" w:eastAsia="方正仿宋简体" w:cs="方正仿宋简体"/>
          <w:bCs/>
          <w:color w:val="000000"/>
          <w:sz w:val="32"/>
          <w:szCs w:val="32"/>
        </w:rPr>
      </w:pPr>
      <w:r>
        <w:rPr>
          <w:rFonts w:hint="eastAsia" w:ascii="方正仿宋简体" w:hAnsi="Times New Roman" w:eastAsia="方正仿宋简体" w:cs="方正仿宋简体"/>
          <w:bCs/>
          <w:color w:val="000000"/>
          <w:sz w:val="32"/>
          <w:szCs w:val="32"/>
        </w:rPr>
        <w:t>（一）对实施技术改造项目的工业企业，项目纳入固定资产技改投资统计的，按项目年度实际完成设备购置投资额度分级进行奖补（设备投资额以增值税专用发票为准）。设备投资500万元-2000万元（不含2000万元）的，按年度实际完成设备投资额（不含税，下同）的3%给予补助；设备投资额2000万元（含2000万元）以上的，按年度实际完成设备投资额的3.5%给予补助。单个企业每年最高补助200万元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方正仿宋简体" w:hAnsi="Times New Roman" w:eastAsia="方正仿宋简体" w:cs="方正仿宋简体"/>
          <w:bCs/>
          <w:color w:val="000000"/>
          <w:sz w:val="32"/>
          <w:szCs w:val="32"/>
        </w:rPr>
      </w:pPr>
      <w:r>
        <w:rPr>
          <w:rFonts w:hint="eastAsia" w:ascii="方正仿宋简体" w:hAnsi="Times New Roman" w:eastAsia="方正仿宋简体" w:cs="方正仿宋简体"/>
          <w:bCs/>
          <w:color w:val="000000"/>
          <w:sz w:val="32"/>
          <w:szCs w:val="32"/>
        </w:rPr>
        <w:t>（二）技改项目的设备投资额以设备购置发票数额为准，计算起止期限为年度8月1日</w:t>
      </w:r>
      <w:r>
        <w:rPr>
          <w:rFonts w:ascii="方正仿宋简体" w:hAnsi="Times New Roman" w:eastAsia="方正仿宋简体" w:cs="方正仿宋简体"/>
          <w:bCs/>
          <w:color w:val="000000"/>
          <w:sz w:val="32"/>
          <w:szCs w:val="32"/>
        </w:rPr>
        <w:t>—</w:t>
      </w:r>
      <w:r>
        <w:rPr>
          <w:rFonts w:hint="eastAsia" w:ascii="方正仿宋简体" w:hAnsi="Times New Roman" w:eastAsia="方正仿宋简体" w:cs="方正仿宋简体"/>
          <w:bCs/>
          <w:color w:val="000000"/>
          <w:sz w:val="32"/>
          <w:szCs w:val="32"/>
        </w:rPr>
        <w:t>次年度7月3</w:t>
      </w:r>
      <w:r>
        <w:rPr>
          <w:rFonts w:hint="eastAsia" w:ascii="方正仿宋简体" w:hAnsi="Times New Roman" w:eastAsia="方正仿宋简体" w:cs="方正仿宋简体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仿宋简体" w:hAnsi="Times New Roman" w:eastAsia="方正仿宋简体" w:cs="方正仿宋简体"/>
          <w:bCs/>
          <w:color w:val="000000"/>
          <w:sz w:val="32"/>
          <w:szCs w:val="32"/>
        </w:rPr>
        <w:t>日。</w:t>
      </w:r>
    </w:p>
    <w:p>
      <w:r>
        <w:rPr>
          <w:rFonts w:hint="eastAsia" w:ascii="方正仿宋简体" w:hAnsi="Times New Roman" w:eastAsia="方正仿宋简体" w:cs="方正仿宋简体"/>
          <w:bCs/>
          <w:color w:val="000000"/>
          <w:sz w:val="32"/>
          <w:szCs w:val="32"/>
        </w:rPr>
        <w:t>本意见有效期为2020年8月1日至2023年7月3</w:t>
      </w:r>
      <w:r>
        <w:rPr>
          <w:rFonts w:hint="eastAsia" w:ascii="方正仿宋简体" w:hAnsi="Times New Roman" w:eastAsia="方正仿宋简体" w:cs="方正仿宋简体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仿宋简体" w:hAnsi="Times New Roman" w:eastAsia="方正仿宋简体" w:cs="方正仿宋简体"/>
          <w:bCs/>
          <w:color w:val="000000"/>
          <w:sz w:val="32"/>
          <w:szCs w:val="32"/>
        </w:rPr>
        <w:t>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47E6F"/>
    <w:rsid w:val="4AF4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2020-07-14T02:53:00Z</dcterms:created>
  <dc:creator>Administrator</dc:creator>
  <cp:lastModifiedBy>Administrator</cp:lastModifiedBy>
  <dcterms:modified xsi:type="dcterms:W3CDTF">2020-07-14T02:54:15Z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