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1000" w:lineRule="exact"/>
        <w:jc w:val="both"/>
        <w:rPr>
          <w:rFonts w:hint="eastAsia" w:ascii="方正仿宋简体" w:hAnsi="Times New Roman" w:eastAsia="方正仿宋简体" w:cs="Times New Roman"/>
          <w:kern w:val="2"/>
          <w:sz w:val="32"/>
          <w:szCs w:val="32"/>
          <w:lang w:eastAsia="zh-CN"/>
        </w:rPr>
      </w:pPr>
    </w:p>
    <w:p>
      <w:pPr>
        <w:spacing w:after="0" w:line="440" w:lineRule="exact"/>
        <w:ind w:right="213" w:rightChars="97"/>
        <w:jc w:val="both"/>
        <w:rPr>
          <w:rFonts w:hint="eastAsia" w:ascii="方正仿宋简体" w:hAnsi="Times New Roman" w:eastAsia="方正仿宋简体" w:cs="Times New Roman"/>
          <w:kern w:val="2"/>
          <w:sz w:val="32"/>
          <w:szCs w:val="32"/>
          <w:lang w:eastAsia="zh-CN"/>
        </w:rPr>
      </w:pPr>
      <w:r>
        <w:rPr>
          <w:rFonts w:hint="eastAsia" w:ascii="方正仿宋简体" w:hAnsi="Times New Roman" w:eastAsia="方正仿宋简体" w:cs="Times New Roman"/>
          <w:kern w:val="2"/>
          <w:sz w:val="32"/>
          <w:szCs w:val="32"/>
          <w:lang w:eastAsia="zh-CN"/>
        </w:rPr>
        <w:pict>
          <v:shape id="_x0000_s1032" o:spid="_x0000_s1032" o:spt="136" type="#_x0000_t136" style="position:absolute;left:0pt;margin-left:9pt;margin-top:15.7pt;height:56.7pt;width:423pt;z-index:251662336;mso-width-relative:page;mso-height-relative:page;" fillcolor="#FF0000" filled="t" stroked="t" coordsize="21600,21600">
            <v:path/>
            <v:fill on="t" focussize="0,0"/>
            <v:stroke color="#FF0000"/>
            <v:imagedata o:title=""/>
            <o:lock v:ext="edit"/>
            <v:textpath on="t" fitshape="t" fitpath="t" trim="t" xscale="f" string="济宁高新技术产业开发区管理委员会" style="font-family:方正小标宋简体;font-size:36pt;font-weight:bold;v-rotate-letters:f;v-same-letter-heights:f;v-text-align:center;v-text-spacing:68813f;"/>
          </v:shape>
        </w:pict>
      </w:r>
    </w:p>
    <w:p>
      <w:pPr>
        <w:spacing w:after="0" w:line="440" w:lineRule="exact"/>
        <w:jc w:val="both"/>
        <w:rPr>
          <w:rFonts w:hint="eastAsia" w:ascii="方正仿宋简体" w:hAnsi="Times New Roman" w:eastAsia="方正仿宋简体" w:cs="Times New Roman"/>
          <w:kern w:val="2"/>
          <w:sz w:val="32"/>
          <w:szCs w:val="32"/>
          <w:lang w:eastAsia="zh-CN"/>
        </w:rPr>
      </w:pPr>
    </w:p>
    <w:p>
      <w:pPr>
        <w:spacing w:after="0" w:line="440" w:lineRule="exact"/>
        <w:jc w:val="both"/>
        <w:rPr>
          <w:rFonts w:hint="eastAsia" w:ascii="方正仿宋简体" w:hAnsi="Times New Roman" w:eastAsia="方正仿宋简体" w:cs="Times New Roman"/>
          <w:kern w:val="2"/>
          <w:sz w:val="32"/>
          <w:szCs w:val="32"/>
          <w:lang w:eastAsia="zh-CN"/>
        </w:rPr>
      </w:pPr>
    </w:p>
    <w:p>
      <w:pPr>
        <w:spacing w:after="0" w:line="440" w:lineRule="exact"/>
        <w:jc w:val="both"/>
        <w:rPr>
          <w:rFonts w:hint="eastAsia" w:ascii="方正仿宋简体" w:hAnsi="Times New Roman" w:eastAsia="方正仿宋简体" w:cs="Times New Roman"/>
          <w:kern w:val="2"/>
          <w:sz w:val="32"/>
          <w:szCs w:val="32"/>
          <w:lang w:eastAsia="zh-CN"/>
        </w:rPr>
      </w:pPr>
    </w:p>
    <w:p>
      <w:pPr>
        <w:spacing w:after="0" w:line="560" w:lineRule="exact"/>
        <w:jc w:val="both"/>
        <w:rPr>
          <w:rFonts w:hint="eastAsia" w:ascii="方正仿宋简体" w:hAnsi="Times New Roman" w:eastAsia="方正仿宋简体" w:cs="Times New Roman"/>
          <w:kern w:val="2"/>
          <w:sz w:val="32"/>
          <w:szCs w:val="32"/>
          <w:lang w:eastAsia="zh-CN"/>
        </w:rPr>
      </w:pPr>
    </w:p>
    <w:p>
      <w:pPr>
        <w:spacing w:after="0" w:line="560" w:lineRule="exact"/>
        <w:ind w:right="400" w:rightChars="182"/>
        <w:jc w:val="both"/>
        <w:rPr>
          <w:rFonts w:hint="eastAsia" w:ascii="方正仿宋简体" w:hAnsi="Times New Roman" w:eastAsia="方正仿宋简体" w:cs="Times New Roman"/>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仿宋简体" w:hAnsi="Times New Roman" w:eastAsia="方正仿宋简体" w:cs="Times New Roman"/>
          <w:kern w:val="2"/>
          <w:sz w:val="32"/>
          <w:szCs w:val="32"/>
          <w:lang w:eastAsia="zh-CN"/>
        </w:rPr>
      </w:pPr>
      <w:r>
        <w:rPr>
          <w:rFonts w:hint="eastAsia" w:ascii="方正仿宋简体" w:eastAsia="方正仿宋简体"/>
          <w:b w:val="0"/>
          <w:bCs w:val="0"/>
          <w:color w:val="auto"/>
          <w:spacing w:val="0"/>
          <w:w w:val="100"/>
          <w:kern w:val="21"/>
          <w:position w:val="0"/>
          <w:sz w:val="32"/>
          <w:szCs w:val="32"/>
        </w:rPr>
        <w:t>济高新管字〔2022〕</w:t>
      </w:r>
      <w:r>
        <w:rPr>
          <w:rFonts w:hint="eastAsia" w:ascii="方正仿宋简体" w:eastAsia="方正仿宋简体"/>
          <w:b w:val="0"/>
          <w:bCs w:val="0"/>
          <w:color w:val="auto"/>
          <w:spacing w:val="0"/>
          <w:w w:val="100"/>
          <w:kern w:val="21"/>
          <w:position w:val="0"/>
          <w:sz w:val="32"/>
          <w:szCs w:val="32"/>
          <w:lang w:val="en-US" w:eastAsia="zh-CN"/>
        </w:rPr>
        <w:t>20</w:t>
      </w:r>
      <w:r>
        <w:rPr>
          <w:rFonts w:hint="eastAsia" w:ascii="方正仿宋简体" w:eastAsia="方正仿宋简体"/>
          <w:b w:val="0"/>
          <w:bCs w:val="0"/>
          <w:color w:val="auto"/>
          <w:spacing w:val="0"/>
          <w:w w:val="100"/>
          <w:kern w:val="21"/>
          <w:position w:val="0"/>
          <w:sz w:val="32"/>
          <w:szCs w:val="32"/>
        </w:rPr>
        <w:t>号</w:t>
      </w:r>
      <w:r>
        <w:rPr>
          <w:rFonts w:hint="eastAsia" w:ascii="方正仿宋简体" w:hAnsi="Times New Roman" w:eastAsia="方正仿宋简体" w:cs="Times New Roman"/>
          <w:kern w:val="2"/>
          <w:sz w:val="32"/>
          <w:szCs w:val="32"/>
          <w:lang w:eastAsia="zh-CN"/>
        </w:rPr>
        <mc:AlternateContent>
          <mc:Choice Requires="wps">
            <w:drawing>
              <wp:anchor distT="0" distB="0" distL="114300" distR="114300" simplePos="0" relativeHeight="251663360" behindDoc="0" locked="0" layoutInCell="1" allowOverlap="1">
                <wp:simplePos x="0" y="0"/>
                <wp:positionH relativeFrom="column">
                  <wp:posOffset>27305</wp:posOffset>
                </wp:positionH>
                <wp:positionV relativeFrom="paragraph">
                  <wp:posOffset>435610</wp:posOffset>
                </wp:positionV>
                <wp:extent cx="5561330" cy="6985"/>
                <wp:effectExtent l="0" t="0" r="0" b="0"/>
                <wp:wrapNone/>
                <wp:docPr id="7" name="直接连接符 7"/>
                <wp:cNvGraphicFramePr/>
                <a:graphic xmlns:a="http://schemas.openxmlformats.org/drawingml/2006/main">
                  <a:graphicData uri="http://schemas.microsoft.com/office/word/2010/wordprocessingShape">
                    <wps:wsp>
                      <wps:cNvSpPr/>
                      <wps:spPr>
                        <a:xfrm>
                          <a:off x="0" y="0"/>
                          <a:ext cx="5561330" cy="6985"/>
                        </a:xfrm>
                        <a:prstGeom prst="line">
                          <a:avLst/>
                        </a:prstGeom>
                        <a:ln w="127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15pt;margin-top:34.3pt;height:0.55pt;width:437.9pt;z-index:251663360;mso-width-relative:page;mso-height-relative:page;" filled="f" stroked="t" coordsize="21600,21600" o:gfxdata="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w6bNUAAAAHAQAADwAAAAAAAAABACAAAAAiAAAAZHJzL2Rvd25yZXYueG1sUEsB&#10;AhQAFAAAAAgAh07iQNHB42j4AQAA6AMAAA4AAAAAAAAAAQAgAAAAJAEAAGRycy9lMm9Eb2MueG1s&#10;UEsFBgAAAAAGAAYAWQEAAI4FAAAAAA==&#10;">
                <v:path arrowok="t"/>
                <v:fill on="f" focussize="0,0"/>
                <v:stroke weight="1pt" color="#FF0000"/>
                <v:imagedata o:title=""/>
                <o:lock v:ext="edit"/>
              </v:line>
            </w:pict>
          </mc:Fallback>
        </mc:AlternateContent>
      </w:r>
      <w:bookmarkStart w:id="0" w:name="_GoBack"/>
      <w:bookmarkEnd w:id="0"/>
    </w:p>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ascii="方正小标宋简体" w:hAnsi="宋体" w:eastAsia="方正小标宋简体" w:cs="宋体"/>
          <w:b w:val="0"/>
          <w:bCs w:val="0"/>
          <w:color w:val="auto"/>
          <w:spacing w:val="0"/>
          <w:w w:val="100"/>
          <w:kern w:val="21"/>
          <w:position w:val="0"/>
          <w:sz w:val="44"/>
          <w:szCs w:val="44"/>
        </w:rPr>
      </w:pPr>
    </w:p>
    <w:p>
      <w:pPr>
        <w:keepNext w:val="0"/>
        <w:keepLines w:val="0"/>
        <w:pageBreakBefore w:val="0"/>
        <w:widowControl w:val="0"/>
        <w:kinsoku/>
        <w:wordWrap/>
        <w:overflowPunct/>
        <w:topLinePunct w:val="0"/>
        <w:autoSpaceDE/>
        <w:autoSpaceDN/>
        <w:bidi w:val="0"/>
        <w:adjustRightInd/>
        <w:snapToGrid/>
        <w:spacing w:after="0" w:line="500" w:lineRule="exact"/>
        <w:ind w:right="0"/>
        <w:jc w:val="center"/>
        <w:textAlignment w:val="auto"/>
        <w:rPr>
          <w:rFonts w:ascii="方正小标宋简体" w:hAnsi="宋体" w:eastAsia="方正小标宋简体" w:cs="宋体"/>
          <w:b w:val="0"/>
          <w:bCs w:val="0"/>
          <w:color w:val="auto"/>
          <w:spacing w:val="0"/>
          <w:w w:val="100"/>
          <w:kern w:val="21"/>
          <w:position w:val="0"/>
          <w:sz w:val="44"/>
          <w:szCs w:val="44"/>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pPr>
      <w:r>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t>济宁高新区管委会</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pPr>
      <w:r>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t>关于印发济宁高新区采煤塌陷地综合治理规划（2021—2030年）的通知</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both"/>
        <w:textAlignment w:val="auto"/>
        <w:rPr>
          <w:rFonts w:ascii="仿宋" w:hAnsi="仿宋" w:eastAsia="仿宋"/>
          <w:b w:val="0"/>
          <w:bCs w:val="0"/>
          <w:color w:val="auto"/>
          <w:spacing w:val="0"/>
          <w:w w:val="100"/>
          <w:kern w:val="21"/>
          <w:position w:val="0"/>
          <w:sz w:val="20"/>
          <w:szCs w:val="20"/>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各街道办事处，区直各部门单位，各驻区单位，各</w:t>
      </w: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区管国有企业，各</w:t>
      </w:r>
      <w:r>
        <w:rPr>
          <w:rFonts w:hint="eastAsia" w:ascii="方正仿宋简体" w:hAnsi="方正仿宋简体" w:eastAsia="方正仿宋简体" w:cs="方正仿宋简体"/>
          <w:b w:val="0"/>
          <w:bCs w:val="0"/>
          <w:color w:val="auto"/>
          <w:spacing w:val="0"/>
          <w:w w:val="100"/>
          <w:kern w:val="21"/>
          <w:position w:val="0"/>
          <w:sz w:val="32"/>
          <w:szCs w:val="32"/>
          <w:lang w:eastAsia="zh-CN"/>
        </w:rPr>
        <w:t>有关煤矿企业：</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现将《济宁高新区采煤塌陷地综合治理规划（2021—2030年）》印发给你们，请认真贯彻执行。</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firstLine="5440" w:firstLineChars="17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济宁高新区管委会</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firstLine="5440" w:firstLineChars="17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2022年7月</w:t>
      </w: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25</w:t>
      </w:r>
      <w:r>
        <w:rPr>
          <w:rFonts w:hint="eastAsia" w:ascii="方正仿宋简体" w:hAnsi="方正仿宋简体" w:eastAsia="方正仿宋简体" w:cs="方正仿宋简体"/>
          <w:b w:val="0"/>
          <w:bCs w:val="0"/>
          <w:color w:val="auto"/>
          <w:spacing w:val="0"/>
          <w:w w:val="100"/>
          <w:kern w:val="21"/>
          <w:position w:val="0"/>
          <w:sz w:val="32"/>
          <w:szCs w:val="32"/>
          <w:lang w:eastAsia="zh-CN"/>
        </w:rPr>
        <w:t>日</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w:t>
      </w: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此件公开发布</w:t>
      </w:r>
      <w:r>
        <w:rPr>
          <w:rFonts w:hint="eastAsia" w:ascii="方正仿宋简体" w:hAnsi="方正仿宋简体" w:eastAsia="方正仿宋简体" w:cs="方正仿宋简体"/>
          <w:b w:val="0"/>
          <w:bCs w:val="0"/>
          <w:color w:val="auto"/>
          <w:spacing w:val="0"/>
          <w:w w:val="100"/>
          <w:kern w:val="21"/>
          <w:position w:val="0"/>
          <w:sz w:val="32"/>
          <w:szCs w:val="32"/>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pPr>
      <w:r>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t>济宁高新区采煤塌陷地综合治理规划</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pPr>
      <w:r>
        <w:rPr>
          <w:rFonts w:hint="eastAsia" w:ascii="方正小标宋简体" w:hAnsi="方正小标宋简体" w:eastAsia="方正小标宋简体" w:cs="方正小标宋简体"/>
          <w:b w:val="0"/>
          <w:bCs w:val="0"/>
          <w:color w:val="auto"/>
          <w:spacing w:val="0"/>
          <w:w w:val="100"/>
          <w:kern w:val="21"/>
          <w:position w:val="0"/>
          <w:sz w:val="44"/>
          <w:szCs w:val="44"/>
          <w:lang w:eastAsia="zh-CN"/>
        </w:rPr>
        <w:t>（2021—2030年）</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contextualSpacing/>
        <w:jc w:val="both"/>
        <w:textAlignment w:val="auto"/>
        <w:rPr>
          <w:rFonts w:ascii="仿宋" w:hAnsi="仿宋" w:eastAsia="仿宋"/>
          <w:b w:val="0"/>
          <w:bCs w:val="0"/>
          <w:color w:val="auto"/>
          <w:spacing w:val="0"/>
          <w:w w:val="100"/>
          <w:kern w:val="21"/>
          <w:position w:val="0"/>
          <w:sz w:val="17"/>
          <w:szCs w:val="17"/>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前  言</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contextualSpacing/>
        <w:jc w:val="both"/>
        <w:textAlignment w:val="auto"/>
        <w:rPr>
          <w:rFonts w:ascii="仿宋" w:hAnsi="仿宋" w:eastAsia="仿宋"/>
          <w:b w:val="0"/>
          <w:bCs w:val="0"/>
          <w:color w:val="auto"/>
          <w:spacing w:val="0"/>
          <w:w w:val="100"/>
          <w:kern w:val="21"/>
          <w:position w:val="0"/>
          <w:sz w:val="20"/>
          <w:szCs w:val="20"/>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《济宁高新区采煤塌陷地治理规划（2018—2030年）》以服务全区</w:t>
      </w:r>
      <w:r>
        <w:rPr>
          <w:rFonts w:ascii="仿宋" w:hAnsi="仿宋" w:eastAsia="仿宋" w:cs="Microsoft JhengHei"/>
          <w:b w:val="0"/>
          <w:bCs w:val="0"/>
          <w:color w:val="auto"/>
          <w:spacing w:val="0"/>
          <w:w w:val="100"/>
          <w:kern w:val="21"/>
          <w:position w:val="0"/>
          <w:sz w:val="30"/>
          <w:szCs w:val="30"/>
          <w:lang w:eastAsia="zh-CN"/>
        </w:rPr>
        <w:t>“十三五”</w:t>
      </w:r>
      <w:r>
        <w:rPr>
          <w:rFonts w:hint="eastAsia" w:ascii="方正仿宋简体" w:hAnsi="方正仿宋简体" w:eastAsia="方正仿宋简体" w:cs="方正仿宋简体"/>
          <w:b w:val="0"/>
          <w:bCs w:val="0"/>
          <w:color w:val="auto"/>
          <w:spacing w:val="0"/>
          <w:w w:val="100"/>
          <w:kern w:val="21"/>
          <w:position w:val="0"/>
          <w:sz w:val="32"/>
          <w:szCs w:val="32"/>
          <w:lang w:eastAsia="zh-CN"/>
        </w:rPr>
        <w:t>发展需求为重点，划定治理功能分区，制定2018—2020年全区采煤塌陷地治理布局、方向、目标和时序，促进了当时工作的有序推进。“十四五”伊始，济宁高新区顺应形势，结合实际，制定了新的发展战略，坚持深化改革，迎接新挑战，巩固提升发展成果。基于发展和深化改革需要，区</w:t>
      </w: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管委会</w:t>
      </w:r>
      <w:r>
        <w:rPr>
          <w:rFonts w:hint="eastAsia" w:ascii="方正仿宋简体" w:hAnsi="方正仿宋简体" w:eastAsia="方正仿宋简体" w:cs="方正仿宋简体"/>
          <w:b w:val="0"/>
          <w:bCs w:val="0"/>
          <w:color w:val="auto"/>
          <w:spacing w:val="0"/>
          <w:w w:val="100"/>
          <w:kern w:val="21"/>
          <w:position w:val="0"/>
          <w:sz w:val="32"/>
          <w:szCs w:val="32"/>
          <w:lang w:eastAsia="zh-CN"/>
        </w:rPr>
        <w:t>组织对《济宁高新区采煤塌陷地治理规划（2018—2030年）》进行修编，探索以采煤塌陷地综合治理服务耕地保护、生态保护和经济、社会协调可持续发展的有效路径。</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本次修编，主要依据《山东省采煤塌陷地综合治理专项规划（2019—2030年）》《济宁市采煤塌陷地综合治理规划（2021—2030年）》和《关于进一步做好采煤塌陷地治理等工作的实施意见》（鲁发改能源〔2021〕242号）要求，结合《山东省黄河流域生态保护和高质量发展规划》《南四湖流域生态保护修复专项规划（2021—2035年）》，按照当前发展形势，在国土空间规划管控理念下，从系统治理角度出发，对全区采煤塌陷地综合治理的方向、时序、布局进行优化，为加快构建高质量发展和国土空间高效利用新格局奠定基础。</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本次规划修编以2020年为基期，2021—2025年为规划期，</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2026—2030年为展望期。</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6"/>
          <w:szCs w:val="36"/>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第一章  全区采煤塌陷地现状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经济社会发展概况</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济宁高新区下辖洸河街道、柳行街道、黄屯街道、接庄街道、王因街道5个街道，总面积255平方公里，常住人口33.46万人。</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2020年，全区实现生产总值（GDP）455亿元，同比增长4.1%，三次产业比重为2.3：54.5：43.1；第一产业增加值10.7亿元、同比增长1.7%，第二产业增加值248.3亿元、同比增长3.7%，第三产业增加值196.4亿元、同比增长5.0%。</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济宁高新区位于济宁市东北部，全区煤炭资源储量约15亿吨，占济宁市煤炭总储量的10%左右。煤炭及其上下游产业在国民经济中占较大比重，在经济发展中占据重要地位。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煤炭资源分布及开采情况</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一、煤炭资源分布情况</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济宁</w:t>
      </w:r>
      <w:r>
        <w:rPr>
          <w:rFonts w:hint="eastAsia" w:ascii="方正仿宋简体" w:hAnsi="方正仿宋简体" w:eastAsia="方正仿宋简体" w:cs="方正仿宋简体"/>
          <w:b w:val="0"/>
          <w:bCs w:val="0"/>
          <w:color w:val="auto"/>
          <w:spacing w:val="0"/>
          <w:w w:val="100"/>
          <w:kern w:val="21"/>
          <w:position w:val="0"/>
          <w:sz w:val="32"/>
          <w:szCs w:val="32"/>
          <w:lang w:eastAsia="zh-CN"/>
        </w:rPr>
        <w:t>高新区煤炭资源主要分布在东部的兖州煤田和西部的济宁煤田，含煤地层为古生代石炭—二叠系，可采煤层主要为其中的太原组、山西组。经勘探预测，煤炭储量约为15亿吨，煤层赋存厚度大，大部分厚度为8～12米，较薄煤层也在2～3米之间，煤层稳定，煤质优良，煤种多为气煤和肥煤。</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二、煤炭开发利用情况</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济宁</w:t>
      </w:r>
      <w:r>
        <w:rPr>
          <w:rFonts w:hint="eastAsia" w:ascii="方正仿宋简体" w:hAnsi="方正仿宋简体" w:eastAsia="方正仿宋简体" w:cs="方正仿宋简体"/>
          <w:b w:val="0"/>
          <w:bCs w:val="0"/>
          <w:color w:val="auto"/>
          <w:spacing w:val="0"/>
          <w:w w:val="100"/>
          <w:kern w:val="21"/>
          <w:position w:val="0"/>
          <w:sz w:val="32"/>
          <w:szCs w:val="32"/>
          <w:lang w:eastAsia="zh-CN"/>
        </w:rPr>
        <w:t>高新区境内有煤炭矿井7对，其中井口在境内的矿井4对，分别为许厂煤矿、济宁二号煤矿、杨村煤矿、田庄煤矿，目前许厂煤矿、田庄煤矿已闭坑注销；井口在境外的矿井3对，分别为鲍店煤矿、横河煤矿、太平煤矿（如图2—1）。</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济宁</w:t>
      </w:r>
      <w:r>
        <w:rPr>
          <w:rFonts w:hint="eastAsia" w:ascii="方正仿宋简体" w:hAnsi="方正仿宋简体" w:eastAsia="方正仿宋简体" w:cs="方正仿宋简体"/>
          <w:b w:val="0"/>
          <w:bCs w:val="0"/>
          <w:color w:val="auto"/>
          <w:spacing w:val="0"/>
          <w:w w:val="100"/>
          <w:kern w:val="21"/>
          <w:position w:val="0"/>
          <w:sz w:val="32"/>
          <w:szCs w:val="32"/>
          <w:lang w:eastAsia="zh-CN"/>
        </w:rPr>
        <w:t>高新区煤炭开采可追溯到20世纪80年代，杨村煤矿、横河煤矿、太平煤矿、鲍店煤矿均于1988年首次取得了采矿许可证；济宁二号煤矿于1991年8月首次取得采矿许可证，许厂煤矿于1993年首次取得采矿许可证，田庄煤矿于1997年3月首次取得采矿许可证。截至2020年</w:t>
      </w: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济宁</w:t>
      </w:r>
      <w:r>
        <w:rPr>
          <w:rFonts w:hint="eastAsia" w:ascii="方正仿宋简体" w:hAnsi="方正仿宋简体" w:eastAsia="方正仿宋简体" w:cs="方正仿宋简体"/>
          <w:b w:val="0"/>
          <w:bCs w:val="0"/>
          <w:color w:val="auto"/>
          <w:spacing w:val="0"/>
          <w:w w:val="100"/>
          <w:kern w:val="21"/>
          <w:position w:val="0"/>
          <w:sz w:val="32"/>
          <w:szCs w:val="32"/>
          <w:lang w:eastAsia="zh-CN"/>
        </w:rPr>
        <w:t>高新区</w:t>
      </w:r>
      <w:r>
        <w:rPr>
          <w:rFonts w:hint="eastAsia" w:ascii="方正仿宋简体" w:hAnsi="方正仿宋简体" w:eastAsia="方正仿宋简体" w:cs="方正仿宋简体"/>
          <w:b w:val="0"/>
          <w:bCs w:val="0"/>
          <w:color w:val="auto"/>
          <w:spacing w:val="0"/>
          <w:w w:val="100"/>
          <w:kern w:val="21"/>
          <w:position w:val="0"/>
          <w:sz w:val="32"/>
          <w:szCs w:val="32"/>
          <w:lang w:val="en-US" w:eastAsia="zh-CN"/>
        </w:rPr>
        <w:t>辖区</w:t>
      </w:r>
      <w:r>
        <w:rPr>
          <w:rFonts w:hint="eastAsia" w:ascii="方正仿宋简体" w:hAnsi="方正仿宋简体" w:eastAsia="方正仿宋简体" w:cs="方正仿宋简体"/>
          <w:b w:val="0"/>
          <w:bCs w:val="0"/>
          <w:color w:val="auto"/>
          <w:spacing w:val="0"/>
          <w:w w:val="100"/>
          <w:kern w:val="21"/>
          <w:position w:val="0"/>
          <w:sz w:val="32"/>
          <w:szCs w:val="32"/>
          <w:lang w:eastAsia="zh-CN"/>
        </w:rPr>
        <w:t>内2对生产矿井剩余可采储量为7930.9万吨。</w:t>
      </w:r>
    </w:p>
    <w:p>
      <w:pPr>
        <w:keepNext w:val="0"/>
        <w:keepLines w:val="0"/>
        <w:pageBreakBefore w:val="0"/>
        <w:widowControl w:val="0"/>
        <w:kinsoku/>
        <w:wordWrap/>
        <w:overflowPunct/>
        <w:topLinePunct w:val="0"/>
        <w:autoSpaceDE/>
        <w:autoSpaceDN/>
        <w:bidi w:val="0"/>
        <w:adjustRightInd/>
        <w:snapToGrid/>
        <w:spacing w:after="0" w:line="360" w:lineRule="auto"/>
        <w:jc w:val="center"/>
        <w:textAlignment w:val="auto"/>
        <w:rPr>
          <w:rFonts w:ascii="Times New Roman" w:hAnsi="Times New Roman" w:eastAsia="宋体" w:cs="Times New Roman"/>
          <w:b w:val="0"/>
          <w:bCs w:val="0"/>
          <w:color w:val="auto"/>
          <w:spacing w:val="0"/>
          <w:w w:val="100"/>
          <w:kern w:val="21"/>
          <w:position w:val="0"/>
          <w:sz w:val="24"/>
          <w:szCs w:val="24"/>
          <w:lang w:eastAsia="zh-CN"/>
        </w:rPr>
      </w:pPr>
      <w:r>
        <w:rPr>
          <w:rFonts w:ascii="Times New Roman" w:hAnsi="Times New Roman" w:eastAsia="宋体" w:cs="Times New Roman"/>
          <w:b w:val="0"/>
          <w:bCs w:val="0"/>
          <w:color w:val="auto"/>
          <w:spacing w:val="0"/>
          <w:w w:val="100"/>
          <w:kern w:val="21"/>
          <w:position w:val="0"/>
          <w:sz w:val="24"/>
          <w:szCs w:val="24"/>
          <w:lang w:eastAsia="zh-CN"/>
        </w:rPr>
        <w:drawing>
          <wp:inline distT="0" distB="0" distL="0" distR="0">
            <wp:extent cx="5274310" cy="4274185"/>
            <wp:effectExtent l="0" t="0" r="254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274310" cy="427418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方正黑体简体" w:hAnsi="方正黑体简体" w:eastAsia="方正黑体简体" w:cs="方正黑体简体"/>
          <w:b w:val="0"/>
          <w:bCs w:val="0"/>
          <w:color w:val="auto"/>
          <w:spacing w:val="0"/>
          <w:w w:val="100"/>
          <w:kern w:val="21"/>
          <w:position w:val="0"/>
          <w:sz w:val="28"/>
          <w:szCs w:val="28"/>
          <w:lang w:eastAsia="zh-CN"/>
        </w:rPr>
      </w:pPr>
      <w:r>
        <w:rPr>
          <w:rFonts w:hint="eastAsia" w:ascii="方正黑体简体" w:hAnsi="方正黑体简体" w:eastAsia="方正黑体简体" w:cs="方正黑体简体"/>
          <w:b w:val="0"/>
          <w:bCs w:val="0"/>
          <w:color w:val="auto"/>
          <w:spacing w:val="0"/>
          <w:w w:val="100"/>
          <w:kern w:val="21"/>
          <w:position w:val="0"/>
          <w:sz w:val="28"/>
          <w:szCs w:val="28"/>
          <w:lang w:eastAsia="zh-CN"/>
        </w:rPr>
        <w:t>图2—1  济宁高新区各煤矿位置关系示意图</w:t>
      </w:r>
    </w:p>
    <w:p>
      <w:pPr>
        <w:pStyle w:val="4"/>
        <w:keepNext w:val="0"/>
        <w:keepLines w:val="0"/>
        <w:pageBreakBefore w:val="0"/>
        <w:widowControl w:val="0"/>
        <w:kinsoku/>
        <w:wordWrap/>
        <w:overflowPunct/>
        <w:topLinePunct w:val="0"/>
        <w:autoSpaceDE/>
        <w:autoSpaceDN/>
        <w:bidi w:val="0"/>
        <w:adjustRightInd/>
        <w:snapToGrid/>
        <w:spacing w:before="0" w:after="0" w:line="560" w:lineRule="exact"/>
        <w:jc w:val="center"/>
        <w:textAlignment w:val="auto"/>
        <w:rPr>
          <w:rFonts w:ascii="仿宋" w:hAnsi="仿宋" w:eastAsia="仿宋"/>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第三节  采煤塌陷地概况</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截至2020年底，济宁高新区采煤沉陷区面积为5655.62公顷，采煤塌陷地面积为4883.05公顷，其中历史遗留采煤塌陷地为596.13公顷。全区采煤塌陷地共涉及4个街道，77个村庄。</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第四节  采煤塌陷地治理情况</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截至2020年底，济宁高新区累计投入约4.89亿元，实施采煤塌陷地治理项目31个，治理稳沉采煤塌陷地3486.55公顷，治理率82.03%，其中，治理历史遗留采煤塌陷地485.48公顷，治理率81.44%。具体治理情况见专栏1。</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sectPr>
          <w:footerReference r:id="rId5" w:type="default"/>
          <w:footerReference r:id="rId6" w:type="even"/>
          <w:pgSz w:w="11905" w:h="16840"/>
          <w:pgMar w:top="2098" w:right="1474" w:bottom="1984" w:left="1587" w:header="850" w:footer="1587" w:gutter="0"/>
          <w:paperSrc/>
          <w:pgNumType w:fmt="numberInDash"/>
          <w:cols w:space="0" w:num="1"/>
          <w:rtlGutter w:val="0"/>
          <w:docGrid w:linePitch="299" w:charSpace="0"/>
        </w:sectPr>
      </w:pPr>
    </w:p>
    <w:p>
      <w:pPr>
        <w:pStyle w:val="2"/>
        <w:ind w:left="0" w:leftChars="0" w:firstLine="0" w:firstLineChars="0"/>
        <w:rPr>
          <w:lang w:eastAsia="zh-CN"/>
        </w:rPr>
      </w:pPr>
    </w:p>
    <w:tbl>
      <w:tblPr>
        <w:tblStyle w:val="7"/>
        <w:tblW w:w="5004" w:type="pct"/>
        <w:jc w:val="center"/>
        <w:tblLayout w:type="autofit"/>
        <w:tblCellMar>
          <w:top w:w="0" w:type="dxa"/>
          <w:left w:w="0" w:type="dxa"/>
          <w:bottom w:w="0" w:type="dxa"/>
          <w:right w:w="0" w:type="dxa"/>
        </w:tblCellMar>
      </w:tblPr>
      <w:tblGrid>
        <w:gridCol w:w="712"/>
        <w:gridCol w:w="2135"/>
        <w:gridCol w:w="1837"/>
        <w:gridCol w:w="1873"/>
        <w:gridCol w:w="1694"/>
        <w:gridCol w:w="1669"/>
        <w:gridCol w:w="1670"/>
        <w:gridCol w:w="2205"/>
      </w:tblGrid>
      <w:tr>
        <w:tblPrEx>
          <w:tblCellMar>
            <w:top w:w="0" w:type="dxa"/>
            <w:left w:w="0" w:type="dxa"/>
            <w:bottom w:w="0" w:type="dxa"/>
            <w:right w:w="0" w:type="dxa"/>
          </w:tblCellMar>
        </w:tblPrEx>
        <w:trPr>
          <w:trHeight w:val="492" w:hRule="exact"/>
          <w:jc w:val="center"/>
        </w:trPr>
        <w:tc>
          <w:tcPr>
            <w:tcW w:w="5000" w:type="pct"/>
            <w:gridSpan w:val="8"/>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38" w:after="0" w:line="240" w:lineRule="auto"/>
              <w:jc w:val="center"/>
              <w:textAlignment w:val="auto"/>
              <w:rPr>
                <w:rFonts w:hint="eastAsia" w:ascii="方正黑体简体" w:hAnsi="方正黑体简体" w:eastAsia="方正黑体简体" w:cs="方正黑体简体"/>
                <w:b w:val="0"/>
                <w:bCs w:val="0"/>
                <w:color w:val="auto"/>
                <w:spacing w:val="0"/>
                <w:w w:val="100"/>
                <w:kern w:val="21"/>
                <w:position w:val="0"/>
                <w:sz w:val="24"/>
                <w:szCs w:val="24"/>
                <w:lang w:eastAsia="zh-CN"/>
              </w:rPr>
            </w:pPr>
            <w:r>
              <w:rPr>
                <w:rFonts w:hint="eastAsia" w:ascii="方正黑体简体" w:hAnsi="方正黑体简体" w:eastAsia="方正黑体简体" w:cs="方正黑体简体"/>
                <w:b w:val="0"/>
                <w:bCs w:val="0"/>
                <w:color w:val="auto"/>
                <w:spacing w:val="0"/>
                <w:w w:val="100"/>
                <w:kern w:val="21"/>
                <w:position w:val="0"/>
                <w:sz w:val="24"/>
                <w:szCs w:val="24"/>
                <w:lang w:eastAsia="zh-CN"/>
              </w:rPr>
              <w:t>专栏1  济宁高新区采煤塌陷地现状（2020年）（单位：公顷）</w:t>
            </w:r>
          </w:p>
        </w:tc>
      </w:tr>
      <w:tr>
        <w:tblPrEx>
          <w:tblCellMar>
            <w:top w:w="0" w:type="dxa"/>
            <w:left w:w="0" w:type="dxa"/>
            <w:bottom w:w="0" w:type="dxa"/>
            <w:right w:w="0" w:type="dxa"/>
          </w:tblCellMar>
        </w:tblPrEx>
        <w:trPr>
          <w:trHeight w:val="610"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98" w:after="0" w:line="240" w:lineRule="auto"/>
              <w:ind w:right="-20"/>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序号</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98"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矿井</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98" w:after="0" w:line="240" w:lineRule="auto"/>
              <w:ind w:right="-20"/>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采煤沉陷区</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91" w:lineRule="exact"/>
              <w:ind w:right="336"/>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采煤塌陷地</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稳沉采煤塌陷地</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198"/>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val="en-US" w:eastAsia="zh-CN"/>
              </w:rPr>
              <w:t xml:space="preserve"> </w:t>
            </w:r>
            <w:r>
              <w:rPr>
                <w:rFonts w:hint="eastAsia" w:ascii="方正仿宋简体" w:hAnsi="方正仿宋简体" w:eastAsia="方正仿宋简体" w:cs="方正仿宋简体"/>
                <w:b w:val="0"/>
                <w:bCs w:val="0"/>
                <w:color w:val="auto"/>
                <w:spacing w:val="0"/>
                <w:w w:val="100"/>
                <w:kern w:val="21"/>
                <w:position w:val="0"/>
                <w:sz w:val="24"/>
                <w:szCs w:val="24"/>
                <w:lang w:eastAsia="zh-CN"/>
              </w:rPr>
              <w:t>已治理稳沉</w:t>
            </w:r>
          </w:p>
          <w:p>
            <w:pPr>
              <w:keepNext w:val="0"/>
              <w:keepLines w:val="0"/>
              <w:pageBreakBefore w:val="0"/>
              <w:widowControl w:val="0"/>
              <w:kinsoku/>
              <w:wordWrap/>
              <w:overflowPunct/>
              <w:topLinePunct w:val="0"/>
              <w:autoSpaceDE/>
              <w:autoSpaceDN/>
              <w:bidi w:val="0"/>
              <w:adjustRightInd/>
              <w:snapToGrid/>
              <w:spacing w:after="0" w:line="300" w:lineRule="exact"/>
              <w:ind w:right="198"/>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val="en-US" w:eastAsia="zh-CN"/>
              </w:rPr>
              <w:t xml:space="preserve"> </w:t>
            </w:r>
            <w:r>
              <w:rPr>
                <w:rFonts w:hint="eastAsia" w:ascii="方正仿宋简体" w:hAnsi="方正仿宋简体" w:eastAsia="方正仿宋简体" w:cs="方正仿宋简体"/>
                <w:b w:val="0"/>
                <w:bCs w:val="0"/>
                <w:color w:val="auto"/>
                <w:spacing w:val="0"/>
                <w:w w:val="100"/>
                <w:kern w:val="21"/>
                <w:position w:val="0"/>
                <w:sz w:val="24"/>
                <w:szCs w:val="24"/>
                <w:lang w:eastAsia="zh-CN"/>
              </w:rPr>
              <w:t>采煤塌陷地</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历史遗留</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采煤塌陷地</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已治理历史遗留</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采煤塌陷地</w:t>
            </w:r>
          </w:p>
        </w:tc>
      </w:tr>
      <w:tr>
        <w:tblPrEx>
          <w:tblCellMar>
            <w:top w:w="0" w:type="dxa"/>
            <w:left w:w="0" w:type="dxa"/>
            <w:bottom w:w="0" w:type="dxa"/>
            <w:right w:w="0" w:type="dxa"/>
          </w:tblCellMar>
        </w:tblPrEx>
        <w:trPr>
          <w:trHeight w:val="492"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许厂煤矿</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1359.82</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1057.80</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938.00</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813.11</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48.84</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45.41</w:t>
            </w:r>
          </w:p>
        </w:tc>
      </w:tr>
      <w:tr>
        <w:tblPrEx>
          <w:tblCellMar>
            <w:top w:w="0" w:type="dxa"/>
            <w:left w:w="0" w:type="dxa"/>
            <w:bottom w:w="0" w:type="dxa"/>
            <w:right w:w="0" w:type="dxa"/>
          </w:tblCellMar>
        </w:tblPrEx>
        <w:trPr>
          <w:trHeight w:val="492"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1515.66</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1445.50</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988.60</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652.36</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35.11</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35.11</w:t>
            </w:r>
          </w:p>
        </w:tc>
      </w:tr>
      <w:tr>
        <w:tblPrEx>
          <w:tblCellMar>
            <w:top w:w="0" w:type="dxa"/>
            <w:left w:w="0" w:type="dxa"/>
            <w:bottom w:w="0" w:type="dxa"/>
            <w:right w:w="0" w:type="dxa"/>
          </w:tblCellMar>
        </w:tblPrEx>
        <w:trPr>
          <w:trHeight w:val="492"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田庄煤矿</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1095.93</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1000.43</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978.47</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817.79</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148.63</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147.56</w:t>
            </w:r>
          </w:p>
        </w:tc>
      </w:tr>
      <w:tr>
        <w:tblPrEx>
          <w:tblCellMar>
            <w:top w:w="0" w:type="dxa"/>
            <w:left w:w="0" w:type="dxa"/>
            <w:bottom w:w="0" w:type="dxa"/>
            <w:right w:w="0" w:type="dxa"/>
          </w:tblCellMar>
        </w:tblPrEx>
        <w:trPr>
          <w:trHeight w:val="492"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杨村煤矿</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951.90</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849.04</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830.42</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688.62</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292.06</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185.91</w:t>
            </w:r>
          </w:p>
        </w:tc>
      </w:tr>
      <w:tr>
        <w:tblPrEx>
          <w:tblCellMar>
            <w:top w:w="0" w:type="dxa"/>
            <w:left w:w="0" w:type="dxa"/>
            <w:bottom w:w="0" w:type="dxa"/>
            <w:right w:w="0" w:type="dxa"/>
          </w:tblCellMar>
        </w:tblPrEx>
        <w:trPr>
          <w:trHeight w:val="492"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太平煤矿</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259.58</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34.75</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34.75</w:t>
            </w:r>
          </w:p>
        </w:tc>
      </w:tr>
      <w:tr>
        <w:tblPrEx>
          <w:tblCellMar>
            <w:top w:w="0" w:type="dxa"/>
            <w:left w:w="0" w:type="dxa"/>
            <w:bottom w:w="0" w:type="dxa"/>
            <w:right w:w="0" w:type="dxa"/>
          </w:tblCellMar>
        </w:tblPrEx>
        <w:trPr>
          <w:trHeight w:val="492"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横河煤矿</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266.95</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36.74</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36.74</w:t>
            </w:r>
          </w:p>
        </w:tc>
      </w:tr>
      <w:tr>
        <w:tblPrEx>
          <w:tblCellMar>
            <w:top w:w="0" w:type="dxa"/>
            <w:left w:w="0" w:type="dxa"/>
            <w:bottom w:w="0" w:type="dxa"/>
            <w:right w:w="0" w:type="dxa"/>
          </w:tblCellMar>
        </w:tblPrEx>
        <w:trPr>
          <w:trHeight w:val="492" w:hRule="exact"/>
          <w:jc w:val="center"/>
        </w:trPr>
        <w:tc>
          <w:tcPr>
            <w:tcW w:w="2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7</w:t>
            </w:r>
          </w:p>
        </w:tc>
        <w:tc>
          <w:tcPr>
            <w:tcW w:w="7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鲍店煤矿</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205.78</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129.74</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114.13</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114.13</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r>
      <w:tr>
        <w:tblPrEx>
          <w:tblCellMar>
            <w:top w:w="0" w:type="dxa"/>
            <w:left w:w="0" w:type="dxa"/>
            <w:bottom w:w="0" w:type="dxa"/>
            <w:right w:w="0" w:type="dxa"/>
          </w:tblCellMar>
        </w:tblPrEx>
        <w:trPr>
          <w:trHeight w:val="492" w:hRule="exact"/>
          <w:jc w:val="center"/>
        </w:trPr>
        <w:tc>
          <w:tcPr>
            <w:tcW w:w="1032" w:type="pct"/>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合计</w:t>
            </w:r>
          </w:p>
        </w:tc>
        <w:tc>
          <w:tcPr>
            <w:tcW w:w="66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5655.62</w:t>
            </w:r>
          </w:p>
        </w:tc>
        <w:tc>
          <w:tcPr>
            <w:tcW w:w="6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4883.05</w:t>
            </w:r>
          </w:p>
        </w:tc>
        <w:tc>
          <w:tcPr>
            <w:tcW w:w="61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4250.16</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3486.55</w:t>
            </w:r>
          </w:p>
        </w:tc>
        <w:tc>
          <w:tcPr>
            <w:tcW w:w="60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596.13</w:t>
            </w:r>
          </w:p>
        </w:tc>
        <w:tc>
          <w:tcPr>
            <w:tcW w:w="795"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485.48</w:t>
            </w:r>
          </w:p>
        </w:tc>
      </w:tr>
    </w:tbl>
    <w:p>
      <w:pPr>
        <w:keepNext w:val="0"/>
        <w:keepLines w:val="0"/>
        <w:pageBreakBefore w:val="0"/>
        <w:widowControl w:val="0"/>
        <w:kinsoku/>
        <w:wordWrap/>
        <w:overflowPunct/>
        <w:topLinePunct w:val="0"/>
        <w:autoSpaceDE/>
        <w:autoSpaceDN/>
        <w:bidi w:val="0"/>
        <w:adjustRightInd/>
        <w:snapToGrid/>
        <w:spacing w:after="0"/>
        <w:jc w:val="both"/>
        <w:textAlignment w:val="auto"/>
        <w:rPr>
          <w:rFonts w:hint="eastAsia" w:ascii="仿宋" w:hAnsi="仿宋" w:eastAsia="仿宋"/>
          <w:b w:val="0"/>
          <w:bCs w:val="0"/>
          <w:color w:val="auto"/>
          <w:spacing w:val="0"/>
          <w:w w:val="100"/>
          <w:kern w:val="21"/>
          <w:position w:val="0"/>
          <w:lang w:val="en-US" w:eastAsia="zh-CN"/>
        </w:rPr>
        <w:sectPr>
          <w:footerReference r:id="rId7" w:type="default"/>
          <w:pgSz w:w="16840" w:h="11905" w:orient="landscape"/>
          <w:pgMar w:top="1531" w:right="1531" w:bottom="1531" w:left="1531" w:header="850" w:footer="1134" w:gutter="0"/>
          <w:pgNumType w:fmt="numberInDash"/>
          <w:cols w:space="0" w:num="1"/>
          <w:rtlGutter w:val="0"/>
          <w:docGrid w:linePitch="299" w:charSpace="0"/>
        </w:sectPr>
      </w:pPr>
      <w:r>
        <w:rPr>
          <w:rFonts w:hint="eastAsia" w:ascii="仿宋" w:hAnsi="仿宋" w:eastAsia="仿宋"/>
          <w:b w:val="0"/>
          <w:bCs w:val="0"/>
          <w:color w:val="auto"/>
          <w:spacing w:val="0"/>
          <w:w w:val="100"/>
          <w:kern w:val="21"/>
          <w:position w:val="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第二章  原规划实施绩效评价</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取得的主要成效</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通过《济宁高新区采煤塌陷地治理规划（2018—2030年）》的实施，全区初步形成了土地复垦、生态修复、产业发展等多类型相协调的治理模式，完成了规划期治理任务，强化了采煤塌陷地节约集约利用程度，提升了采煤塌陷地治理的经济、社会和生态效益。土地复垦方面，提高了土壤质量和农业生产基础条件，促进了农业增效、农民增收；生态修复方面，如济宁高新区煤矿塌陷地生态修复工程，保护了河道水质，提升了周边生态环境，提高了治理的生态效益；产业发展方面，如接庄街道六四农场太阳能光伏电站复垦项目，实现了无法复垦采煤塌陷地的产业利用，提高了治理的经济和社会效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规划实施存在的主要问题</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采煤塌陷地综合治理纵深发展不足，加之政策制约，取得的经济、社会和生态效益有限，未能充分发挥对“三农”建设、煤炭矿区可持续发展、全区产业转型升级的服务和助力作用。生态修复目标不明确，提供生态产品、实现生态价值的机制未能有效建立。产业利用功能区块划定不合理，未充分考虑产业导向和新业态发展趋势，经济效益不够显著。同时因《济宁高新区采煤塌陷地治理规划（2018—2030年）》颁布时间早于《山东省采煤塌陷地综合治理专项规划（2019—2030年）》，与其任务安排和治理进度并不一致。</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第三章  采煤塌陷地预测</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采煤塌陷规模预测</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到2025年，济宁高新区采煤沉陷区面积为5959.61公顷，其中采煤塌陷地面积为5170.55公顷；到2030年，采煤沉陷区面积为6160.71公顷，其中采煤塌陷地面积为5349.37公顷。规划期内，全区新增采煤塌陷地287.50公顷，展望期内新增178.82公顷。</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2021年，全区累计形成采煤塌陷地5088.88公顷，年增205.83公顷，增长率为4.22%；2022年，累计规模为5091.59公顷，年增2.71公顷，增长率为0.05%；2023年，累计规模为5152.49公顷，年增60.90公顷，增长率为1.20%；2024年，累计规模为5168.98公顷，年增16.49公顷，增长率为0.32%；2025年，累计规模为5170.55公顷，年增1.57公顷，增长率为0.03%。</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到2030年，采煤塌陷地总规模为5349.37公顷，比2025年增加178.82公顷。2021—2030年采煤塌陷地预测结果见专栏2。</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sectPr>
          <w:footerReference r:id="rId8" w:type="default"/>
          <w:pgSz w:w="11905" w:h="16840"/>
          <w:pgMar w:top="2098" w:right="1474" w:bottom="1984" w:left="1587" w:header="850" w:footer="1587" w:gutter="0"/>
          <w:pgNumType w:fmt="numberInDash"/>
          <w:cols w:space="0" w:num="1"/>
          <w:rtlGutter w:val="0"/>
          <w:docGrid w:linePitch="299" w:charSpace="0"/>
        </w:sectPr>
      </w:pPr>
    </w:p>
    <w:tbl>
      <w:tblPr>
        <w:tblStyle w:val="7"/>
        <w:tblpPr w:leftFromText="180" w:rightFromText="180" w:vertAnchor="text" w:horzAnchor="page" w:tblpXSpec="center" w:tblpY="588"/>
        <w:tblOverlap w:val="never"/>
        <w:tblW w:w="5010" w:type="pct"/>
        <w:jc w:val="center"/>
        <w:tblLayout w:type="autofit"/>
        <w:tblCellMar>
          <w:top w:w="0" w:type="dxa"/>
          <w:left w:w="0" w:type="dxa"/>
          <w:bottom w:w="0" w:type="dxa"/>
          <w:right w:w="0" w:type="dxa"/>
        </w:tblCellMar>
      </w:tblPr>
      <w:tblGrid>
        <w:gridCol w:w="859"/>
        <w:gridCol w:w="2605"/>
        <w:gridCol w:w="1867"/>
        <w:gridCol w:w="1812"/>
        <w:gridCol w:w="1649"/>
        <w:gridCol w:w="1649"/>
        <w:gridCol w:w="1649"/>
        <w:gridCol w:w="1722"/>
      </w:tblGrid>
      <w:tr>
        <w:tblPrEx>
          <w:tblCellMar>
            <w:top w:w="0" w:type="dxa"/>
            <w:left w:w="0" w:type="dxa"/>
            <w:bottom w:w="0" w:type="dxa"/>
            <w:right w:w="0" w:type="dxa"/>
          </w:tblCellMar>
        </w:tblPrEx>
        <w:trPr>
          <w:trHeight w:val="510" w:hRule="exact"/>
          <w:jc w:val="center"/>
        </w:trPr>
        <w:tc>
          <w:tcPr>
            <w:tcW w:w="5000" w:type="pct"/>
            <w:gridSpan w:val="8"/>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47" w:after="0" w:line="240" w:lineRule="auto"/>
              <w:ind w:right="-20"/>
              <w:jc w:val="center"/>
              <w:textAlignment w:val="auto"/>
              <w:rPr>
                <w:rFonts w:hint="eastAsia" w:ascii="方正黑体简体" w:hAnsi="方正黑体简体" w:eastAsia="方正黑体简体" w:cs="方正黑体简体"/>
                <w:b w:val="0"/>
                <w:bCs w:val="0"/>
                <w:color w:val="auto"/>
                <w:spacing w:val="0"/>
                <w:w w:val="100"/>
                <w:kern w:val="21"/>
                <w:position w:val="0"/>
                <w:sz w:val="24"/>
                <w:szCs w:val="24"/>
                <w:lang w:eastAsia="zh-CN"/>
              </w:rPr>
            </w:pPr>
            <w:r>
              <w:rPr>
                <w:rFonts w:hint="eastAsia" w:ascii="方正黑体简体" w:hAnsi="方正黑体简体" w:eastAsia="方正黑体简体" w:cs="方正黑体简体"/>
                <w:b w:val="0"/>
                <w:bCs w:val="0"/>
                <w:color w:val="auto"/>
                <w:spacing w:val="0"/>
                <w:w w:val="100"/>
                <w:kern w:val="21"/>
                <w:position w:val="0"/>
                <w:sz w:val="24"/>
                <w:szCs w:val="24"/>
                <w:lang w:eastAsia="zh-CN"/>
              </w:rPr>
              <w:t>专栏2  济宁高新区采煤塌陷地面积预测结果（2021—2030年）（单位：公顷）</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序号</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before="98"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矿井</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2021年</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2022年</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2023年</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2024年</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2025年</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2030年</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许厂煤矿</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1486.96</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1486.96</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1543.99</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1557.38</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1557.38</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1666.15</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田庄煤矿</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杨村煤矿</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851.43</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854.14</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858.01</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861.11</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862.68</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862.68</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太平煤矿</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横河煤矿</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r>
      <w:tr>
        <w:tblPrEx>
          <w:tblCellMar>
            <w:top w:w="0" w:type="dxa"/>
            <w:left w:w="0" w:type="dxa"/>
            <w:bottom w:w="0" w:type="dxa"/>
            <w:right w:w="0" w:type="dxa"/>
          </w:tblCellMar>
        </w:tblPrEx>
        <w:trPr>
          <w:trHeight w:val="510" w:hRule="exact"/>
          <w:jc w:val="center"/>
        </w:trPr>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7</w:t>
            </w:r>
          </w:p>
        </w:tc>
        <w:tc>
          <w:tcPr>
            <w:tcW w:w="9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鲍店煤矿</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129.75</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129.74</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129.75</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129.75</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129.75</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199.80</w:t>
            </w:r>
          </w:p>
        </w:tc>
      </w:tr>
      <w:tr>
        <w:tblPrEx>
          <w:tblCellMar>
            <w:top w:w="0" w:type="dxa"/>
            <w:left w:w="0" w:type="dxa"/>
            <w:bottom w:w="0" w:type="dxa"/>
            <w:right w:w="0" w:type="dxa"/>
          </w:tblCellMar>
        </w:tblPrEx>
        <w:trPr>
          <w:trHeight w:val="510" w:hRule="exact"/>
          <w:jc w:val="center"/>
        </w:trPr>
        <w:tc>
          <w:tcPr>
            <w:tcW w:w="1254" w:type="pct"/>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合计</w:t>
            </w:r>
          </w:p>
        </w:tc>
        <w:tc>
          <w:tcPr>
            <w:tcW w:w="67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5088.88</w:t>
            </w:r>
          </w:p>
        </w:tc>
        <w:tc>
          <w:tcPr>
            <w:tcW w:w="656"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5091.59</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5152.49</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5168.98</w:t>
            </w:r>
          </w:p>
        </w:tc>
        <w:tc>
          <w:tcPr>
            <w:tcW w:w="59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5170.5</w:t>
            </w:r>
            <w:r>
              <w:rPr>
                <w:rFonts w:hint="eastAsia" w:ascii="方正仿宋简体" w:hAnsi="方正仿宋简体" w:eastAsia="方正仿宋简体" w:cs="方正仿宋简体"/>
                <w:b w:val="0"/>
                <w:bCs w:val="0"/>
                <w:color w:val="auto"/>
                <w:spacing w:val="0"/>
                <w:w w:val="100"/>
                <w:kern w:val="21"/>
                <w:position w:val="0"/>
                <w:sz w:val="24"/>
                <w:szCs w:val="24"/>
                <w:lang w:eastAsia="zh-CN"/>
              </w:rPr>
              <w:t>5</w:t>
            </w:r>
          </w:p>
        </w:tc>
        <w:tc>
          <w:tcPr>
            <w:tcW w:w="61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5349.37</w:t>
            </w:r>
          </w:p>
        </w:tc>
      </w:tr>
    </w:tbl>
    <w:p>
      <w:pPr>
        <w:pStyle w:val="2"/>
        <w:rPr>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ascii="仿宋" w:hAnsi="仿宋" w:eastAsia="仿宋"/>
          <w:b w:val="0"/>
          <w:bCs w:val="0"/>
          <w:color w:val="auto"/>
          <w:spacing w:val="0"/>
          <w:w w:val="100"/>
          <w:kern w:val="21"/>
          <w:position w:val="0"/>
        </w:rPr>
        <w:sectPr>
          <w:footerReference r:id="rId9" w:type="default"/>
          <w:pgSz w:w="16840" w:h="11905" w:orient="landscape"/>
          <w:pgMar w:top="1531" w:right="1531" w:bottom="1531" w:left="1531" w:header="850" w:footer="1134" w:gutter="0"/>
          <w:pgNumType w:fmt="numberInDash"/>
          <w:cols w:space="0" w:num="1"/>
          <w:rtlGutter w:val="0"/>
          <w:docGrid w:linePitch="299" w:charSpace="0"/>
        </w:sect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稳沉采煤塌陷地预测</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到2025年，济宁高新区稳沉采煤塌陷地面积为4732.69公顷，规划期内新增482.53公顷。其中，2021年稳沉采煤塌陷地面积为4601.81公顷，年增351.65公顷，增长率8.27%；2022年面积为4699.88公顷，年增98.07公顷，增长率2.13%；2023年面积为4699.88公顷，年增0公顷，增长率0%；2024年面积为4727.09公顷，年增27.21公顷，增长率0.58%；2025年面积为4732.69公顷，年增5.60公顷，增长率0.12%。</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2021—2025年全区稳沉采煤塌陷地预测结果见专栏3。</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sectPr>
          <w:footerReference r:id="rId10" w:type="default"/>
          <w:pgSz w:w="11905" w:h="16840"/>
          <w:pgMar w:top="2098" w:right="1474" w:bottom="1984" w:left="1587" w:header="850" w:footer="1587" w:gutter="0"/>
          <w:pgNumType w:fmt="numberInDash" w:start="11"/>
          <w:cols w:space="0" w:num="1"/>
          <w:rtlGutter w:val="0"/>
          <w:docGrid w:linePitch="299" w:charSpace="0"/>
        </w:sectPr>
      </w:pPr>
    </w:p>
    <w:p>
      <w:pPr>
        <w:pStyle w:val="2"/>
        <w:rPr>
          <w:lang w:eastAsia="zh-CN"/>
        </w:rPr>
      </w:pPr>
    </w:p>
    <w:tbl>
      <w:tblPr>
        <w:tblStyle w:val="7"/>
        <w:tblW w:w="5000" w:type="pct"/>
        <w:jc w:val="center"/>
        <w:tblLayout w:type="autofit"/>
        <w:tblCellMar>
          <w:top w:w="0" w:type="dxa"/>
          <w:left w:w="0" w:type="dxa"/>
          <w:bottom w:w="0" w:type="dxa"/>
          <w:right w:w="0" w:type="dxa"/>
        </w:tblCellMar>
      </w:tblPr>
      <w:tblGrid>
        <w:gridCol w:w="1233"/>
        <w:gridCol w:w="3054"/>
        <w:gridCol w:w="1917"/>
        <w:gridCol w:w="1917"/>
        <w:gridCol w:w="1997"/>
        <w:gridCol w:w="1843"/>
        <w:gridCol w:w="1833"/>
      </w:tblGrid>
      <w:tr>
        <w:tblPrEx>
          <w:tblCellMar>
            <w:top w:w="0" w:type="dxa"/>
            <w:left w:w="0" w:type="dxa"/>
            <w:bottom w:w="0" w:type="dxa"/>
            <w:right w:w="0" w:type="dxa"/>
          </w:tblCellMar>
        </w:tblPrEx>
        <w:trPr>
          <w:trHeight w:val="519" w:hRule="exact"/>
          <w:jc w:val="center"/>
        </w:trPr>
        <w:tc>
          <w:tcPr>
            <w:tcW w:w="5000" w:type="pct"/>
            <w:gridSpan w:val="7"/>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黑体简体" w:hAnsi="方正黑体简体" w:eastAsia="方正黑体简体" w:cs="方正黑体简体"/>
                <w:b w:val="0"/>
                <w:bCs w:val="0"/>
                <w:color w:val="auto"/>
                <w:spacing w:val="0"/>
                <w:w w:val="100"/>
                <w:kern w:val="21"/>
                <w:position w:val="0"/>
                <w:sz w:val="24"/>
                <w:szCs w:val="24"/>
                <w:lang w:eastAsia="zh-CN"/>
              </w:rPr>
            </w:pPr>
            <w:r>
              <w:rPr>
                <w:rFonts w:hint="eastAsia" w:ascii="方正黑体简体" w:hAnsi="方正黑体简体" w:eastAsia="方正黑体简体" w:cs="方正黑体简体"/>
                <w:b w:val="0"/>
                <w:bCs w:val="0"/>
                <w:color w:val="auto"/>
                <w:spacing w:val="0"/>
                <w:w w:val="100"/>
                <w:kern w:val="21"/>
                <w:position w:val="0"/>
                <w:sz w:val="24"/>
                <w:szCs w:val="24"/>
                <w:lang w:eastAsia="zh-CN"/>
              </w:rPr>
              <w:t>专栏3  济宁高新区稳沉采煤塌陷地预测结果（2021—2025年）（单位：公顷）</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序号</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矿井</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2021年</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2022年</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2023年</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2024年</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2025年</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许厂煤矿</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1200.5</w:t>
            </w:r>
            <w:r>
              <w:rPr>
                <w:rFonts w:hint="eastAsia" w:ascii="方正仿宋简体" w:hAnsi="方正仿宋简体" w:eastAsia="方正仿宋简体" w:cs="方正仿宋简体"/>
                <w:b w:val="0"/>
                <w:bCs w:val="0"/>
                <w:color w:val="auto"/>
                <w:spacing w:val="0"/>
                <w:w w:val="100"/>
                <w:kern w:val="21"/>
                <w:position w:val="0"/>
                <w:sz w:val="24"/>
                <w:szCs w:val="24"/>
                <w:lang w:eastAsia="zh-CN"/>
              </w:rPr>
              <w:t>4</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1219.78</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1035.99</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1104.81</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1104.81</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1132.02</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1132.02</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田庄煤矿</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1000.4</w:t>
            </w:r>
            <w:r>
              <w:rPr>
                <w:rFonts w:hint="eastAsia" w:ascii="方正仿宋简体" w:hAnsi="方正仿宋简体" w:eastAsia="方正仿宋简体" w:cs="方正仿宋简体"/>
                <w:b w:val="0"/>
                <w:bCs w:val="0"/>
                <w:color w:val="auto"/>
                <w:spacing w:val="0"/>
                <w:w w:val="100"/>
                <w:kern w:val="21"/>
                <w:position w:val="0"/>
                <w:sz w:val="24"/>
                <w:szCs w:val="24"/>
                <w:lang w:eastAsia="zh-CN"/>
              </w:rPr>
              <w:t>2</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1000.42</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杨村煤矿</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839.00</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849.01</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849.01</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849.01</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854.6</w:t>
            </w:r>
            <w:r>
              <w:rPr>
                <w:rFonts w:hint="eastAsia" w:ascii="方正仿宋简体" w:hAnsi="方正仿宋简体" w:eastAsia="方正仿宋简体" w:cs="方正仿宋简体"/>
                <w:b w:val="0"/>
                <w:bCs w:val="0"/>
                <w:color w:val="auto"/>
                <w:spacing w:val="0"/>
                <w:w w:val="100"/>
                <w:kern w:val="21"/>
                <w:position w:val="0"/>
                <w:sz w:val="24"/>
                <w:szCs w:val="24"/>
                <w:lang w:eastAsia="zh-CN"/>
              </w:rPr>
              <w:t>1</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太平煤矿</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167.12</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横河煤矿</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233.42</w:t>
            </w:r>
          </w:p>
        </w:tc>
      </w:tr>
      <w:tr>
        <w:tblPrEx>
          <w:tblCellMar>
            <w:top w:w="0" w:type="dxa"/>
            <w:left w:w="0" w:type="dxa"/>
            <w:bottom w:w="0" w:type="dxa"/>
            <w:right w:w="0" w:type="dxa"/>
          </w:tblCellMar>
        </w:tblPrEx>
        <w:trPr>
          <w:trHeight w:val="519" w:hRule="exact"/>
          <w:jc w:val="center"/>
        </w:trPr>
        <w:tc>
          <w:tcPr>
            <w:tcW w:w="44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7</w:t>
            </w:r>
          </w:p>
        </w:tc>
        <w:tc>
          <w:tcPr>
            <w:tcW w:w="1107"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鲍店煤矿</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125.32</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125.32</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125.32</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125.32</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125.32</w:t>
            </w:r>
          </w:p>
        </w:tc>
      </w:tr>
      <w:tr>
        <w:tblPrEx>
          <w:tblCellMar>
            <w:top w:w="0" w:type="dxa"/>
            <w:left w:w="0" w:type="dxa"/>
            <w:bottom w:w="0" w:type="dxa"/>
            <w:right w:w="0" w:type="dxa"/>
          </w:tblCellMar>
        </w:tblPrEx>
        <w:trPr>
          <w:trHeight w:val="519" w:hRule="exact"/>
          <w:jc w:val="center"/>
        </w:trPr>
        <w:tc>
          <w:tcPr>
            <w:tcW w:w="1554" w:type="pct"/>
            <w:gridSpan w:val="2"/>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合计</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4601.81</w:t>
            </w:r>
          </w:p>
        </w:tc>
        <w:tc>
          <w:tcPr>
            <w:tcW w:w="695"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4699.88</w:t>
            </w:r>
          </w:p>
        </w:tc>
        <w:tc>
          <w:tcPr>
            <w:tcW w:w="72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4699.88</w:t>
            </w:r>
          </w:p>
        </w:tc>
        <w:tc>
          <w:tcPr>
            <w:tcW w:w="668"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4727.09</w:t>
            </w:r>
          </w:p>
        </w:tc>
        <w:tc>
          <w:tcPr>
            <w:tcW w:w="664" w:type="pct"/>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4732.69</w:t>
            </w:r>
          </w:p>
        </w:tc>
      </w:tr>
    </w:tbl>
    <w:p>
      <w:pPr>
        <w:keepNext w:val="0"/>
        <w:keepLines w:val="0"/>
        <w:pageBreakBefore w:val="0"/>
        <w:widowControl w:val="0"/>
        <w:kinsoku/>
        <w:wordWrap/>
        <w:overflowPunct/>
        <w:topLinePunct w:val="0"/>
        <w:autoSpaceDE/>
        <w:autoSpaceDN/>
        <w:bidi w:val="0"/>
        <w:adjustRightInd/>
        <w:snapToGrid/>
        <w:spacing w:after="0"/>
        <w:jc w:val="both"/>
        <w:textAlignment w:val="auto"/>
        <w:rPr>
          <w:rFonts w:ascii="仿宋" w:hAnsi="仿宋" w:eastAsia="仿宋"/>
          <w:b w:val="0"/>
          <w:bCs w:val="0"/>
          <w:color w:val="auto"/>
          <w:spacing w:val="0"/>
          <w:w w:val="100"/>
          <w:kern w:val="21"/>
          <w:position w:val="0"/>
        </w:rPr>
        <w:sectPr>
          <w:pgSz w:w="16840" w:h="11905" w:orient="landscape"/>
          <w:pgMar w:top="1531" w:right="1531" w:bottom="1531" w:left="1531" w:header="850" w:footer="1134" w:gutter="0"/>
          <w:pgNumType w:fmt="numberInDash"/>
          <w:cols w:space="0" w:num="1"/>
          <w:rtlGutter w:val="0"/>
          <w:docGrid w:linePitch="299" w:charSpace="0"/>
        </w:sectPr>
      </w:pPr>
    </w:p>
    <w:p>
      <w:pPr>
        <w:keepNext w:val="0"/>
        <w:keepLines w:val="0"/>
        <w:pageBreakBefore w:val="0"/>
        <w:widowControl w:val="0"/>
        <w:kinsoku/>
        <w:wordWrap/>
        <w:overflowPunct/>
        <w:topLinePunct w:val="0"/>
        <w:autoSpaceDE/>
        <w:autoSpaceDN/>
        <w:bidi w:val="0"/>
        <w:adjustRightInd/>
        <w:snapToGrid/>
        <w:spacing w:beforeAutospacing="0" w:after="0" w:line="560" w:lineRule="exact"/>
        <w:jc w:val="both"/>
        <w:textAlignment w:val="auto"/>
        <w:rPr>
          <w:rFonts w:ascii="仿宋" w:hAnsi="仿宋" w:eastAsia="仿宋"/>
          <w:b w:val="0"/>
          <w:bCs w:val="0"/>
          <w:color w:val="auto"/>
          <w:spacing w:val="0"/>
          <w:w w:val="100"/>
          <w:kern w:val="21"/>
          <w:position w:val="0"/>
          <w:sz w:val="10"/>
          <w:szCs w:val="10"/>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第三节  采煤塌陷损毁地类预测</w:t>
      </w:r>
    </w:p>
    <w:p>
      <w:pPr>
        <w:keepNext w:val="0"/>
        <w:keepLines w:val="0"/>
        <w:pageBreakBefore w:val="0"/>
        <w:widowControl w:val="0"/>
        <w:kinsoku/>
        <w:wordWrap/>
        <w:overflowPunct/>
        <w:topLinePunct w:val="0"/>
        <w:autoSpaceDE/>
        <w:autoSpaceDN/>
        <w:bidi w:val="0"/>
        <w:adjustRightInd/>
        <w:snapToGrid/>
        <w:spacing w:beforeAutospacing="0" w:line="560" w:lineRule="exact"/>
        <w:textAlignment w:val="auto"/>
        <w:rPr>
          <w:b w:val="0"/>
          <w:bCs w:val="0"/>
          <w:color w:val="auto"/>
          <w:spacing w:val="0"/>
          <w:w w:val="100"/>
          <w:kern w:val="21"/>
          <w:position w:val="0"/>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到2025年，济宁高新区采煤塌陷地损毁的地类主要为耕地、水域及水利设施用地和林地。其中，耕地2596.29公顷，占50.21%；水域及水利设施用地1012.33公顷，占19.58%；林地718.60公顷，占13.90%；城镇住宅用地409.69公顷，占7.92%；交通运输用地211.71公顷，占4.10%；园地76.53公顷，占1.48%；工矿仓储用地33.82公顷，占0.65%；其他地类111.59公顷，占2.16%。2021—2025年采煤塌陷地损毁地类详见附表1。</w:t>
      </w:r>
    </w:p>
    <w:p>
      <w:pPr>
        <w:keepNext w:val="0"/>
        <w:keepLines w:val="0"/>
        <w:pageBreakBefore w:val="0"/>
        <w:widowControl w:val="0"/>
        <w:kinsoku/>
        <w:wordWrap/>
        <w:overflowPunct/>
        <w:topLinePunct w:val="0"/>
        <w:autoSpaceDE/>
        <w:autoSpaceDN/>
        <w:bidi w:val="0"/>
        <w:adjustRightInd/>
        <w:snapToGrid/>
        <w:spacing w:beforeAutospacing="0" w:after="0" w:line="560" w:lineRule="exact"/>
        <w:ind w:firstLine="600" w:firstLineChars="200"/>
        <w:jc w:val="both"/>
        <w:textAlignment w:val="auto"/>
        <w:rPr>
          <w:rFonts w:ascii="仿宋" w:hAnsi="仿宋" w:eastAsia="仿宋" w:cs="Microsoft JhengHei"/>
          <w:b w:val="0"/>
          <w:bCs w:val="0"/>
          <w:color w:val="auto"/>
          <w:spacing w:val="0"/>
          <w:w w:val="100"/>
          <w:kern w:val="21"/>
          <w:position w:val="0"/>
          <w:sz w:val="30"/>
          <w:szCs w:val="30"/>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第四章  指导思想、基本原则与规划目标</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指导思想</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以习近平新时代中国特色社会主义思想为指导，贯彻党的十九大和十九届历次全会精神，践行“绿水青山就是金山银山”理念，严格执行保护耕地、保护环境的基本国策，以服务高质量发展、生态文明建设和美丽宜居乡村建设为目标，统筹实施采煤塌陷地治理，推动黄河流域生态保护与高质量发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基本原则</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一、生态为基，耕地优先</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坚持“十分珍惜、合理利用土地和切实保护耕地”的基本国策，采煤塌陷的耕地优先恢复为耕地，无法恢复为耕地的优先治理为其他农用地，确实无法恢复农业用途的，按照矿山生态文明建设要求，加强生态环境修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二、因地制宜，以人为本</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从采煤塌陷地实际和区域发展需要出发，开展采煤塌陷地综合治理。坚持矿区集体土地治理农民的主体地位，切实维护农村集体经济组织和农民的合法权益。</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三、创新驱动，完善机制</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探索建立边采边治等模式，减少采煤塌陷地增量。建立与高标准农田、农田水利、生态修复、水质净化等项目复合实施的治理机制，提高治理成效。推行采煤塌陷地土地流转经营，发展多种形式的农业适度规模经营；完善吸引社会投入的鼓励政策，引导社会资金参与治理；建立健全监管机制和绩效评价机制。</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第三节  规划目标</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一、规划期目标</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2021年济宁高新区治理稳沉采煤塌陷地773.52公顷，其中治理历史遗留塌陷地71.08公顷，累计治理稳沉采煤塌陷地4272.88公顷。</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2022年济宁高新区治理稳沉采煤塌陷地341.74公顷（含城镇村48.24公顷），治理率达到100%，其中治理历史遗留塌陷地39.57公顷，治理率达到100%。</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2023—2025年，治理稳沉采煤塌陷地125.28公顷，累计治理稳沉采煤塌陷地4727.09公顷，治理率达到100%。其中，2023年治理98.07公顷、2024年治理0公顷、2025年治理27.21公顷，每年治理上一年度稳沉采煤塌陷地达到100%；治理未稳沉采煤塌陷地132.57公顷，治理率达到30%。详见专栏4。</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二、展望期目标</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到2030年底，稳沉采煤塌陷地治理率达到100%，未稳沉采煤塌陷地同步治理率达到50%。</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sectPr>
          <w:pgSz w:w="11905" w:h="16840"/>
          <w:pgMar w:top="2098" w:right="1474" w:bottom="1984" w:left="1587" w:header="850" w:footer="1587" w:gutter="0"/>
          <w:pgNumType w:fmt="numberInDash"/>
          <w:cols w:space="0" w:num="1"/>
          <w:rtlGutter w:val="0"/>
          <w:docGrid w:linePitch="299" w:charSpace="0"/>
        </w:sectPr>
      </w:pPr>
    </w:p>
    <w:p>
      <w:pPr>
        <w:pStyle w:val="2"/>
        <w:rPr>
          <w:lang w:eastAsia="zh-CN"/>
        </w:rPr>
      </w:pPr>
    </w:p>
    <w:tbl>
      <w:tblPr>
        <w:tblStyle w:val="7"/>
        <w:tblW w:w="5052" w:type="pct"/>
        <w:jc w:val="center"/>
        <w:tblLayout w:type="autofit"/>
        <w:tblCellMar>
          <w:top w:w="0" w:type="dxa"/>
          <w:left w:w="0" w:type="dxa"/>
          <w:bottom w:w="0" w:type="dxa"/>
          <w:right w:w="0" w:type="dxa"/>
        </w:tblCellMar>
      </w:tblPr>
      <w:tblGrid>
        <w:gridCol w:w="705"/>
        <w:gridCol w:w="1794"/>
        <w:gridCol w:w="866"/>
        <w:gridCol w:w="1042"/>
        <w:gridCol w:w="866"/>
        <w:gridCol w:w="1042"/>
        <w:gridCol w:w="1334"/>
        <w:gridCol w:w="1334"/>
        <w:gridCol w:w="1334"/>
        <w:gridCol w:w="1097"/>
        <w:gridCol w:w="1496"/>
        <w:gridCol w:w="1017"/>
      </w:tblGrid>
      <w:tr>
        <w:tblPrEx>
          <w:tblCellMar>
            <w:top w:w="0" w:type="dxa"/>
            <w:left w:w="0" w:type="dxa"/>
            <w:bottom w:w="0" w:type="dxa"/>
            <w:right w:w="0" w:type="dxa"/>
          </w:tblCellMar>
        </w:tblPrEx>
        <w:trPr>
          <w:trHeight w:val="618" w:hRule="exact"/>
          <w:jc w:val="center"/>
        </w:trPr>
        <w:tc>
          <w:tcPr>
            <w:tcW w:w="5000" w:type="pct"/>
            <w:gridSpan w:val="1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黑体简体" w:hAnsi="方正黑体简体" w:eastAsia="方正黑体简体" w:cs="方正黑体简体"/>
                <w:b w:val="0"/>
                <w:bCs w:val="0"/>
                <w:color w:val="auto"/>
                <w:spacing w:val="0"/>
                <w:w w:val="100"/>
                <w:kern w:val="21"/>
                <w:position w:val="0"/>
                <w:sz w:val="24"/>
                <w:szCs w:val="24"/>
                <w:lang w:eastAsia="zh-CN"/>
              </w:rPr>
            </w:pPr>
            <w:r>
              <w:rPr>
                <w:rFonts w:hint="eastAsia" w:ascii="方正黑体简体" w:hAnsi="方正黑体简体" w:eastAsia="方正黑体简体" w:cs="方正黑体简体"/>
                <w:b w:val="0"/>
                <w:bCs w:val="0"/>
                <w:color w:val="auto"/>
                <w:spacing w:val="0"/>
                <w:w w:val="100"/>
                <w:kern w:val="21"/>
                <w:position w:val="0"/>
                <w:sz w:val="24"/>
                <w:szCs w:val="24"/>
                <w:lang w:eastAsia="zh-CN"/>
              </w:rPr>
              <w:t>专栏4  济宁高新区采煤塌陷地治理目标（2021—2025年）（单位：公顷）</w:t>
            </w:r>
          </w:p>
        </w:tc>
      </w:tr>
      <w:tr>
        <w:trPr>
          <w:trHeight w:val="636" w:hRule="exact"/>
          <w:jc w:val="center"/>
        </w:trPr>
        <w:tc>
          <w:tcPr>
            <w:tcW w:w="253" w:type="pct"/>
            <w:vMerge w:val="restart"/>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101" w:right="-20"/>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序号</w:t>
            </w:r>
          </w:p>
        </w:tc>
        <w:tc>
          <w:tcPr>
            <w:tcW w:w="643" w:type="pct"/>
            <w:vMerge w:val="restart"/>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矿井</w:t>
            </w:r>
          </w:p>
        </w:tc>
        <w:tc>
          <w:tcPr>
            <w:tcW w:w="685" w:type="pct"/>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2021年治理情况</w:t>
            </w:r>
          </w:p>
        </w:tc>
        <w:tc>
          <w:tcPr>
            <w:tcW w:w="685" w:type="pct"/>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2022年治理目标</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348" w:right="-20"/>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2023年</w:t>
            </w:r>
          </w:p>
          <w:p>
            <w:pPr>
              <w:keepNext w:val="0"/>
              <w:keepLines w:val="0"/>
              <w:pageBreakBefore w:val="0"/>
              <w:widowControl w:val="0"/>
              <w:kinsoku/>
              <w:wordWrap/>
              <w:overflowPunct/>
              <w:topLinePunct w:val="0"/>
              <w:autoSpaceDE/>
              <w:autoSpaceDN/>
              <w:bidi w:val="0"/>
              <w:adjustRightInd/>
              <w:snapToGrid/>
              <w:spacing w:after="0" w:line="300" w:lineRule="exact"/>
              <w:ind w:left="300" w:right="-20"/>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治理目标</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347" w:right="-20"/>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2024年</w:t>
            </w:r>
          </w:p>
          <w:p>
            <w:pPr>
              <w:keepNext w:val="0"/>
              <w:keepLines w:val="0"/>
              <w:pageBreakBefore w:val="0"/>
              <w:widowControl w:val="0"/>
              <w:kinsoku/>
              <w:wordWrap/>
              <w:overflowPunct/>
              <w:topLinePunct w:val="0"/>
              <w:autoSpaceDE/>
              <w:autoSpaceDN/>
              <w:bidi w:val="0"/>
              <w:adjustRightInd/>
              <w:snapToGrid/>
              <w:spacing w:after="0" w:line="300" w:lineRule="exact"/>
              <w:ind w:left="299" w:right="-20"/>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治理目标</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left="349" w:right="-20"/>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2025年</w:t>
            </w:r>
          </w:p>
          <w:p>
            <w:pPr>
              <w:keepNext w:val="0"/>
              <w:keepLines w:val="0"/>
              <w:pageBreakBefore w:val="0"/>
              <w:widowControl w:val="0"/>
              <w:kinsoku/>
              <w:wordWrap/>
              <w:overflowPunct/>
              <w:topLinePunct w:val="0"/>
              <w:autoSpaceDE/>
              <w:autoSpaceDN/>
              <w:bidi w:val="0"/>
              <w:adjustRightInd/>
              <w:snapToGrid/>
              <w:spacing w:after="0" w:line="300" w:lineRule="exact"/>
              <w:ind w:left="298" w:right="-20"/>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治理目标</w:t>
            </w:r>
          </w:p>
        </w:tc>
        <w:tc>
          <w:tcPr>
            <w:tcW w:w="394" w:type="pct"/>
            <w:vMerge w:val="restart"/>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治理稳沉</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合计</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w:t>
            </w:r>
            <w:r>
              <w:rPr>
                <w:rFonts w:hint="eastAsia" w:ascii="方正仿宋简体" w:hAnsi="方正仿宋简体" w:eastAsia="方正仿宋简体" w:cs="方正仿宋简体"/>
                <w:b w:val="0"/>
                <w:bCs w:val="0"/>
                <w:color w:val="auto"/>
                <w:spacing w:val="0"/>
                <w:w w:val="100"/>
                <w:kern w:val="21"/>
                <w:position w:val="0"/>
                <w:sz w:val="24"/>
                <w:szCs w:val="24"/>
                <w:lang w:eastAsia="zh-CN"/>
              </w:rPr>
              <w:t>—</w:t>
            </w:r>
            <w:r>
              <w:rPr>
                <w:rFonts w:hint="eastAsia" w:ascii="方正仿宋简体" w:hAnsi="方正仿宋简体" w:eastAsia="方正仿宋简体" w:cs="方正仿宋简体"/>
                <w:b w:val="0"/>
                <w:bCs w:val="0"/>
                <w:color w:val="auto"/>
                <w:spacing w:val="0"/>
                <w:w w:val="100"/>
                <w:kern w:val="21"/>
                <w:position w:val="0"/>
                <w:sz w:val="24"/>
                <w:szCs w:val="24"/>
              </w:rPr>
              <w:t>2025年</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治理目标</w:t>
            </w:r>
          </w:p>
        </w:tc>
        <w:tc>
          <w:tcPr>
            <w:tcW w:w="363" w:type="pct"/>
            <w:vMerge w:val="restart"/>
            <w:tcBorders>
              <w:top w:val="single" w:color="000000" w:sz="2" w:space="0"/>
              <w:left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ind w:right="-20"/>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总计</w:t>
            </w:r>
          </w:p>
        </w:tc>
      </w:tr>
      <w:tr>
        <w:tblPrEx>
          <w:tblCellMar>
            <w:top w:w="0" w:type="dxa"/>
            <w:left w:w="0" w:type="dxa"/>
            <w:bottom w:w="0" w:type="dxa"/>
            <w:right w:w="0" w:type="dxa"/>
          </w:tblCellMar>
        </w:tblPrEx>
        <w:trPr>
          <w:trHeight w:val="636" w:hRule="exact"/>
          <w:jc w:val="center"/>
        </w:trPr>
        <w:tc>
          <w:tcPr>
            <w:tcW w:w="253" w:type="pct"/>
            <w:vMerge w:val="continue"/>
            <w:tcBorders>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p>
        </w:tc>
        <w:tc>
          <w:tcPr>
            <w:tcW w:w="643" w:type="pct"/>
            <w:vMerge w:val="continue"/>
            <w:tcBorders>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稳沉</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其中：</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历史遗留</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稳沉</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其中：</w:t>
            </w:r>
          </w:p>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历史遗留</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稳沉</w:t>
            </w:r>
          </w:p>
          <w:p>
            <w:pPr>
              <w:keepNext w:val="0"/>
              <w:keepLines w:val="0"/>
              <w:pageBreakBefore w:val="0"/>
              <w:widowControl w:val="0"/>
              <w:kinsoku/>
              <w:wordWrap/>
              <w:overflowPunct/>
              <w:topLinePunct w:val="0"/>
              <w:autoSpaceDE/>
              <w:autoSpaceDN/>
              <w:bidi w:val="0"/>
              <w:adjustRightInd/>
              <w:snapToGrid/>
              <w:spacing w:after="0" w:line="300" w:lineRule="exact"/>
              <w:ind w:left="121" w:right="93"/>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（2022年）</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稳沉</w:t>
            </w:r>
          </w:p>
          <w:p>
            <w:pPr>
              <w:keepNext w:val="0"/>
              <w:keepLines w:val="0"/>
              <w:pageBreakBefore w:val="0"/>
              <w:widowControl w:val="0"/>
              <w:kinsoku/>
              <w:wordWrap/>
              <w:overflowPunct/>
              <w:topLinePunct w:val="0"/>
              <w:autoSpaceDE/>
              <w:autoSpaceDN/>
              <w:bidi w:val="0"/>
              <w:adjustRightInd/>
              <w:snapToGrid/>
              <w:spacing w:after="0" w:line="300" w:lineRule="exact"/>
              <w:ind w:left="120" w:right="93"/>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（2023年）</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稳沉</w:t>
            </w:r>
          </w:p>
          <w:p>
            <w:pPr>
              <w:keepNext w:val="0"/>
              <w:keepLines w:val="0"/>
              <w:pageBreakBefore w:val="0"/>
              <w:widowControl w:val="0"/>
              <w:kinsoku/>
              <w:wordWrap/>
              <w:overflowPunct/>
              <w:topLinePunct w:val="0"/>
              <w:autoSpaceDE/>
              <w:autoSpaceDN/>
              <w:bidi w:val="0"/>
              <w:adjustRightInd/>
              <w:snapToGrid/>
              <w:spacing w:after="0" w:line="300" w:lineRule="exact"/>
              <w:ind w:left="122" w:right="93"/>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（2024年）</w:t>
            </w:r>
          </w:p>
        </w:tc>
        <w:tc>
          <w:tcPr>
            <w:tcW w:w="394" w:type="pct"/>
            <w:vMerge w:val="continue"/>
            <w:tcBorders>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未稳沉</w:t>
            </w:r>
          </w:p>
          <w:p>
            <w:pPr>
              <w:keepNext w:val="0"/>
              <w:keepLines w:val="0"/>
              <w:pageBreakBefore w:val="0"/>
              <w:widowControl w:val="0"/>
              <w:kinsoku/>
              <w:wordWrap/>
              <w:overflowPunct/>
              <w:topLinePunct w:val="0"/>
              <w:autoSpaceDE/>
              <w:autoSpaceDN/>
              <w:bidi w:val="0"/>
              <w:adjustRightInd/>
              <w:snapToGrid/>
              <w:spacing w:after="0" w:line="300" w:lineRule="exact"/>
              <w:ind w:left="206" w:right="178"/>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w:t>
            </w:r>
            <w:r>
              <w:rPr>
                <w:rFonts w:hint="eastAsia" w:ascii="方正仿宋简体" w:hAnsi="方正仿宋简体" w:eastAsia="方正仿宋简体" w:cs="方正仿宋简体"/>
                <w:b w:val="0"/>
                <w:bCs w:val="0"/>
                <w:color w:val="auto"/>
                <w:spacing w:val="0"/>
                <w:w w:val="100"/>
                <w:kern w:val="21"/>
                <w:position w:val="0"/>
                <w:sz w:val="24"/>
                <w:szCs w:val="24"/>
              </w:rPr>
              <w:t>2024年</w:t>
            </w:r>
            <w:r>
              <w:rPr>
                <w:rFonts w:hint="eastAsia" w:ascii="方正仿宋简体" w:hAnsi="方正仿宋简体" w:eastAsia="方正仿宋简体" w:cs="方正仿宋简体"/>
                <w:b w:val="0"/>
                <w:bCs w:val="0"/>
                <w:color w:val="auto"/>
                <w:spacing w:val="0"/>
                <w:w w:val="100"/>
                <w:kern w:val="21"/>
                <w:position w:val="0"/>
                <w:sz w:val="24"/>
                <w:szCs w:val="24"/>
                <w:lang w:eastAsia="zh-CN"/>
              </w:rPr>
              <w:t>)</w:t>
            </w:r>
          </w:p>
        </w:tc>
        <w:tc>
          <w:tcPr>
            <w:tcW w:w="363" w:type="pct"/>
            <w:vMerge w:val="continue"/>
            <w:tcBorders>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方正仿宋简体" w:hAnsi="方正仿宋简体" w:eastAsia="方正仿宋简体" w:cs="方正仿宋简体"/>
                <w:b w:val="0"/>
                <w:bCs w:val="0"/>
                <w:color w:val="auto"/>
                <w:spacing w:val="0"/>
                <w:w w:val="100"/>
                <w:kern w:val="21"/>
                <w:position w:val="0"/>
                <w:sz w:val="24"/>
                <w:szCs w:val="24"/>
              </w:rPr>
            </w:pPr>
          </w:p>
        </w:tc>
      </w:tr>
      <w:tr>
        <w:tblPrEx>
          <w:tblCellMar>
            <w:top w:w="0" w:type="dxa"/>
            <w:left w:w="0" w:type="dxa"/>
            <w:bottom w:w="0" w:type="dxa"/>
            <w:right w:w="0" w:type="dxa"/>
          </w:tblCellMar>
        </w:tblPrEx>
        <w:trPr>
          <w:trHeight w:val="445" w:hRule="exact"/>
          <w:jc w:val="center"/>
        </w:trPr>
        <w:tc>
          <w:tcPr>
            <w:tcW w:w="25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w:t>
            </w:r>
          </w:p>
        </w:tc>
        <w:tc>
          <w:tcPr>
            <w:tcW w:w="6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许厂煤矿</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275.33</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3.43</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112.10</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19.24</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406.67</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406.67</w:t>
            </w:r>
          </w:p>
        </w:tc>
      </w:tr>
      <w:tr>
        <w:tblPrEx>
          <w:tblCellMar>
            <w:top w:w="0" w:type="dxa"/>
            <w:left w:w="0" w:type="dxa"/>
            <w:bottom w:w="0" w:type="dxa"/>
            <w:right w:w="0" w:type="dxa"/>
          </w:tblCellMar>
        </w:tblPrEx>
        <w:trPr>
          <w:trHeight w:val="484" w:hRule="exact"/>
          <w:jc w:val="center"/>
        </w:trPr>
        <w:tc>
          <w:tcPr>
            <w:tcW w:w="25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w:t>
            </w:r>
          </w:p>
        </w:tc>
        <w:tc>
          <w:tcPr>
            <w:tcW w:w="6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248.90</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134.73</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68.82</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27.21</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479.66</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127.61</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607.27</w:t>
            </w:r>
          </w:p>
        </w:tc>
      </w:tr>
      <w:tr>
        <w:tblPrEx>
          <w:tblCellMar>
            <w:top w:w="0" w:type="dxa"/>
            <w:left w:w="0" w:type="dxa"/>
            <w:bottom w:w="0" w:type="dxa"/>
            <w:right w:w="0" w:type="dxa"/>
          </w:tblCellMar>
        </w:tblPrEx>
        <w:trPr>
          <w:trHeight w:val="484" w:hRule="exact"/>
          <w:jc w:val="center"/>
        </w:trPr>
        <w:tc>
          <w:tcPr>
            <w:tcW w:w="25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w:t>
            </w:r>
          </w:p>
        </w:tc>
        <w:tc>
          <w:tcPr>
            <w:tcW w:w="6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田庄煤矿</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149.17</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1.07</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33.46</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182.63</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182.63</w:t>
            </w:r>
          </w:p>
        </w:tc>
      </w:tr>
      <w:tr>
        <w:trPr>
          <w:trHeight w:val="484" w:hRule="exact"/>
          <w:jc w:val="center"/>
        </w:trPr>
        <w:tc>
          <w:tcPr>
            <w:tcW w:w="25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w:t>
            </w:r>
          </w:p>
        </w:tc>
        <w:tc>
          <w:tcPr>
            <w:tcW w:w="6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杨村煤矿</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88.93</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66.58</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61.45</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39.57</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10.01</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160.39</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3.63</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164.02</w:t>
            </w:r>
          </w:p>
        </w:tc>
      </w:tr>
      <w:tr>
        <w:tblPrEx>
          <w:tblCellMar>
            <w:top w:w="0" w:type="dxa"/>
            <w:left w:w="0" w:type="dxa"/>
            <w:bottom w:w="0" w:type="dxa"/>
            <w:right w:w="0" w:type="dxa"/>
          </w:tblCellMar>
        </w:tblPrEx>
        <w:trPr>
          <w:trHeight w:val="484" w:hRule="exact"/>
          <w:jc w:val="center"/>
        </w:trPr>
        <w:tc>
          <w:tcPr>
            <w:tcW w:w="25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w:t>
            </w:r>
          </w:p>
        </w:tc>
        <w:tc>
          <w:tcPr>
            <w:tcW w:w="6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太平煤矿</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r>
      <w:tr>
        <w:trPr>
          <w:trHeight w:val="484" w:hRule="exact"/>
          <w:jc w:val="center"/>
        </w:trPr>
        <w:tc>
          <w:tcPr>
            <w:tcW w:w="25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w:t>
            </w:r>
          </w:p>
        </w:tc>
        <w:tc>
          <w:tcPr>
            <w:tcW w:w="6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横河煤矿</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r>
      <w:tr>
        <w:tblPrEx>
          <w:tblCellMar>
            <w:top w:w="0" w:type="dxa"/>
            <w:left w:w="0" w:type="dxa"/>
            <w:bottom w:w="0" w:type="dxa"/>
            <w:right w:w="0" w:type="dxa"/>
          </w:tblCellMar>
        </w:tblPrEx>
        <w:trPr>
          <w:trHeight w:val="484" w:hRule="exact"/>
          <w:jc w:val="center"/>
        </w:trPr>
        <w:tc>
          <w:tcPr>
            <w:tcW w:w="25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7</w:t>
            </w:r>
          </w:p>
        </w:tc>
        <w:tc>
          <w:tcPr>
            <w:tcW w:w="64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鲍店煤矿</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11.19</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11.19</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1.33</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12.52</w:t>
            </w:r>
          </w:p>
        </w:tc>
      </w:tr>
      <w:tr>
        <w:tblPrEx>
          <w:tblCellMar>
            <w:top w:w="0" w:type="dxa"/>
            <w:left w:w="0" w:type="dxa"/>
            <w:bottom w:w="0" w:type="dxa"/>
            <w:right w:w="0" w:type="dxa"/>
          </w:tblCellMar>
        </w:tblPrEx>
        <w:trPr>
          <w:trHeight w:val="484" w:hRule="exact"/>
          <w:jc w:val="center"/>
        </w:trPr>
        <w:tc>
          <w:tcPr>
            <w:tcW w:w="897" w:type="pct"/>
            <w:gridSpan w:val="2"/>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合计</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773.52</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71.08</w:t>
            </w:r>
          </w:p>
        </w:tc>
        <w:tc>
          <w:tcPr>
            <w:tcW w:w="311"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341.74</w:t>
            </w:r>
          </w:p>
        </w:tc>
        <w:tc>
          <w:tcPr>
            <w:tcW w:w="37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39.57</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98.07</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0.00</w:t>
            </w:r>
          </w:p>
        </w:tc>
        <w:tc>
          <w:tcPr>
            <w:tcW w:w="47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27.21</w:t>
            </w:r>
          </w:p>
        </w:tc>
        <w:tc>
          <w:tcPr>
            <w:tcW w:w="39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1240.54</w:t>
            </w:r>
          </w:p>
        </w:tc>
        <w:tc>
          <w:tcPr>
            <w:tcW w:w="537"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132.57</w:t>
            </w:r>
          </w:p>
        </w:tc>
        <w:tc>
          <w:tcPr>
            <w:tcW w:w="363"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1373.11</w:t>
            </w:r>
          </w:p>
        </w:tc>
      </w:tr>
    </w:tbl>
    <w:p>
      <w:pPr>
        <w:keepNext w:val="0"/>
        <w:keepLines w:val="0"/>
        <w:pageBreakBefore w:val="0"/>
        <w:widowControl w:val="0"/>
        <w:kinsoku/>
        <w:wordWrap/>
        <w:overflowPunct/>
        <w:topLinePunct w:val="0"/>
        <w:autoSpaceDE/>
        <w:autoSpaceDN/>
        <w:bidi w:val="0"/>
        <w:adjustRightInd/>
        <w:snapToGrid/>
        <w:spacing w:after="0"/>
        <w:jc w:val="both"/>
        <w:textAlignment w:val="auto"/>
        <w:rPr>
          <w:rFonts w:ascii="仿宋" w:hAnsi="仿宋" w:eastAsia="仿宋"/>
          <w:b w:val="0"/>
          <w:bCs w:val="0"/>
          <w:color w:val="auto"/>
          <w:spacing w:val="0"/>
          <w:w w:val="100"/>
          <w:kern w:val="21"/>
          <w:position w:val="0"/>
        </w:rPr>
        <w:sectPr>
          <w:footerReference r:id="rId11" w:type="even"/>
          <w:pgSz w:w="16840" w:h="11905" w:orient="landscape"/>
          <w:pgMar w:top="1531" w:right="1531" w:bottom="1531" w:left="1531" w:header="850" w:footer="1020" w:gutter="0"/>
          <w:pgNumType w:fmt="numberInDash"/>
          <w:cols w:space="0" w:num="1"/>
          <w:rtlGutter w:val="0"/>
          <w:docGrid w:linePitch="299" w:charSpace="0"/>
        </w:sect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第五章  重点工程与时序安排</w:t>
      </w:r>
    </w:p>
    <w:p>
      <w:pPr>
        <w:pStyle w:val="4"/>
        <w:keepNext w:val="0"/>
        <w:keepLines w:val="0"/>
        <w:pageBreakBefore w:val="0"/>
        <w:widowControl w:val="0"/>
        <w:kinsoku/>
        <w:wordWrap/>
        <w:overflowPunct/>
        <w:topLinePunct w:val="0"/>
        <w:autoSpaceDE/>
        <w:autoSpaceDN/>
        <w:bidi w:val="0"/>
        <w:adjustRightInd/>
        <w:snapToGrid/>
        <w:spacing w:before="0" w:beforeAutospacing="0" w:after="0" w:line="560" w:lineRule="exact"/>
        <w:contextualSpacing/>
        <w:jc w:val="center"/>
        <w:textAlignment w:val="auto"/>
        <w:rPr>
          <w:rFonts w:ascii="仿宋" w:hAnsi="仿宋" w:eastAsia="仿宋"/>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重点工程</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依据采煤塌陷地特点，结合经济、社会结构及区位优势，综合</w:t>
      </w:r>
      <w:r>
        <w:rPr>
          <w:rFonts w:hint="eastAsia" w:ascii="方正仿宋简体" w:hAnsi="方正仿宋简体" w:eastAsia="方正仿宋简体" w:cs="方正仿宋简体"/>
          <w:b w:val="0"/>
          <w:bCs w:val="0"/>
          <w:color w:val="auto"/>
          <w:spacing w:val="-6"/>
          <w:w w:val="100"/>
          <w:kern w:val="21"/>
          <w:position w:val="0"/>
          <w:sz w:val="32"/>
          <w:szCs w:val="32"/>
          <w:lang w:eastAsia="zh-CN"/>
        </w:rPr>
        <w:t>考虑发展定位和发展需求，确定规划期采煤塌陷地治理重点工</w:t>
      </w:r>
      <w:r>
        <w:rPr>
          <w:rFonts w:hint="eastAsia" w:ascii="方正仿宋简体" w:hAnsi="方正仿宋简体" w:eastAsia="方正仿宋简体" w:cs="方正仿宋简体"/>
          <w:b w:val="0"/>
          <w:bCs w:val="0"/>
          <w:color w:val="auto"/>
          <w:spacing w:val="0"/>
          <w:w w:val="100"/>
          <w:kern w:val="21"/>
          <w:position w:val="0"/>
          <w:sz w:val="32"/>
          <w:szCs w:val="32"/>
          <w:lang w:eastAsia="zh-CN"/>
        </w:rPr>
        <w:t>程。</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时序安排</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规划期共安排采煤塌陷地治理重点工程10个、总面积1069.81公顷。其中，2021年2个重点工程、153.22公顷；2022年5个重点工程、566.46公顷；2023—2025年3个重点工程、350.13公顷。展望期内，煤炭企业无详细开采计划，无法确定具体塌陷区域，本规划不列展望期重点工程。规划期重点工程和时序安排见专栏5。</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sectPr>
          <w:footerReference r:id="rId12" w:type="default"/>
          <w:footerReference r:id="rId13" w:type="even"/>
          <w:pgSz w:w="11905" w:h="16840"/>
          <w:pgMar w:top="2098" w:right="1474" w:bottom="1984" w:left="1587" w:header="850" w:footer="1587" w:gutter="0"/>
          <w:pgNumType w:fmt="numberInDash"/>
          <w:cols w:space="0" w:num="1"/>
          <w:rtlGutter w:val="0"/>
          <w:docGrid w:linePitch="299" w:charSpace="0"/>
        </w:sectPr>
      </w:pPr>
    </w:p>
    <w:tbl>
      <w:tblPr>
        <w:tblStyle w:val="7"/>
        <w:tblpPr w:leftFromText="180" w:rightFromText="180" w:vertAnchor="text" w:horzAnchor="page" w:tblpXSpec="center" w:tblpY="608"/>
        <w:tblOverlap w:val="never"/>
        <w:tblW w:w="5039" w:type="pct"/>
        <w:jc w:val="center"/>
        <w:tblLayout w:type="autofit"/>
        <w:tblCellMar>
          <w:top w:w="0" w:type="dxa"/>
          <w:left w:w="0" w:type="dxa"/>
          <w:bottom w:w="0" w:type="dxa"/>
          <w:right w:w="0" w:type="dxa"/>
        </w:tblCellMar>
      </w:tblPr>
      <w:tblGrid>
        <w:gridCol w:w="689"/>
        <w:gridCol w:w="1078"/>
        <w:gridCol w:w="1550"/>
        <w:gridCol w:w="6529"/>
        <w:gridCol w:w="1039"/>
        <w:gridCol w:w="1639"/>
        <w:gridCol w:w="1368"/>
      </w:tblGrid>
      <w:tr>
        <w:tblPrEx>
          <w:tblCellMar>
            <w:top w:w="0" w:type="dxa"/>
            <w:left w:w="0" w:type="dxa"/>
            <w:bottom w:w="0" w:type="dxa"/>
            <w:right w:w="0" w:type="dxa"/>
          </w:tblCellMar>
        </w:tblPrEx>
        <w:trPr>
          <w:trHeight w:val="517" w:hRule="exact"/>
          <w:jc w:val="center"/>
        </w:trPr>
        <w:tc>
          <w:tcPr>
            <w:tcW w:w="5000" w:type="pct"/>
            <w:gridSpan w:val="7"/>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tabs>
                <w:tab w:val="left" w:pos="5820"/>
              </w:tabs>
              <w:kinsoku/>
              <w:wordWrap/>
              <w:overflowPunct/>
              <w:topLinePunct w:val="0"/>
              <w:autoSpaceDE/>
              <w:autoSpaceDN/>
              <w:bidi w:val="0"/>
              <w:adjustRightInd/>
              <w:snapToGrid/>
              <w:spacing w:after="0" w:line="274" w:lineRule="exact"/>
              <w:ind w:left="4257" w:right="3605"/>
              <w:jc w:val="center"/>
              <w:textAlignment w:val="auto"/>
              <w:rPr>
                <w:rFonts w:hint="eastAsia" w:ascii="方正黑体简体" w:hAnsi="方正黑体简体" w:eastAsia="方正黑体简体" w:cs="方正黑体简体"/>
                <w:b w:val="0"/>
                <w:bCs w:val="0"/>
                <w:color w:val="auto"/>
                <w:spacing w:val="0"/>
                <w:w w:val="100"/>
                <w:kern w:val="21"/>
                <w:position w:val="0"/>
                <w:sz w:val="24"/>
                <w:szCs w:val="24"/>
                <w:lang w:eastAsia="zh-CN"/>
              </w:rPr>
            </w:pPr>
            <w:r>
              <w:rPr>
                <w:rFonts w:hint="eastAsia" w:ascii="方正黑体简体" w:hAnsi="方正黑体简体" w:eastAsia="方正黑体简体" w:cs="方正黑体简体"/>
                <w:b w:val="0"/>
                <w:bCs w:val="0"/>
                <w:color w:val="auto"/>
                <w:spacing w:val="0"/>
                <w:w w:val="100"/>
                <w:kern w:val="21"/>
                <w:position w:val="0"/>
                <w:sz w:val="24"/>
                <w:szCs w:val="24"/>
                <w:lang w:eastAsia="zh-CN"/>
              </w:rPr>
              <w:t>专栏5济宁高新区规划期采煤塌陷地治理重点工程</w:t>
            </w:r>
          </w:p>
        </w:tc>
      </w:tr>
      <w:tr>
        <w:tblPrEx>
          <w:tblCellMar>
            <w:top w:w="0" w:type="dxa"/>
            <w:left w:w="0" w:type="dxa"/>
            <w:bottom w:w="0" w:type="dxa"/>
            <w:right w:w="0" w:type="dxa"/>
          </w:tblCellMar>
        </w:tblPrEx>
        <w:trPr>
          <w:trHeight w:val="610"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序号</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年份</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矿区名称</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重点工程名称</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面积</w:t>
            </w:r>
          </w:p>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/公顷</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治理模式</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投资估算</w:t>
            </w:r>
          </w:p>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/万元</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2021</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田庄煤矿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济宁高新区王因街道沙河等三村采煤塌陷地治理项目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89.84</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土地复垦</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1717.65</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2021</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许厂煤矿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11"/>
                <w:w w:val="100"/>
                <w:kern w:val="21"/>
                <w:position w:val="0"/>
                <w:sz w:val="24"/>
                <w:szCs w:val="24"/>
                <w:lang w:eastAsia="zh-CN"/>
              </w:rPr>
              <w:t>济宁高新区柳行街道办事处郭厂等四村采煤塌陷地综合治理项目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63.38</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rPr>
              <w:t>土地复垦</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4435.32</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3</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w:t>
            </w:r>
            <w:r>
              <w:rPr>
                <w:rFonts w:hint="eastAsia" w:ascii="方正仿宋简体" w:hAnsi="方正仿宋简体" w:eastAsia="方正仿宋简体" w:cs="方正仿宋简体"/>
                <w:b w:val="0"/>
                <w:bCs w:val="0"/>
                <w:color w:val="auto"/>
                <w:spacing w:val="0"/>
                <w:w w:val="100"/>
                <w:kern w:val="21"/>
                <w:position w:val="0"/>
                <w:sz w:val="24"/>
                <w:szCs w:val="24"/>
                <w:lang w:eastAsia="zh-CN"/>
              </w:rPr>
              <w:t>2</w:t>
            </w:r>
            <w:r>
              <w:rPr>
                <w:rFonts w:hint="eastAsia" w:ascii="方正仿宋简体" w:hAnsi="方正仿宋简体" w:eastAsia="方正仿宋简体" w:cs="方正仿宋简体"/>
                <w:b w:val="0"/>
                <w:bCs w:val="0"/>
                <w:color w:val="auto"/>
                <w:spacing w:val="0"/>
                <w:w w:val="100"/>
                <w:kern w:val="21"/>
                <w:position w:val="0"/>
                <w:sz w:val="24"/>
                <w:szCs w:val="24"/>
              </w:rPr>
              <w:t>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许厂煤矿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济宁高新区黄屯镇丁庄等四村采煤塌陷地综合治理项目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66.04</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土地复垦</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4255.00</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4</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w:t>
            </w:r>
            <w:r>
              <w:rPr>
                <w:rFonts w:hint="eastAsia" w:ascii="方正仿宋简体" w:hAnsi="方正仿宋简体" w:eastAsia="方正仿宋简体" w:cs="方正仿宋简体"/>
                <w:b w:val="0"/>
                <w:bCs w:val="0"/>
                <w:color w:val="auto"/>
                <w:spacing w:val="0"/>
                <w:w w:val="100"/>
                <w:kern w:val="21"/>
                <w:position w:val="0"/>
                <w:sz w:val="24"/>
                <w:szCs w:val="24"/>
                <w:lang w:eastAsia="zh-CN"/>
              </w:rPr>
              <w:t>2</w:t>
            </w:r>
            <w:r>
              <w:rPr>
                <w:rFonts w:hint="eastAsia" w:ascii="方正仿宋简体" w:hAnsi="方正仿宋简体" w:eastAsia="方正仿宋简体" w:cs="方正仿宋简体"/>
                <w:b w:val="0"/>
                <w:bCs w:val="0"/>
                <w:color w:val="auto"/>
                <w:spacing w:val="0"/>
                <w:w w:val="100"/>
                <w:kern w:val="21"/>
                <w:position w:val="0"/>
                <w:sz w:val="24"/>
                <w:szCs w:val="24"/>
              </w:rPr>
              <w:t>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杨村煤矿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兖州煤业股份有限公司杨村煤矿寺上等村采煤塌陷地治理项目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131.82</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土地复垦</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2212.70</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5</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w:t>
            </w:r>
            <w:r>
              <w:rPr>
                <w:rFonts w:hint="eastAsia" w:ascii="方正仿宋简体" w:hAnsi="方正仿宋简体" w:eastAsia="方正仿宋简体" w:cs="方正仿宋简体"/>
                <w:b w:val="0"/>
                <w:bCs w:val="0"/>
                <w:color w:val="auto"/>
                <w:spacing w:val="0"/>
                <w:w w:val="100"/>
                <w:kern w:val="21"/>
                <w:position w:val="0"/>
                <w:sz w:val="24"/>
                <w:szCs w:val="24"/>
                <w:lang w:eastAsia="zh-CN"/>
              </w:rPr>
              <w:t>2</w:t>
            </w:r>
            <w:r>
              <w:rPr>
                <w:rFonts w:hint="eastAsia" w:ascii="方正仿宋简体" w:hAnsi="方正仿宋简体" w:eastAsia="方正仿宋简体" w:cs="方正仿宋简体"/>
                <w:b w:val="0"/>
                <w:bCs w:val="0"/>
                <w:color w:val="auto"/>
                <w:spacing w:val="0"/>
                <w:w w:val="100"/>
                <w:kern w:val="21"/>
                <w:position w:val="0"/>
                <w:sz w:val="24"/>
                <w:szCs w:val="24"/>
              </w:rPr>
              <w:t>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田庄煤矿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济宁高新区田庄煤矿王因街道街头等三村采煤塌陷地治理项目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128.58</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土地复垦</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2438.26</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6</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w:t>
            </w:r>
            <w:r>
              <w:rPr>
                <w:rFonts w:hint="eastAsia" w:ascii="方正仿宋简体" w:hAnsi="方正仿宋简体" w:eastAsia="方正仿宋简体" w:cs="方正仿宋简体"/>
                <w:b w:val="0"/>
                <w:bCs w:val="0"/>
                <w:color w:val="auto"/>
                <w:spacing w:val="0"/>
                <w:w w:val="100"/>
                <w:kern w:val="21"/>
                <w:position w:val="0"/>
                <w:sz w:val="24"/>
                <w:szCs w:val="24"/>
                <w:lang w:eastAsia="zh-CN"/>
              </w:rPr>
              <w:t>2</w:t>
            </w:r>
            <w:r>
              <w:rPr>
                <w:rFonts w:hint="eastAsia" w:ascii="方正仿宋简体" w:hAnsi="方正仿宋简体" w:eastAsia="方正仿宋简体" w:cs="方正仿宋简体"/>
                <w:b w:val="0"/>
                <w:bCs w:val="0"/>
                <w:color w:val="auto"/>
                <w:spacing w:val="0"/>
                <w:w w:val="100"/>
                <w:kern w:val="21"/>
                <w:position w:val="0"/>
                <w:sz w:val="24"/>
                <w:szCs w:val="24"/>
              </w:rPr>
              <w:t>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济宁高新区十里营、大屯两村采煤塌陷地预治理项目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179.57</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生态治理</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6971.57</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w:t>
            </w:r>
            <w:r>
              <w:rPr>
                <w:rFonts w:hint="eastAsia" w:ascii="方正仿宋简体" w:hAnsi="方正仿宋简体" w:eastAsia="方正仿宋简体" w:cs="方正仿宋简体"/>
                <w:b w:val="0"/>
                <w:bCs w:val="0"/>
                <w:color w:val="auto"/>
                <w:spacing w:val="0"/>
                <w:w w:val="100"/>
                <w:kern w:val="21"/>
                <w:position w:val="0"/>
                <w:sz w:val="24"/>
                <w:szCs w:val="24"/>
                <w:lang w:eastAsia="zh-CN"/>
              </w:rPr>
              <w:t>2</w:t>
            </w:r>
            <w:r>
              <w:rPr>
                <w:rFonts w:hint="eastAsia" w:ascii="方正仿宋简体" w:hAnsi="方正仿宋简体" w:eastAsia="方正仿宋简体" w:cs="方正仿宋简体"/>
                <w:b w:val="0"/>
                <w:bCs w:val="0"/>
                <w:color w:val="auto"/>
                <w:spacing w:val="0"/>
                <w:w w:val="100"/>
                <w:kern w:val="21"/>
                <w:position w:val="0"/>
                <w:sz w:val="24"/>
                <w:szCs w:val="24"/>
              </w:rPr>
              <w:t>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杨村煤矿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济宁高新区王因街道后韩等村采煤塌陷地治理项目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60.45</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土地复垦</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1326.62</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8</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11"/>
                <w:w w:val="100"/>
                <w:kern w:val="21"/>
                <w:position w:val="0"/>
                <w:sz w:val="24"/>
                <w:szCs w:val="24"/>
                <w:lang w:eastAsia="zh-CN"/>
              </w:rPr>
              <w:t>山东里能鲁宁发展有限公司四分厂南三角采煤塌陷地综合治理项目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34.79</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生态治理</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678.37</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9</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济宁高新区接庄街道十里营等4村采煤塌陷地综合治理项目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190.96</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生态治理</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4727.13</w:t>
            </w:r>
          </w:p>
        </w:tc>
      </w:tr>
      <w:tr>
        <w:tblPrEx>
          <w:tblCellMar>
            <w:top w:w="0" w:type="dxa"/>
            <w:left w:w="0" w:type="dxa"/>
            <w:bottom w:w="0" w:type="dxa"/>
            <w:right w:w="0" w:type="dxa"/>
          </w:tblCellMar>
        </w:tblPrEx>
        <w:trPr>
          <w:trHeight w:val="454" w:hRule="exact"/>
          <w:jc w:val="center"/>
        </w:trPr>
        <w:tc>
          <w:tcPr>
            <w:tcW w:w="24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10</w:t>
            </w:r>
          </w:p>
        </w:tc>
        <w:tc>
          <w:tcPr>
            <w:tcW w:w="38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2023年</w:t>
            </w:r>
          </w:p>
        </w:tc>
        <w:tc>
          <w:tcPr>
            <w:tcW w:w="558"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济宁二号煤矿</w:t>
            </w:r>
          </w:p>
        </w:tc>
        <w:tc>
          <w:tcPr>
            <w:tcW w:w="234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济宁高新区接庄街道前铺等6村采煤塌陷地综合治理项目</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124.38</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生态治理</w:t>
            </w: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2989.76</w:t>
            </w:r>
          </w:p>
        </w:tc>
      </w:tr>
      <w:tr>
        <w:tblPrEx>
          <w:tblCellMar>
            <w:top w:w="0" w:type="dxa"/>
            <w:left w:w="0" w:type="dxa"/>
            <w:bottom w:w="0" w:type="dxa"/>
            <w:right w:w="0" w:type="dxa"/>
          </w:tblCellMar>
        </w:tblPrEx>
        <w:trPr>
          <w:trHeight w:val="310" w:hRule="exact"/>
          <w:jc w:val="center"/>
        </w:trPr>
        <w:tc>
          <w:tcPr>
            <w:tcW w:w="3544" w:type="pct"/>
            <w:gridSpan w:val="4"/>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r>
              <w:rPr>
                <w:rFonts w:hint="eastAsia" w:ascii="方正仿宋简体" w:hAnsi="方正仿宋简体" w:eastAsia="方正仿宋简体" w:cs="方正仿宋简体"/>
                <w:b w:val="0"/>
                <w:bCs w:val="0"/>
                <w:color w:val="auto"/>
                <w:spacing w:val="0"/>
                <w:w w:val="100"/>
                <w:kern w:val="21"/>
                <w:position w:val="0"/>
                <w:sz w:val="24"/>
                <w:szCs w:val="24"/>
              </w:rPr>
              <w:t>合计</w:t>
            </w:r>
          </w:p>
        </w:tc>
        <w:tc>
          <w:tcPr>
            <w:tcW w:w="374"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1069.81</w:t>
            </w:r>
          </w:p>
        </w:tc>
        <w:tc>
          <w:tcPr>
            <w:tcW w:w="590"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rPr>
            </w:pPr>
          </w:p>
        </w:tc>
        <w:tc>
          <w:tcPr>
            <w:tcW w:w="489" w:type="pct"/>
            <w:tcBorders>
              <w:top w:val="single" w:color="000000" w:sz="2" w:space="0"/>
              <w:left w:val="single" w:color="000000" w:sz="2" w:space="0"/>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after="0" w:line="240" w:lineRule="auto"/>
              <w:contextualSpacing/>
              <w:jc w:val="center"/>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31752.38</w:t>
            </w:r>
          </w:p>
        </w:tc>
      </w:tr>
    </w:tbl>
    <w:p>
      <w:pPr>
        <w:pStyle w:val="2"/>
        <w:rPr>
          <w:lang w:eastAsia="zh-CN"/>
        </w:rPr>
      </w:pPr>
    </w:p>
    <w:p>
      <w:pPr>
        <w:keepNext w:val="0"/>
        <w:keepLines w:val="0"/>
        <w:pageBreakBefore w:val="0"/>
        <w:widowControl w:val="0"/>
        <w:kinsoku/>
        <w:wordWrap/>
        <w:overflowPunct/>
        <w:topLinePunct w:val="0"/>
        <w:autoSpaceDE/>
        <w:autoSpaceDN/>
        <w:bidi w:val="0"/>
        <w:adjustRightInd/>
        <w:snapToGrid/>
        <w:spacing w:after="0"/>
        <w:jc w:val="both"/>
        <w:textAlignment w:val="auto"/>
        <w:rPr>
          <w:rFonts w:ascii="仿宋" w:hAnsi="仿宋" w:eastAsia="仿宋"/>
          <w:b w:val="0"/>
          <w:bCs w:val="0"/>
          <w:color w:val="auto"/>
          <w:spacing w:val="0"/>
          <w:w w:val="100"/>
          <w:kern w:val="21"/>
          <w:position w:val="0"/>
        </w:rPr>
        <w:sectPr>
          <w:footerReference r:id="rId14" w:type="default"/>
          <w:pgSz w:w="16840" w:h="11905" w:orient="landscape"/>
          <w:pgMar w:top="1531" w:right="1531" w:bottom="1531" w:left="1531" w:header="850" w:footer="1134" w:gutter="0"/>
          <w:pgNumType w:fmt="numberInDash"/>
          <w:cols w:space="0" w:num="1"/>
          <w:rtlGutter w:val="0"/>
          <w:docGrid w:linePitch="299" w:charSpace="0"/>
        </w:sect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第六章  投资估算与效益分析</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投资估算</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规划期内，济宁高新区需治理采煤塌陷地1373.11公顷，投资估算为44566.48万元，平均投资32.46万元/公顷。主要来源为：一是煤炭企业依法履行采煤塌陷地治理义务投入的资金；二是治理历史遗留采煤塌陷地各级财政投入的资金；三是鼓励和引导社会主体参与治理投入的资金。</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效益分析</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一、社会效益</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（一）恢复有效耕地。结合土壤改良和生态修复技术、配套设施工程等，提高采煤塌陷区土壤质量和农业生产条件，有效保障耕地数量和质量以及区域粮食安全。</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（二）维护群众权益。通过采煤塌陷耕地复垦，保住农民生存之本，保障其切身权益，解决后顾之忧，促进社会和谐稳定。</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（三）实现多元发展。通过综合治理，因地制宜引入和发展多元产业，实现塌陷区从传统农业向多元化产业的协调发展，促</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进区域产业结构优化调整。如打造“采煤塌陷地+光伏”基地，推动新能源产业发展，促进“双碳目标实现”；与全域土地综合整治、城镇低效用地再开发等有机融合，助力生态文明建设、乡村振兴和行业转型升级，助推区域高质量发展。</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二、生态效益</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（一）通过矿区地质环境治理、地形地貌重塑、植被重建等生态修复治理，盘活矿区自然资源，有效推动黄河流域生态保护与高质量发展重大国家战略在本地区的实施。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（二）通过环境保护工程，提升矿区及周边的生态条件，增加环境容量指数，并净化水质、大气，改善区域小气候，重现碧水蓝天，营造宜居环境，形成良好稳定的生态系统。</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三）通过生态治理和其他治理项目中的生态工程，采煤矿区植被覆盖率将大幅提高，水体、土体质量将有明显提升，优良的自然环境将吸引周边动物群落的回迁，原生微生物群落也将重新构建，区域内物质与能量流动将逐步恢复正常，生物群落达到动态平衡。</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四）通过土地平整、水利工程、道路工程、农田防护林和水源涵养等工程措施的实施，采煤塌陷地内的水土流失问题将得到缓解，对病虫害和风沙、旱涝等自然灾害的抵御能力将稳步增强，提升土地生产力，形成有利于农业生产的生态环境。</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三、经济效益</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通过治理恢复大量耕地，直接提高农民收入。通过渔业治理，可充分利用积水采煤塌陷地，有效提高当地居民收入。对部分区域进行产业治理，可增加当地财政和群众收入。另外，随着采煤塌陷地生态环境的改善，城市周边土地也会明显增值。</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第七章  环境影响分析</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规划实施对环境的有利影响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一、农业及农业生产影响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本次规划将通过各类工程和生态措施，使采煤塌陷地表恢复平整，同步改善土壤的物理、化学和微生物条件，提高地力，完善基础设施配套水平，使采煤塌陷的土地恢复其本来的耕种作用。</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二、生态及居住环境影响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随着采煤塌陷地综合治理项目的实施，将解决采煤造成的水体、土壤、大气等环境污染问题，并通过生态修复和水质净化工程美化环境，改良生态系统，形成宜农、宜建、宜游、宜居和宜发展的人与自然环境和谐发展友好关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规划实施对环境的不利影响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一、大气环境影响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施工期主要的大气污染源包括：装卸扬尘、运输道路扬尘等。施工作业现场距周围居民点较近时，作业车辆排放的尾气和道路扬尘，使局部大气质量有所下降。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二、水环境影响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工程开挖碎石土和砂石料冲洗废水的排放将增加水体泥沙的含量，在枯水季节水体的泥沙含量有所增加。工程施工所产生的含油污废水如处理不当，可能对局部地表水及地下水产生暂时性污染。建设中，如外来填充物选择不当或施工向周边排水，可能对项目及周边区域地表水质或地下水质造成短暂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三、声环境影响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在现场施工期间，机械噪声对作业人员有一定程度的不利影响。有些施工机械噪声超过劳动卫生标准，需实施相应的劳动卫生防护措施。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四、生物环境影响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对采煤塌陷地进行综合整治和开发利用一定程度上将改变部分土地利用性质，破坏其地质地貌和生物群落，对治理区范围内的动植物及微生物的生长、分布、栖息和活动产生不利影响。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五、生态格局影响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contextualSpacing/>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规模性、系统性实施采煤塌陷地综合治理是对地表景观的一次重新构建，将可能导致现有生态景观格局的改变。</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第三节  对环境不利影响的防治措施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一、大气环境影响防范措施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严格落实施工过程环保措施，必要区域增加围挡，按要求进行喷洒，严控运输、装卸和施工对大气环境的影响。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二、水环境影响防范措施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工程施工废水和生活污水垃圾，严格按照相关规定进行处理后外运，降低规划实施对水环境的影响；严控充填物料质量，确保不含污染成分，对施工排水合理设计，水质差的不外排，确保河流入湖口控制断面水质应当达到国家地表水环境质量有关水质标准。</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三、声环境影响防范措施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施工噪声对环境的不利影响是可逆的短期行为，通过合理安排作业时间，采取适当的消音措施，尽可能减轻施工噪声对社会环境和人群健康的影响。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四、生物环境破坏防范措施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增施有机肥或种植绿肥，增加土壤有机质含量，减缓因土地平整造成的影响。恢复耕地的，合理控制建设高程、布设排水工程，防范次生盐渍化问题，保证治理质量。同时，沟渠尽量不加衬砌，增加地下水渗漏，保证一定数量的亲水生物的存活。在沟渠与路相交处合理设置涵管、过路桥等建筑，为动物迁徙提供通道。道路、沟渠、河流等线状工程两侧设置植被绿化带，形成生态廊道，减少对生物多样性的影响。</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contextualSpacing/>
        <w:jc w:val="both"/>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五、生态格局破坏防范措施</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注重生态景观的合理布设，实现社会效益、经济效益和生态效益的有机统一，将现有生态景观提升为更高层次生态景观。同时，对遭受破坏程度较轻的区域，尊重历史，尊重传统，在治理中以恢复原貌为主，尽量减轻因治理对生态景观的改变。</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leftChars="0" w:right="0"/>
        <w:jc w:val="center"/>
        <w:textAlignment w:val="auto"/>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pPr>
      <w:r>
        <w:rPr>
          <w:rFonts w:hint="eastAsia" w:ascii="方正小标宋简体" w:hAnsi="方正小标宋简体" w:eastAsia="方正小标宋简体" w:cs="方正小标宋简体"/>
          <w:b w:val="0"/>
          <w:bCs w:val="0"/>
          <w:color w:val="auto"/>
          <w:spacing w:val="0"/>
          <w:w w:val="100"/>
          <w:kern w:val="21"/>
          <w:position w:val="0"/>
          <w:sz w:val="32"/>
          <w:szCs w:val="32"/>
          <w:lang w:eastAsia="zh-CN"/>
        </w:rPr>
        <w:t>第八章  保障措施</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第一节  加强组织领导</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强化监管职能，做到科学决策和合理安排。明确各级各部门和煤炭企业责任，加强协调，建立自然资源部门搭台、多部门协作、矿山企业落实、公众广泛参与的组织协调工作机制，推动各项任务目标和重点工程的落实。构建对煤炭企业的联动执法机制，全方位依法监管矿山企业履行采煤塌陷地综合治理主体责任。</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第二节  完善管理机制</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建立健全规划实施评估和绩效评价机制，保障规划的指导性和约束力，适时进行滚动修编，确保各项任务落到实处。建立重大治理工程动态调整机制，强化重点工程保障与监督，保障要素需求、资金需求、政策需求，确保重点工程按期高质量完成、取得良好效益、发挥示范效应。建立健全奖惩机制，制定针对性奖惩措施，对重点工程推进力度大、成效突出的乡镇街道和相关企业</w:t>
      </w:r>
      <w:r>
        <w:rPr>
          <w:rFonts w:hint="eastAsia" w:ascii="方正仿宋简体" w:hAnsi="方正仿宋简体" w:eastAsia="方正仿宋简体" w:cs="方正仿宋简体"/>
          <w:b w:val="0"/>
          <w:bCs w:val="0"/>
          <w:color w:val="auto"/>
          <w:spacing w:val="-6"/>
          <w:w w:val="100"/>
          <w:kern w:val="21"/>
          <w:position w:val="0"/>
          <w:sz w:val="32"/>
          <w:szCs w:val="32"/>
          <w:lang w:eastAsia="zh-CN"/>
        </w:rPr>
        <w:t>给予通报表扬，对工作不力、进度缓慢的予以通报、约谈或问</w:t>
      </w:r>
      <w:r>
        <w:rPr>
          <w:rFonts w:hint="eastAsia" w:ascii="方正仿宋简体" w:hAnsi="方正仿宋简体" w:eastAsia="方正仿宋简体" w:cs="方正仿宋简体"/>
          <w:b w:val="0"/>
          <w:bCs w:val="0"/>
          <w:color w:val="auto"/>
          <w:spacing w:val="0"/>
          <w:w w:val="100"/>
          <w:kern w:val="21"/>
          <w:position w:val="0"/>
          <w:sz w:val="32"/>
          <w:szCs w:val="32"/>
          <w:lang w:eastAsia="zh-CN"/>
        </w:rPr>
        <w:t>责。</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第三节  加大治理投入</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煤炭企业按《土地复垦条例实施办法》（2019年修正）第二十条规定采矿生产项目的土地复垦费用预存，统一纳入矿山地质环境治理恢复基金进行管理；按《山东省采煤塌陷地综合治理工作方案》（鲁政办字〔2015〕180号）规定，可计提采煤塌陷地综合治理费，保障治理投入。此外，应探索建立吸引社会资金投入的机制，提升治理的投入水平。</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第四节  科技创新</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强化科技支撑，依托高校科研院所，开展未稳沉采煤塌陷地治理研究，实施“边采边治”工程，探索建立未稳沉塌陷地动态治理全过程技术规范，指导未稳沉采煤塌陷地治理；围绕采煤塌陷地综合治理提供生态产品、实现生态机制，探索形成生态修复的有效路径；探索发展新能源产业，建设“采煤塌陷地+光伏”基地，提高采煤塌陷地治理综合效益。</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eastAsia" w:ascii="方正楷体简体" w:hAnsi="方正楷体简体" w:eastAsia="方正楷体简体" w:cs="方正楷体简体"/>
          <w:b w:val="0"/>
          <w:bCs w:val="0"/>
          <w:color w:val="auto"/>
          <w:spacing w:val="0"/>
          <w:w w:val="100"/>
          <w:kern w:val="21"/>
          <w:position w:val="0"/>
          <w:sz w:val="32"/>
          <w:szCs w:val="32"/>
          <w:lang w:eastAsia="zh-CN"/>
        </w:rPr>
      </w:pPr>
      <w:r>
        <w:rPr>
          <w:rFonts w:hint="eastAsia" w:ascii="方正楷体简体" w:hAnsi="方正楷体简体" w:eastAsia="方正楷体简体" w:cs="方正楷体简体"/>
          <w:b w:val="0"/>
          <w:bCs w:val="0"/>
          <w:color w:val="auto"/>
          <w:spacing w:val="0"/>
          <w:w w:val="100"/>
          <w:kern w:val="21"/>
          <w:position w:val="0"/>
          <w:sz w:val="32"/>
          <w:szCs w:val="32"/>
          <w:lang w:eastAsia="zh-CN"/>
        </w:rPr>
        <w:t>第五节  公众参与</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pPr>
      <w:r>
        <w:rPr>
          <w:rFonts w:hint="eastAsia" w:ascii="方正仿宋简体" w:hAnsi="方正仿宋简体" w:eastAsia="方正仿宋简体" w:cs="方正仿宋简体"/>
          <w:b w:val="0"/>
          <w:bCs w:val="0"/>
          <w:color w:val="auto"/>
          <w:spacing w:val="0"/>
          <w:w w:val="100"/>
          <w:kern w:val="21"/>
          <w:position w:val="0"/>
          <w:sz w:val="32"/>
          <w:szCs w:val="32"/>
          <w:lang w:eastAsia="zh-CN"/>
        </w:rPr>
        <w:t>综合运用各类宣传渠道，提高公众知情权、参与度。强化公示、公告制度，充分听取公众意见。鼓励和引导公众参与规划实施的监督，确保规划实施绩效。对涉及农民切身利益的规划调整与修改等内容，应按照法定程序，组织村民参与，广泛听取公众和相关权利人的意见，切实保障相关权利人的合法权益。</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jc w:val="both"/>
        <w:textAlignment w:val="auto"/>
        <w:rPr>
          <w:rFonts w:hint="eastAsia" w:ascii="方正仿宋简体" w:hAnsi="方正仿宋简体" w:eastAsia="方正仿宋简体" w:cs="方正仿宋简体"/>
          <w:b w:val="0"/>
          <w:bCs w:val="0"/>
          <w:color w:val="auto"/>
          <w:spacing w:val="0"/>
          <w:w w:val="100"/>
          <w:kern w:val="21"/>
          <w:position w:val="0"/>
          <w:sz w:val="32"/>
          <w:szCs w:val="32"/>
          <w:lang w:eastAsia="zh-CN"/>
        </w:rPr>
        <w:sectPr>
          <w:footerReference r:id="rId15" w:type="default"/>
          <w:pgSz w:w="11905" w:h="16840"/>
          <w:pgMar w:top="2098" w:right="1474" w:bottom="1984" w:left="1587" w:header="850" w:footer="1587" w:gutter="0"/>
          <w:pgNumType w:fmt="numberInDash"/>
          <w:cols w:space="0" w:num="1"/>
          <w:rtlGutter w:val="0"/>
          <w:docGrid w:linePitch="299" w:charSpace="0"/>
        </w:sect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contextualSpacing/>
        <w:jc w:val="center"/>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right="0"/>
        <w:contextualSpacing/>
        <w:jc w:val="center"/>
        <w:textAlignment w:val="auto"/>
        <w:rPr>
          <w:rFonts w:hint="eastAsia" w:ascii="方正黑体简体" w:hAnsi="方正黑体简体" w:eastAsia="方正黑体简体" w:cs="方正黑体简体"/>
          <w:b w:val="0"/>
          <w:bCs w:val="0"/>
          <w:color w:val="auto"/>
          <w:spacing w:val="0"/>
          <w:w w:val="100"/>
          <w:kern w:val="21"/>
          <w:position w:val="0"/>
          <w:sz w:val="32"/>
          <w:szCs w:val="32"/>
          <w:lang w:eastAsia="zh-CN"/>
        </w:rPr>
      </w:pPr>
      <w:r>
        <w:rPr>
          <w:rFonts w:hint="eastAsia" w:ascii="方正黑体简体" w:hAnsi="方正黑体简体" w:eastAsia="方正黑体简体" w:cs="方正黑体简体"/>
          <w:b w:val="0"/>
          <w:bCs w:val="0"/>
          <w:color w:val="auto"/>
          <w:spacing w:val="0"/>
          <w:w w:val="100"/>
          <w:kern w:val="21"/>
          <w:position w:val="0"/>
          <w:sz w:val="32"/>
          <w:szCs w:val="32"/>
          <w:lang w:eastAsia="zh-CN"/>
        </w:rPr>
        <w:t>附表1  济宁高新区采煤塌陷损毁地类预测表（2021-2025年）</w:t>
      </w:r>
    </w:p>
    <w:p>
      <w:pPr>
        <w:keepNext w:val="0"/>
        <w:keepLines w:val="0"/>
        <w:pageBreakBefore w:val="0"/>
        <w:widowControl w:val="0"/>
        <w:kinsoku/>
        <w:wordWrap/>
        <w:overflowPunct/>
        <w:topLinePunct w:val="0"/>
        <w:autoSpaceDE/>
        <w:autoSpaceDN/>
        <w:bidi w:val="0"/>
        <w:adjustRightInd/>
        <w:snapToGrid/>
        <w:spacing w:beforeAutospacing="0" w:after="0" w:afterAutospacing="0" w:line="560" w:lineRule="exact"/>
        <w:ind w:left="0" w:right="0" w:firstLine="624"/>
        <w:jc w:val="right"/>
        <w:textAlignment w:val="auto"/>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单位：公顷</w:t>
      </w:r>
    </w:p>
    <w:tbl>
      <w:tblPr>
        <w:tblStyle w:val="7"/>
        <w:tblW w:w="5026" w:type="pct"/>
        <w:jc w:val="center"/>
        <w:tblLayout w:type="autofit"/>
        <w:tblCellMar>
          <w:top w:w="0" w:type="dxa"/>
          <w:left w:w="0" w:type="dxa"/>
          <w:bottom w:w="0" w:type="dxa"/>
          <w:right w:w="0" w:type="dxa"/>
        </w:tblCellMar>
      </w:tblPr>
      <w:tblGrid>
        <w:gridCol w:w="1237"/>
        <w:gridCol w:w="1833"/>
        <w:gridCol w:w="1201"/>
        <w:gridCol w:w="1059"/>
        <w:gridCol w:w="1068"/>
        <w:gridCol w:w="1670"/>
        <w:gridCol w:w="1758"/>
        <w:gridCol w:w="2213"/>
        <w:gridCol w:w="1817"/>
      </w:tblGrid>
      <w:tr>
        <w:tblPrEx>
          <w:tblCellMar>
            <w:top w:w="0" w:type="dxa"/>
            <w:left w:w="0" w:type="dxa"/>
            <w:bottom w:w="0" w:type="dxa"/>
            <w:right w:w="0" w:type="dxa"/>
          </w:tblCellMar>
        </w:tblPrEx>
        <w:trPr>
          <w:trHeight w:val="643" w:hRule="exact"/>
          <w:jc w:val="center"/>
        </w:trPr>
        <w:tc>
          <w:tcPr>
            <w:tcW w:w="446" w:type="pct"/>
            <w:tcBorders>
              <w:top w:val="single" w:color="auto" w:sz="4" w:space="0"/>
              <w:left w:val="single" w:color="auto" w:sz="4" w:space="0"/>
              <w:bottom w:val="single" w:color="auto" w:sz="4" w:space="0"/>
              <w:right w:val="single" w:color="auto" w:sz="4" w:space="0"/>
            </w:tcBorders>
            <w:vAlign w:val="center"/>
          </w:tcPr>
          <w:p>
            <w:pPr>
              <w:autoSpaceDN w:val="0"/>
              <w:spacing w:after="0" w:line="244" w:lineRule="exact"/>
              <w:ind w:right="-20"/>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年份</w:t>
            </w:r>
          </w:p>
        </w:tc>
        <w:tc>
          <w:tcPr>
            <w:tcW w:w="661" w:type="pct"/>
            <w:tcBorders>
              <w:top w:val="single" w:color="000000" w:sz="2" w:space="0"/>
              <w:left w:val="single" w:color="auto" w:sz="4"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城镇住宅用地</w:t>
            </w:r>
          </w:p>
        </w:tc>
        <w:tc>
          <w:tcPr>
            <w:tcW w:w="433" w:type="pct"/>
            <w:tcBorders>
              <w:top w:val="single" w:color="000000" w:sz="2" w:space="0"/>
              <w:left w:val="single" w:color="000000" w:sz="2"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耕地</w:t>
            </w:r>
          </w:p>
        </w:tc>
        <w:tc>
          <w:tcPr>
            <w:tcW w:w="382" w:type="pct"/>
            <w:tcBorders>
              <w:top w:val="single" w:color="000000" w:sz="2" w:space="0"/>
              <w:left w:val="single" w:color="000000" w:sz="2"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园地</w:t>
            </w:r>
          </w:p>
        </w:tc>
        <w:tc>
          <w:tcPr>
            <w:tcW w:w="385" w:type="pct"/>
            <w:tcBorders>
              <w:top w:val="single" w:color="000000" w:sz="2" w:space="0"/>
              <w:left w:val="single" w:color="000000" w:sz="2"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林地</w:t>
            </w:r>
          </w:p>
        </w:tc>
        <w:tc>
          <w:tcPr>
            <w:tcW w:w="602" w:type="pct"/>
            <w:tcBorders>
              <w:top w:val="single" w:color="000000" w:sz="2" w:space="0"/>
              <w:left w:val="single" w:color="000000" w:sz="2"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工矿仓储用地</w:t>
            </w:r>
          </w:p>
        </w:tc>
        <w:tc>
          <w:tcPr>
            <w:tcW w:w="634" w:type="pct"/>
            <w:tcBorders>
              <w:top w:val="single" w:color="000000" w:sz="2" w:space="0"/>
              <w:left w:val="single" w:color="000000" w:sz="2"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交通运输用地</w:t>
            </w:r>
          </w:p>
        </w:tc>
        <w:tc>
          <w:tcPr>
            <w:tcW w:w="798" w:type="pct"/>
            <w:tcBorders>
              <w:top w:val="single" w:color="000000" w:sz="2" w:space="0"/>
              <w:left w:val="single" w:color="000000" w:sz="2"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水域及水利设施用地</w:t>
            </w:r>
          </w:p>
        </w:tc>
        <w:tc>
          <w:tcPr>
            <w:tcW w:w="655" w:type="pct"/>
            <w:tcBorders>
              <w:top w:val="single" w:color="000000" w:sz="2" w:space="0"/>
              <w:left w:val="single" w:color="000000" w:sz="2" w:space="0"/>
              <w:bottom w:val="single" w:color="000000" w:sz="2" w:space="0"/>
              <w:right w:val="single" w:color="000000" w:sz="2" w:space="0"/>
            </w:tcBorders>
            <w:vAlign w:val="center"/>
          </w:tcPr>
          <w:p>
            <w:pPr>
              <w:autoSpaceDN w:val="0"/>
              <w:spacing w:after="0" w:line="260" w:lineRule="exact"/>
              <w:jc w:val="center"/>
              <w:rPr>
                <w:rFonts w:hint="eastAsia" w:ascii="方正黑体简体" w:hAnsi="方正黑体简体" w:eastAsia="方正黑体简体" w:cs="方正黑体简体"/>
                <w:b w:val="0"/>
                <w:bCs w:val="0"/>
                <w:color w:val="auto"/>
                <w:spacing w:val="0"/>
                <w:w w:val="100"/>
                <w:kern w:val="21"/>
                <w:position w:val="0"/>
                <w:sz w:val="24"/>
                <w:szCs w:val="24"/>
              </w:rPr>
            </w:pPr>
            <w:r>
              <w:rPr>
                <w:rFonts w:hint="eastAsia" w:ascii="方正黑体简体" w:hAnsi="方正黑体简体" w:eastAsia="方正黑体简体" w:cs="方正黑体简体"/>
                <w:b w:val="0"/>
                <w:bCs w:val="0"/>
                <w:color w:val="auto"/>
                <w:spacing w:val="0"/>
                <w:w w:val="100"/>
                <w:kern w:val="21"/>
                <w:position w:val="0"/>
                <w:sz w:val="24"/>
                <w:szCs w:val="24"/>
              </w:rPr>
              <w:t>其他地类</w:t>
            </w:r>
          </w:p>
        </w:tc>
      </w:tr>
      <w:tr>
        <w:tblPrEx>
          <w:tblCellMar>
            <w:top w:w="0" w:type="dxa"/>
            <w:left w:w="0" w:type="dxa"/>
            <w:bottom w:w="0" w:type="dxa"/>
            <w:right w:w="0" w:type="dxa"/>
          </w:tblCellMar>
        </w:tblPrEx>
        <w:trPr>
          <w:trHeight w:val="567" w:hRule="exact"/>
          <w:jc w:val="center"/>
        </w:trPr>
        <w:tc>
          <w:tcPr>
            <w:tcW w:w="446" w:type="pct"/>
            <w:tcBorders>
              <w:top w:val="single" w:color="auto" w:sz="4" w:space="0"/>
              <w:left w:val="single" w:color="auto" w:sz="4" w:space="0"/>
              <w:bottom w:val="single" w:color="auto" w:sz="4" w:space="0"/>
              <w:right w:val="single" w:color="auto" w:sz="4"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2021</w:t>
            </w:r>
          </w:p>
        </w:tc>
        <w:tc>
          <w:tcPr>
            <w:tcW w:w="661" w:type="pct"/>
            <w:tcBorders>
              <w:top w:val="single" w:color="000000" w:sz="2" w:space="0"/>
              <w:left w:val="single" w:color="auto" w:sz="4"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408.85</w:t>
            </w:r>
          </w:p>
        </w:tc>
        <w:tc>
          <w:tcPr>
            <w:tcW w:w="433"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2553.85</w:t>
            </w:r>
          </w:p>
        </w:tc>
        <w:tc>
          <w:tcPr>
            <w:tcW w:w="38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76.34</w:t>
            </w:r>
          </w:p>
        </w:tc>
        <w:tc>
          <w:tcPr>
            <w:tcW w:w="38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708.75</w:t>
            </w:r>
          </w:p>
        </w:tc>
        <w:tc>
          <w:tcPr>
            <w:tcW w:w="60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33.82</w:t>
            </w:r>
          </w:p>
        </w:tc>
        <w:tc>
          <w:tcPr>
            <w:tcW w:w="634"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210.14</w:t>
            </w:r>
          </w:p>
        </w:tc>
        <w:tc>
          <w:tcPr>
            <w:tcW w:w="798"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988.48</w:t>
            </w:r>
          </w:p>
        </w:tc>
        <w:tc>
          <w:tcPr>
            <w:tcW w:w="65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108.65</w:t>
            </w:r>
          </w:p>
        </w:tc>
      </w:tr>
      <w:tr>
        <w:tblPrEx>
          <w:tblCellMar>
            <w:top w:w="0" w:type="dxa"/>
            <w:left w:w="0" w:type="dxa"/>
            <w:bottom w:w="0" w:type="dxa"/>
            <w:right w:w="0" w:type="dxa"/>
          </w:tblCellMar>
        </w:tblPrEx>
        <w:trPr>
          <w:trHeight w:val="567" w:hRule="exact"/>
          <w:jc w:val="center"/>
        </w:trPr>
        <w:tc>
          <w:tcPr>
            <w:tcW w:w="446" w:type="pct"/>
            <w:tcBorders>
              <w:top w:val="single" w:color="auto" w:sz="4" w:space="0"/>
              <w:left w:val="single" w:color="auto" w:sz="4" w:space="0"/>
              <w:bottom w:val="single" w:color="auto" w:sz="4" w:space="0"/>
              <w:right w:val="single" w:color="auto" w:sz="4"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2022</w:t>
            </w:r>
          </w:p>
        </w:tc>
        <w:tc>
          <w:tcPr>
            <w:tcW w:w="661" w:type="pct"/>
            <w:tcBorders>
              <w:top w:val="single" w:color="000000" w:sz="2" w:space="0"/>
              <w:left w:val="single" w:color="auto" w:sz="4"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408.85</w:t>
            </w:r>
          </w:p>
        </w:tc>
        <w:tc>
          <w:tcPr>
            <w:tcW w:w="433"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2556.38</w:t>
            </w:r>
          </w:p>
        </w:tc>
        <w:tc>
          <w:tcPr>
            <w:tcW w:w="38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76.34</w:t>
            </w:r>
          </w:p>
        </w:tc>
        <w:tc>
          <w:tcPr>
            <w:tcW w:w="38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708.75</w:t>
            </w:r>
          </w:p>
        </w:tc>
        <w:tc>
          <w:tcPr>
            <w:tcW w:w="60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33.82</w:t>
            </w:r>
          </w:p>
        </w:tc>
        <w:tc>
          <w:tcPr>
            <w:tcW w:w="634"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210.21</w:t>
            </w:r>
          </w:p>
        </w:tc>
        <w:tc>
          <w:tcPr>
            <w:tcW w:w="798"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988.48</w:t>
            </w:r>
          </w:p>
        </w:tc>
        <w:tc>
          <w:tcPr>
            <w:tcW w:w="65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108.75</w:t>
            </w:r>
          </w:p>
        </w:tc>
      </w:tr>
      <w:tr>
        <w:tblPrEx>
          <w:tblCellMar>
            <w:top w:w="0" w:type="dxa"/>
            <w:left w:w="0" w:type="dxa"/>
            <w:bottom w:w="0" w:type="dxa"/>
            <w:right w:w="0" w:type="dxa"/>
          </w:tblCellMar>
        </w:tblPrEx>
        <w:trPr>
          <w:trHeight w:val="567" w:hRule="exact"/>
          <w:jc w:val="center"/>
        </w:trPr>
        <w:tc>
          <w:tcPr>
            <w:tcW w:w="446" w:type="pct"/>
            <w:tcBorders>
              <w:top w:val="single" w:color="auto" w:sz="4" w:space="0"/>
              <w:left w:val="single" w:color="auto" w:sz="4" w:space="0"/>
              <w:bottom w:val="single" w:color="auto" w:sz="4" w:space="0"/>
              <w:right w:val="single" w:color="auto" w:sz="4"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2023</w:t>
            </w:r>
          </w:p>
        </w:tc>
        <w:tc>
          <w:tcPr>
            <w:tcW w:w="661" w:type="pct"/>
            <w:tcBorders>
              <w:top w:val="single" w:color="000000" w:sz="2" w:space="0"/>
              <w:left w:val="single" w:color="auto" w:sz="4"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409.65</w:t>
            </w:r>
          </w:p>
        </w:tc>
        <w:tc>
          <w:tcPr>
            <w:tcW w:w="433"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2588.46</w:t>
            </w:r>
          </w:p>
        </w:tc>
        <w:tc>
          <w:tcPr>
            <w:tcW w:w="38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76.35</w:t>
            </w:r>
          </w:p>
        </w:tc>
        <w:tc>
          <w:tcPr>
            <w:tcW w:w="38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716.85</w:t>
            </w:r>
          </w:p>
        </w:tc>
        <w:tc>
          <w:tcPr>
            <w:tcW w:w="60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33.82</w:t>
            </w:r>
          </w:p>
        </w:tc>
        <w:tc>
          <w:tcPr>
            <w:tcW w:w="634"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210.86</w:t>
            </w:r>
          </w:p>
        </w:tc>
        <w:tc>
          <w:tcPr>
            <w:tcW w:w="798"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1005.97</w:t>
            </w:r>
          </w:p>
        </w:tc>
        <w:tc>
          <w:tcPr>
            <w:tcW w:w="65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110.54</w:t>
            </w:r>
          </w:p>
        </w:tc>
      </w:tr>
      <w:tr>
        <w:tblPrEx>
          <w:tblCellMar>
            <w:top w:w="0" w:type="dxa"/>
            <w:left w:w="0" w:type="dxa"/>
            <w:bottom w:w="0" w:type="dxa"/>
            <w:right w:w="0" w:type="dxa"/>
          </w:tblCellMar>
        </w:tblPrEx>
        <w:trPr>
          <w:trHeight w:val="567" w:hRule="exact"/>
          <w:jc w:val="center"/>
        </w:trPr>
        <w:tc>
          <w:tcPr>
            <w:tcW w:w="446" w:type="pct"/>
            <w:tcBorders>
              <w:top w:val="single" w:color="auto" w:sz="4" w:space="0"/>
              <w:left w:val="single" w:color="auto" w:sz="4" w:space="0"/>
              <w:bottom w:val="single" w:color="auto" w:sz="4" w:space="0"/>
              <w:right w:val="single" w:color="auto" w:sz="4"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2024</w:t>
            </w:r>
          </w:p>
        </w:tc>
        <w:tc>
          <w:tcPr>
            <w:tcW w:w="661" w:type="pct"/>
            <w:tcBorders>
              <w:top w:val="single" w:color="000000" w:sz="2" w:space="0"/>
              <w:left w:val="single" w:color="auto" w:sz="4"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409.69</w:t>
            </w:r>
          </w:p>
        </w:tc>
        <w:tc>
          <w:tcPr>
            <w:tcW w:w="433"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2594.73</w:t>
            </w:r>
          </w:p>
        </w:tc>
        <w:tc>
          <w:tcPr>
            <w:tcW w:w="38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76.53</w:t>
            </w:r>
          </w:p>
        </w:tc>
        <w:tc>
          <w:tcPr>
            <w:tcW w:w="38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718.59</w:t>
            </w:r>
          </w:p>
        </w:tc>
        <w:tc>
          <w:tcPr>
            <w:tcW w:w="60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33.82</w:t>
            </w:r>
          </w:p>
        </w:tc>
        <w:tc>
          <w:tcPr>
            <w:tcW w:w="634"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211.71</w:t>
            </w:r>
          </w:p>
        </w:tc>
        <w:tc>
          <w:tcPr>
            <w:tcW w:w="798"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1012.33</w:t>
            </w:r>
          </w:p>
        </w:tc>
        <w:tc>
          <w:tcPr>
            <w:tcW w:w="65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111.59</w:t>
            </w:r>
          </w:p>
        </w:tc>
      </w:tr>
      <w:tr>
        <w:tblPrEx>
          <w:tblCellMar>
            <w:top w:w="0" w:type="dxa"/>
            <w:left w:w="0" w:type="dxa"/>
            <w:bottom w:w="0" w:type="dxa"/>
            <w:right w:w="0" w:type="dxa"/>
          </w:tblCellMar>
        </w:tblPrEx>
        <w:trPr>
          <w:trHeight w:val="567" w:hRule="exact"/>
          <w:jc w:val="center"/>
        </w:trPr>
        <w:tc>
          <w:tcPr>
            <w:tcW w:w="446" w:type="pct"/>
            <w:tcBorders>
              <w:top w:val="single" w:color="auto" w:sz="4" w:space="0"/>
              <w:left w:val="single" w:color="auto" w:sz="4" w:space="0"/>
              <w:bottom w:val="single" w:color="auto" w:sz="4" w:space="0"/>
              <w:right w:val="single" w:color="auto" w:sz="4"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2025</w:t>
            </w:r>
          </w:p>
        </w:tc>
        <w:tc>
          <w:tcPr>
            <w:tcW w:w="661" w:type="pct"/>
            <w:tcBorders>
              <w:top w:val="single" w:color="000000" w:sz="2" w:space="0"/>
              <w:left w:val="single" w:color="auto" w:sz="4"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409.69</w:t>
            </w:r>
          </w:p>
        </w:tc>
        <w:tc>
          <w:tcPr>
            <w:tcW w:w="433"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2596.29</w:t>
            </w:r>
          </w:p>
        </w:tc>
        <w:tc>
          <w:tcPr>
            <w:tcW w:w="38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76.53</w:t>
            </w:r>
          </w:p>
        </w:tc>
        <w:tc>
          <w:tcPr>
            <w:tcW w:w="38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718.60</w:t>
            </w:r>
          </w:p>
        </w:tc>
        <w:tc>
          <w:tcPr>
            <w:tcW w:w="602"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33.82</w:t>
            </w:r>
          </w:p>
        </w:tc>
        <w:tc>
          <w:tcPr>
            <w:tcW w:w="634"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211.71</w:t>
            </w:r>
          </w:p>
        </w:tc>
        <w:tc>
          <w:tcPr>
            <w:tcW w:w="798"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1012.33</w:t>
            </w:r>
          </w:p>
        </w:tc>
        <w:tc>
          <w:tcPr>
            <w:tcW w:w="655" w:type="pct"/>
            <w:tcBorders>
              <w:top w:val="single" w:color="000000" w:sz="2" w:space="0"/>
              <w:left w:val="single" w:color="000000" w:sz="2" w:space="0"/>
              <w:bottom w:val="single" w:color="000000" w:sz="2" w:space="0"/>
              <w:right w:val="single" w:color="000000" w:sz="2" w:space="0"/>
            </w:tcBorders>
            <w:vAlign w:val="center"/>
          </w:tcPr>
          <w:p>
            <w:pPr>
              <w:autoSpaceDN w:val="0"/>
              <w:spacing w:after="0"/>
              <w:jc w:val="center"/>
              <w:rPr>
                <w:rFonts w:hint="eastAsia" w:ascii="方正仿宋简体" w:hAnsi="方正仿宋简体" w:eastAsia="方正仿宋简体" w:cs="方正仿宋简体"/>
                <w:b w:val="0"/>
                <w:bCs w:val="0"/>
                <w:color w:val="auto"/>
                <w:spacing w:val="0"/>
                <w:w w:val="100"/>
                <w:kern w:val="21"/>
                <w:position w:val="0"/>
                <w:sz w:val="24"/>
                <w:szCs w:val="24"/>
                <w:lang w:eastAsia="zh-CN"/>
              </w:rPr>
            </w:pPr>
            <w:r>
              <w:rPr>
                <w:rFonts w:hint="eastAsia" w:ascii="方正仿宋简体" w:hAnsi="方正仿宋简体" w:eastAsia="方正仿宋简体" w:cs="方正仿宋简体"/>
                <w:b w:val="0"/>
                <w:bCs w:val="0"/>
                <w:color w:val="auto"/>
                <w:spacing w:val="0"/>
                <w:w w:val="100"/>
                <w:kern w:val="21"/>
                <w:position w:val="0"/>
                <w:sz w:val="24"/>
                <w:szCs w:val="24"/>
                <w:lang w:eastAsia="zh-CN"/>
              </w:rPr>
              <w:t>111.59</w:t>
            </w:r>
          </w:p>
        </w:tc>
      </w:tr>
    </w:tbl>
    <w:p>
      <w:pPr>
        <w:pStyle w:val="2"/>
        <w:sectPr>
          <w:footerReference r:id="rId16" w:type="default"/>
          <w:pgSz w:w="16838" w:h="11906" w:orient="landscape"/>
          <w:pgMar w:top="1531" w:right="1531" w:bottom="1531" w:left="1531" w:header="851" w:footer="1134" w:gutter="0"/>
          <w:pgNumType w:fmt="numberInDash"/>
          <w:cols w:space="0" w:num="1"/>
          <w:rtlGutter w:val="0"/>
          <w:docGrid w:type="lines" w:linePitch="315" w:charSpace="0"/>
        </w:sect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firstLine="0" w:firstLineChars="0"/>
        <w:textAlignment w:val="auto"/>
        <w:rPr>
          <w:rFonts w:hint="eastAsia" w:asciiTheme="minorHAnsi" w:hAnsiTheme="minorHAnsi" w:eastAsiaTheme="minorEastAsia" w:cstheme="minorBidi"/>
          <w:kern w:val="2"/>
          <w:sz w:val="21"/>
          <w:szCs w:val="22"/>
          <w:lang w:val="en-US" w:eastAsia="zh-CN" w:bidi="ar-SA"/>
        </w:rPr>
      </w:pPr>
    </w:p>
    <w:p>
      <w:pPr>
        <w:spacing w:line="560" w:lineRule="exact"/>
        <w:ind w:right="-647" w:rightChars="-294" w:firstLine="280" w:firstLineChars="100"/>
        <w:rPr>
          <w:rFonts w:hint="default"/>
          <w:lang w:val="en-US"/>
        </w:rPr>
      </w:pPr>
      <w:r>
        <w:rPr>
          <w:rFonts w:ascii="方正仿宋简体" w:eastAsia="方正仿宋简体" w:cs="方正仿宋简体"/>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36195</wp:posOffset>
                </wp:positionV>
                <wp:extent cx="5606415" cy="0"/>
                <wp:effectExtent l="0" t="0" r="0" b="0"/>
                <wp:wrapNone/>
                <wp:docPr id="6" name="Line 2"/>
                <wp:cNvGraphicFramePr/>
                <a:graphic xmlns:a="http://schemas.openxmlformats.org/drawingml/2006/main">
                  <a:graphicData uri="http://schemas.microsoft.com/office/word/2010/wordprocessingShape">
                    <wps:wsp>
                      <wps:cNvCnPr/>
                      <wps:spPr>
                        <a:xfrm flipV="1">
                          <a:off x="0" y="0"/>
                          <a:ext cx="560641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flip:y;margin-left:0.35pt;margin-top:2.85pt;height:0pt;width:441.45pt;z-index:251661312;mso-width-relative:page;mso-height-relative:page;" filled="f" stroked="t" coordsize="21600,21600" o:gfxdata="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QXcHvVAAAABAEAAA8A&#10;AAAAAAAAAQAgAAAAIgAAAGRycy9kb3ducmV2LnhtbFBLAQIUABQAAAAIAIdO4kAqjZi24QEAAOMD&#10;AAAOAAAAAAAAAAEAIAAAACQBAABkcnMvZTJvRG9jLnhtbFBLBQYAAAAABgAGAFkBAAB3BQAAAAA=&#10;">
                <v:fill on="f" focussize="0,0"/>
                <v:stroke weight="0.5pt" color="#000000" joinstyle="round"/>
                <v:imagedata o:title=""/>
                <o:lock v:ext="edit" aspectratio="f"/>
              </v:line>
            </w:pict>
          </mc:Fallback>
        </mc:AlternateContent>
      </w:r>
      <w:r>
        <w:rPr>
          <w:rFonts w:ascii="方正仿宋简体" w:eastAsia="方正仿宋简体" w:cs="方正仿宋简体"/>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399415</wp:posOffset>
                </wp:positionV>
                <wp:extent cx="5606415" cy="0"/>
                <wp:effectExtent l="0" t="0" r="0" b="0"/>
                <wp:wrapNone/>
                <wp:docPr id="5" name="Line 3"/>
                <wp:cNvGraphicFramePr/>
                <a:graphic xmlns:a="http://schemas.openxmlformats.org/drawingml/2006/main">
                  <a:graphicData uri="http://schemas.microsoft.com/office/word/2010/wordprocessingShape">
                    <wps:wsp>
                      <wps:cNvCnPr/>
                      <wps:spPr>
                        <a:xfrm flipV="1">
                          <a:off x="0" y="0"/>
                          <a:ext cx="560641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flip:y;margin-left:1.15pt;margin-top:31.45pt;height:0pt;width:441.45pt;z-index:251660288;mso-width-relative:page;mso-height-relative:page;" filled="f" stroked="t" coordsize="21600,21600" o:gfxdata="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wEk+3XAAAABwEA&#10;AA8AAAAAAAAAAQAgAAAAIgAAAGRycy9kb3ducmV2LnhtbFBLAQIUABQAAAAIAIdO4kASuhlT4gEA&#10;AOMDAAAOAAAAAAAAAAEAIAAAACYBAABkcnMvZTJvRG9jLnhtbFBLBQYAAAAABgAGAFkBAAB6BQAA&#10;AAA=&#10;">
                <v:fill on="f" focussize="0,0"/>
                <v:stroke weight="0.5pt" color="#000000" joinstyle="round"/>
                <v:imagedata o:title=""/>
                <o:lock v:ext="edit" aspectratio="f"/>
              </v:line>
            </w:pict>
          </mc:Fallback>
        </mc:AlternateContent>
      </w:r>
      <w:r>
        <w:rPr>
          <w:rFonts w:hint="eastAsia" w:ascii="方正仿宋简体" w:eastAsia="方正仿宋简体" w:cs="方正仿宋简体"/>
          <w:color w:val="auto"/>
          <w:sz w:val="28"/>
          <w:szCs w:val="28"/>
        </w:rPr>
        <w:t>济宁高新区管委</w:t>
      </w:r>
      <w:r>
        <w:rPr>
          <w:rFonts w:hint="eastAsia" w:ascii="方正仿宋简体" w:eastAsia="方正仿宋简体" w:cs="方正仿宋简体"/>
          <w:color w:val="auto"/>
          <w:sz w:val="28"/>
          <w:szCs w:val="28"/>
          <w:lang w:val="en-US" w:eastAsia="zh-CN"/>
        </w:rPr>
        <w:t>会</w:t>
      </w:r>
      <w:r>
        <w:rPr>
          <w:rFonts w:hint="eastAsia" w:ascii="方正仿宋简体" w:eastAsia="方正仿宋简体" w:cs="方正仿宋简体"/>
          <w:color w:val="auto"/>
          <w:sz w:val="28"/>
          <w:szCs w:val="28"/>
        </w:rPr>
        <w:t xml:space="preserve">办公室    </w:t>
      </w:r>
      <w:r>
        <w:rPr>
          <w:rFonts w:ascii="方正仿宋简体" w:eastAsia="方正仿宋简体" w:cs="方正仿宋简体"/>
          <w:color w:val="auto"/>
          <w:sz w:val="28"/>
          <w:szCs w:val="28"/>
        </w:rPr>
        <w:t xml:space="preserve"> </w:t>
      </w:r>
      <w:r>
        <w:rPr>
          <w:rFonts w:hint="eastAsia" w:ascii="方正仿宋简体" w:eastAsia="方正仿宋简体" w:cs="方正仿宋简体"/>
          <w:color w:val="auto"/>
          <w:sz w:val="28"/>
          <w:szCs w:val="28"/>
        </w:rPr>
        <w:t xml:space="preserve">     </w:t>
      </w:r>
      <w:r>
        <w:rPr>
          <w:rFonts w:hint="eastAsia" w:ascii="方正仿宋简体" w:eastAsia="方正仿宋简体" w:cs="方正仿宋简体"/>
          <w:color w:val="auto"/>
          <w:sz w:val="28"/>
          <w:szCs w:val="28"/>
          <w:lang w:val="en-US" w:eastAsia="zh-CN"/>
        </w:rPr>
        <w:t xml:space="preserve">  </w:t>
      </w:r>
      <w:r>
        <w:rPr>
          <w:rFonts w:hint="eastAsia" w:ascii="方正仿宋简体" w:eastAsia="方正仿宋简体" w:cs="方正仿宋简体"/>
          <w:color w:val="auto"/>
          <w:sz w:val="28"/>
          <w:szCs w:val="28"/>
        </w:rPr>
        <w:t xml:space="preserve">      2022年</w:t>
      </w:r>
      <w:r>
        <w:rPr>
          <w:rFonts w:hint="eastAsia" w:ascii="方正仿宋简体" w:eastAsia="方正仿宋简体" w:cs="方正仿宋简体"/>
          <w:color w:val="auto"/>
          <w:sz w:val="28"/>
          <w:szCs w:val="28"/>
          <w:lang w:val="en-US" w:eastAsia="zh-CN"/>
        </w:rPr>
        <w:t>7</w:t>
      </w:r>
      <w:r>
        <w:rPr>
          <w:rFonts w:hint="eastAsia" w:ascii="方正仿宋简体" w:eastAsia="方正仿宋简体" w:cs="方正仿宋简体"/>
          <w:color w:val="auto"/>
          <w:sz w:val="28"/>
          <w:szCs w:val="28"/>
        </w:rPr>
        <w:t>月</w:t>
      </w:r>
      <w:r>
        <w:rPr>
          <w:rFonts w:hint="eastAsia" w:ascii="方正仿宋简体" w:eastAsia="方正仿宋简体" w:cs="方正仿宋简体"/>
          <w:color w:val="auto"/>
          <w:sz w:val="28"/>
          <w:szCs w:val="28"/>
          <w:lang w:val="en-US" w:eastAsia="zh-CN"/>
        </w:rPr>
        <w:t>25日印发</w:t>
      </w:r>
    </w:p>
    <w:sectPr>
      <w:footerReference r:id="rId18" w:type="first"/>
      <w:footerReference r:id="rId17" w:type="default"/>
      <w:pgSz w:w="11906" w:h="16838"/>
      <w:pgMar w:top="2098" w:right="1474" w:bottom="1984" w:left="1587" w:header="851" w:footer="1587"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DE0BCF2-7074-4038-80B9-6D6B87C84C32}"/>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2" w:fontKey="{260A79BD-B2DF-4005-B281-1796902F6D96}"/>
  </w:font>
  <w:font w:name="Microsoft JhengHei">
    <w:panose1 w:val="020B0604030504040204"/>
    <w:charset w:val="88"/>
    <w:family w:val="swiss"/>
    <w:pitch w:val="default"/>
    <w:sig w:usb0="000002A7" w:usb1="28CF4400" w:usb2="00000016" w:usb3="00000000" w:csb0="00100009" w:csb1="00000000"/>
    <w:embedRegular r:id="rId3" w:fontKey="{EC36E773-23A2-46EA-98DE-710094396316}"/>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30480</wp:posOffset>
              </wp:positionV>
              <wp:extent cx="1828800" cy="236855"/>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2368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4pt;height:18.65pt;width:144pt;mso-position-horizontal:outside;mso-position-horizontal-relative:margin;mso-wrap-style:none;z-index:251659264;mso-width-relative:page;mso-height-relative:page;" filled="f" stroked="f" coordsize="21600,21600" o:gfxdata="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i8DTfUAAAABQEAAA8AAAAAAAAAAQAgAAAAIgAAAGRycy9kb3ducmV2Lnht&#10;bFBLAQIUABQAAAAIAIdO4kD0LNXMNgIAAGAEAAAOAAAAAAAAAAEAIAAAACMBAABkcnMvZTJvRG9j&#10;LnhtbFBLBQYAAAAABgAGAFkBAADLBQ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0" w:lineRule="atLeast"/>
      <w:rPr>
        <w:sz w:val="0"/>
        <w:szCs w:val="0"/>
      </w:rPr>
    </w:pPr>
    <w:r>
      <w:rPr>
        <w:sz w:val="0"/>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-111760</wp:posOffset>
              </wp:positionV>
              <wp:extent cx="539750" cy="25844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539750"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8.8pt;height:20.35pt;width:42.5pt;mso-position-horizontal-relative:margin;z-index:251661312;mso-width-relative:page;mso-height-relative:page;" filled="f" stroked="f" coordsize="21600,21600" o:gfxdata="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stXYb1QAAAAYBAAAPAAAAAAAAAAEAIAAAACIAAABkcnMvZG93bnJldi54&#10;bWxQSwECFAAUAAAACACHTuJAyBOWlTYCAABjBAAADgAAAAAAAAABACAAAAAkAQAAZHJzL2Uyb0Rv&#10;Yy54bWxQSwUGAAAAAAYABgBZAQAAzAU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0" w:lineRule="atLeast"/>
      <w:rPr>
        <w:sz w:val="0"/>
        <w:szCs w:val="0"/>
      </w:rPr>
    </w:pPr>
    <w:r>
      <w:rPr>
        <w:sz w:val="0"/>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-111760</wp:posOffset>
              </wp:positionV>
              <wp:extent cx="539750" cy="258445"/>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539750"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8pt;height:20.35pt;width:42.5pt;mso-position-horizontal:outside;mso-position-horizontal-relative:margin;z-index:251668480;mso-width-relative:page;mso-height-relative:page;" filled="f" stroked="f" coordsize="21600,21600" o:gfxdata="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LV2G9UAAAAGAQAADwAAAAAAAAABACAAAAAiAAAAZHJzL2Rvd25yZXYu&#10;eG1sUEsBAhQAFAAAAAgAh07iQLXMoeY3AgAAYwQAAA4AAAAAAAAAAQAgAAAAJAEAAGRycy9lMm9E&#10;b2MueG1sUEsFBgAAAAAGAAYAWQEAAM0FA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0" w:lineRule="atLeast"/>
      <w:rPr>
        <w:sz w:val="0"/>
        <w:szCs w:val="0"/>
      </w:rPr>
    </w:pPr>
    <w:r>
      <w:rPr>
        <w:sz w:val="0"/>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-111760</wp:posOffset>
              </wp:positionV>
              <wp:extent cx="539750" cy="258445"/>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539750"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8.8pt;height:20.35pt;width:42.5pt;mso-position-horizontal-relative:margin;z-index:251667456;mso-width-relative:page;mso-height-relative:page;" filled="f" stroked="f" coordsize="21600,21600" o:gfxdata="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LV2G9UAAAAGAQAADwAAAAAAAAABACAAAAAiAAAAZHJzL2Rvd25yZXYu&#10;eG1sUEsBAhQAFAAAAAgAh07iQPdkNgk3AgAAYwQAAA4AAAAAAAAAAQAgAAAAJAEAAGRycy9lMm9E&#10;b2MueG1sUEsFBgAAAAAGAAYAWQEAAM0FA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- 18 -</w:t>
                    </w:r>
                    <w:r>
                      <w:rPr>
                        <w:rFonts w:hint="eastAsia" w:ascii="宋体" w:hAnsi="宋体" w:eastAsia="宋体" w:cs="宋体"/>
                        <w:sz w:val="28"/>
                        <w:szCs w:val="28"/>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2336" behindDoc="0" locked="0" layoutInCell="1" allowOverlap="1">
              <wp:simplePos x="0" y="0"/>
              <wp:positionH relativeFrom="margin">
                <wp:posOffset>0</wp:posOffset>
              </wp:positionH>
              <wp:positionV relativeFrom="paragraph">
                <wp:posOffset>162560</wp:posOffset>
              </wp:positionV>
              <wp:extent cx="539750" cy="2476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539750" cy="2476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- 28 -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12.8pt;height:19.5pt;width:42.5pt;mso-position-horizontal-relative:margin;z-index:251662336;mso-width-relative:page;mso-height-relative:page;" filled="f" stroked="f" coordsize="21600,21600" o:gfxdata="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Qz+fXUAAAABQEAAA8AAAAAAAAAAQAgAAAAIgAAAGRycy9kb3ducmV2Lnht&#10;bFBLAQIUABQAAAAIAIdO4kAynNw0NgIAAGMEAAAOAAAAAAAAAAEAIAAAACMBAABkcnMvZTJvRG9j&#10;LnhtbFBLBQYAAAAABgAGAFkBAADLBQAAAAA=&#10;">
              <v:fill on="f" focussize="0,0"/>
              <v:stroke on="f" weight="0.5pt"/>
              <v:imagedata o:title=""/>
              <o:lock v:ext="edit" aspectratio="f"/>
              <v:textbox inset="0mm,0mm,0mm,0mm">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- 28 -</w:t>
                    </w:r>
                    <w:r>
                      <w:rPr>
                        <w:rFonts w:hint="eastAsia" w:ascii="宋体" w:hAnsi="宋体" w:eastAsia="宋体" w:cs="宋体"/>
                        <w:sz w:val="28"/>
                        <w:szCs w:val="28"/>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60"/>
      <w:jc w:val="center"/>
    </w:pPr>
    <w:r>
      <w:rPr>
        <w:lang w:val="en-US"/>
      </w:rPr>
      <w:fldChar w:fldCharType="begin"/>
    </w:r>
    <w:r>
      <w:instrText xml:space="preserve">PAGE   \* MERGEFORMAT</w:instrText>
    </w:r>
    <w:r>
      <w:rPr>
        <w:lang w:val="en-US"/>
      </w:rPr>
      <w:fldChar w:fldCharType="separate"/>
    </w:r>
    <w:r>
      <w:rPr>
        <w:lang w:val="zh-CN"/>
      </w:rPr>
      <w:t>143</w:t>
    </w:r>
    <w:r>
      <w:rPr>
        <w:lang w:val="zh-CN"/>
      </w:rPr>
      <w:fldChar w:fldCharType="end"/>
    </w:r>
  </w:p>
  <w:p>
    <w:pPr>
      <w:pStyle w:val="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7870"/>
      <w:docPartObj>
        <w:docPartGallery w:val="autotext"/>
      </w:docPartObj>
    </w:sdtPr>
    <w:sdtEndPr>
      <w:rPr>
        <w:rFonts w:ascii="宋体" w:hAnsi="宋体" w:eastAsia="宋体"/>
        <w:sz w:val="21"/>
        <w:szCs w:val="21"/>
      </w:rPr>
    </w:sdtEndPr>
    <w:sdtContent>
      <w:p>
        <w:pPr>
          <w:pStyle w:val="5"/>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PAGE   \* MERGEFORMAT </w:instrText>
        </w:r>
        <w:r>
          <w:rPr>
            <w:rFonts w:ascii="宋体" w:hAnsi="宋体" w:eastAsia="宋体"/>
            <w:sz w:val="21"/>
            <w:szCs w:val="21"/>
          </w:rPr>
          <w:fldChar w:fldCharType="separate"/>
        </w:r>
        <w:r>
          <w:rPr>
            <w:rFonts w:hint="eastAsia" w:ascii="宋体" w:hAnsi="宋体" w:eastAsia="宋体"/>
            <w:sz w:val="21"/>
            <w:szCs w:val="21"/>
            <w:lang w:val="zh-CN"/>
          </w:rPr>
          <w:t>—</w:t>
        </w:r>
        <w:r>
          <w:rPr>
            <w:rFonts w:ascii="宋体" w:hAnsi="宋体" w:eastAsia="宋体"/>
            <w:sz w:val="21"/>
            <w:szCs w:val="21"/>
          </w:rPr>
          <w:t xml:space="preserve"> 6 </w:t>
        </w:r>
        <w:r>
          <w:rPr>
            <w:rFonts w:hint="eastAsia" w:ascii="宋体" w:hAnsi="宋体" w:eastAsia="宋体"/>
            <w:sz w:val="21"/>
            <w:szCs w:val="21"/>
            <w:lang w:eastAsia="zh-CN"/>
          </w:rPr>
          <w:t>—</w:t>
        </w:r>
        <w:r>
          <w:rPr>
            <w:rFonts w:ascii="宋体" w:hAnsi="宋体" w:eastAsia="宋体"/>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64384;mso-width-relative:page;mso-height-relative:page;" filled="f" stroked="f" coordsize="21600,21600" o:gfxdata="UEsDBAoAAAAAAIdO4kAAAAAAAAAAAAAAAAAEAAAAZHJzL1BLAwQUAAAACACHTuJAubwYUt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5vBhS0wAAAAYBAAAPAAAAAAAAAAEAIAAAACIAAABkcnMvZG93bnJldi54bWxQSwEC&#10;FAAUAAAACACHTuJAIwUTnTICAABjBAAADgAAAAAAAAABACAAAAAiAQAAZHJzL2Uyb0RvYy54bWxQ&#10;SwUGAAAAAAYABgBZAQAAxg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66432;mso-width-relative:page;mso-height-relative:page;" filled="f" stroked="f" coordsize="21600,21600" o:gfxdata="UEsDBAoAAAAAAIdO4kAAAAAAAAAAAAAAAAAEAAAAZHJzL1BLAwQUAAAACACHTuJAubwYUt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5vBhS0wAAAAYBAAAPAAAAAAAAAAEAIAAAACIAAABkcnMvZG93bnJldi54bWxQSwEC&#10;FAAUAAAACACHTuJA5lNNmTICAABjBAAADgAAAAAAAAABACAAAAAiAQAAZHJzL2Uyb0RvYy54bWxQ&#10;SwUGAAAAAAYABgBZAQAAxgU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65408;mso-width-relative:page;mso-height-relative:page;" filled="f" stroked="f" coordsize="21600,21600" o:gfxdata="UEsDBAoAAAAAAIdO4kAAAAAAAAAAAAAAAAAEAAAAZHJzL1BLAwQUAAAACACHTuJAubwYUt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ubwYUtMAAAAGAQAADwAAAAAAAAABACAAAAAiAAAAZHJzL2Rvd25yZXYueG1sUEsB&#10;AhQAFAAAAAgAh07iQGGthHIzAgAAYwQAAA4AAAAAAAAAAQAgAAAAIgEAAGRycy9lMm9Eb2MueG1s&#10;UEsFBgAAAAAGAAYAWQEAAMc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60288;mso-width-relative:page;mso-height-relative:page;" filled="f" stroked="f" coordsize="21600,21600" o:gfxdata="UEsDBAoAAAAAAIdO4kAAAAAAAAAAAAAAAAAEAAAAZHJzL1BLAwQUAAAACACHTuJAubwYUt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YbxOcyLgv2BxWNegKwr&#10;+R+//gFQSwMEFAAAAAgAh07iQKmor5UxAgAAYw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m8GFLTAAAABgEAAA8AAAAAAAAAAQAgAAAAIgAAAGRycy9kb3ducmV2LnhtbFBLAQIU&#10;ABQAAAAIAIdO4kCpqK+VMQIAAGMEAAAOAAAAAAAAAAEAIAAAACIBAABkcnMvZTJvRG9jLnhtbFBL&#10;BQYAAAAABgAGAFkBAADF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7923"/>
      <w:docPartObj>
        <w:docPartGallery w:val="autotext"/>
      </w:docPartObj>
    </w:sdtPr>
    <w:sdtEndPr>
      <w:rPr>
        <w:rFonts w:ascii="宋体" w:hAnsi="宋体" w:eastAsia="宋体"/>
        <w:sz w:val="21"/>
        <w:szCs w:val="21"/>
      </w:rPr>
    </w:sdtEndPr>
    <w:sdtContent>
      <w:p>
        <w:pPr>
          <w:pStyle w:val="5"/>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 PAGE   \* MERGEFORMAT </w:instrText>
        </w:r>
        <w:r>
          <w:rPr>
            <w:rFonts w:ascii="宋体" w:hAnsi="宋体" w:eastAsia="宋体"/>
            <w:sz w:val="21"/>
            <w:szCs w:val="21"/>
          </w:rPr>
          <w:fldChar w:fldCharType="separate"/>
        </w:r>
        <w:r>
          <w:rPr>
            <w:rFonts w:hint="eastAsia" w:ascii="宋体" w:hAnsi="宋体" w:eastAsia="宋体"/>
            <w:sz w:val="21"/>
            <w:szCs w:val="21"/>
            <w:lang w:val="zh-CN"/>
          </w:rPr>
          <w:t>—</w:t>
        </w:r>
        <w:r>
          <w:rPr>
            <w:rFonts w:ascii="宋体" w:hAnsi="宋体" w:eastAsia="宋体"/>
            <w:sz w:val="21"/>
            <w:szCs w:val="21"/>
          </w:rPr>
          <w:t xml:space="preserve"> 16 </w:t>
        </w:r>
        <w:r>
          <w:rPr>
            <w:rFonts w:hint="eastAsia" w:ascii="宋体" w:hAnsi="宋体" w:eastAsia="宋体"/>
            <w:sz w:val="21"/>
            <w:szCs w:val="21"/>
            <w:lang w:eastAsia="zh-CN"/>
          </w:rPr>
          <w:t>—</w:t>
        </w:r>
        <w:r>
          <w:rPr>
            <w:rFonts w:ascii="宋体" w:hAnsi="宋体" w:eastAsia="宋体"/>
            <w:sz w:val="21"/>
            <w:szCs w:val="21"/>
          </w:rPr>
          <w:fldChar w:fldCharType="end"/>
        </w:r>
      </w:p>
    </w:sdtContent>
  </w:sdt>
  <w:p>
    <w:pPr>
      <w:spacing w:after="0" w:line="0" w:lineRule="atLeast"/>
      <w:rPr>
        <w:sz w:val="0"/>
        <w:szCs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30480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4pt;height:144pt;width:144pt;mso-position-horizontal:outside;mso-position-horizontal-relative:margin;mso-wrap-style:none;z-index:251663360;mso-width-relative:page;mso-height-relative:page;" filled="f" stroked="f" coordsize="21600,21600" o:gfxdata="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5vBhS0wAAAAYBAAAPAAAAAAAAAAEAIAAAACIAAABkcnMvZG93bnJldi54bWxQSwEC&#10;FAAUAAAACACHTuJALlZmfjICAABjBAAADgAAAAAAAAABACAAAAAiAQAAZHJzL2Uyb0RvYy54bWxQ&#10;SwUGAAAAAAYABgBZAQAAxg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- 11 -</w:t>
                    </w:r>
                    <w:r>
                      <w:rPr>
                        <w:rFonts w:hint="eastAsia" w:ascii="宋体" w:hAnsi="宋体" w:eastAsia="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47899"/>
      <w:docPartObj>
        <w:docPartGallery w:val="autotext"/>
      </w:docPartObj>
    </w:sdtPr>
    <w:sdtEndPr>
      <w:rPr>
        <w:rFonts w:ascii="宋体" w:hAnsi="宋体" w:eastAsia="宋体"/>
        <w:sz w:val="21"/>
        <w:szCs w:val="21"/>
      </w:rPr>
    </w:sdtEndPr>
    <w:sdtContent>
      <w:p>
        <w:pPr>
          <w:pStyle w:val="5"/>
        </w:pPr>
        <w:r>
          <w:rPr>
            <w:rFonts w:ascii="宋体" w:hAnsi="宋体" w:eastAsia="宋体"/>
            <w:sz w:val="21"/>
            <w:szCs w:val="21"/>
          </w:rPr>
          <w:fldChar w:fldCharType="begin"/>
        </w:r>
        <w:r>
          <w:rPr>
            <w:rFonts w:ascii="宋体" w:hAnsi="宋体" w:eastAsia="宋体"/>
            <w:sz w:val="21"/>
            <w:szCs w:val="21"/>
          </w:rPr>
          <w:instrText xml:space="preserve"> PAGE   \* MERGEFORMAT </w:instrText>
        </w:r>
        <w:r>
          <w:rPr>
            <w:rFonts w:ascii="宋体" w:hAnsi="宋体" w:eastAsia="宋体"/>
            <w:sz w:val="21"/>
            <w:szCs w:val="21"/>
          </w:rPr>
          <w:fldChar w:fldCharType="separate"/>
        </w:r>
        <w:r>
          <w:rPr>
            <w:rFonts w:hint="eastAsia" w:ascii="宋体" w:hAnsi="宋体" w:eastAsia="宋体"/>
            <w:sz w:val="21"/>
            <w:szCs w:val="21"/>
            <w:lang w:val="zh-CN"/>
          </w:rPr>
          <w:t>—</w:t>
        </w:r>
        <w:r>
          <w:rPr>
            <w:rFonts w:ascii="宋体" w:hAnsi="宋体" w:eastAsia="宋体"/>
            <w:sz w:val="21"/>
            <w:szCs w:val="21"/>
          </w:rPr>
          <w:t xml:space="preserve"> 26 </w:t>
        </w:r>
        <w:r>
          <w:rPr>
            <w:rFonts w:hint="eastAsia" w:ascii="宋体" w:hAnsi="宋体" w:eastAsia="宋体"/>
            <w:sz w:val="21"/>
            <w:szCs w:val="21"/>
            <w:lang w:eastAsia="zh-CN"/>
          </w:rPr>
          <w:t>—</w:t>
        </w:r>
        <w:r>
          <w:rPr>
            <w:rFonts w:ascii="宋体" w:hAnsi="宋体" w:eastAsia="宋体"/>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NlYWViOTBiMmNjNWNiZjZiNjhkN2M2ZDYwMjkifQ=="/>
  </w:docVars>
  <w:rsids>
    <w:rsidRoot w:val="4A0677AF"/>
    <w:rsid w:val="07850723"/>
    <w:rsid w:val="0D365617"/>
    <w:rsid w:val="0DFE1AFC"/>
    <w:rsid w:val="18493525"/>
    <w:rsid w:val="4A0677AF"/>
    <w:rsid w:val="53A61AD0"/>
    <w:rsid w:val="53BB4375"/>
    <w:rsid w:val="56631FAC"/>
    <w:rsid w:val="65D057E5"/>
    <w:rsid w:val="68900F06"/>
    <w:rsid w:val="6C951DF3"/>
    <w:rsid w:val="71240807"/>
    <w:rsid w:val="76B45B16"/>
    <w:rsid w:val="786F7A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paragraph" w:styleId="3">
    <w:name w:val="heading 3"/>
    <w:basedOn w:val="1"/>
    <w:next w:val="1"/>
    <w:qFormat/>
    <w:uiPriority w:val="0"/>
    <w:pPr>
      <w:keepNext/>
      <w:keepLines/>
      <w:spacing w:before="260" w:after="260" w:line="416" w:lineRule="auto"/>
      <w:jc w:val="both"/>
      <w:outlineLvl w:val="2"/>
    </w:pPr>
    <w:rPr>
      <w:rFonts w:ascii="Times New Roman" w:hAnsi="Times New Roman" w:eastAsia="宋体" w:cs="Times New Roman"/>
      <w:b/>
      <w:bCs/>
      <w:sz w:val="32"/>
      <w:szCs w:val="32"/>
    </w:rPr>
  </w:style>
  <w:style w:type="paragraph" w:styleId="4">
    <w:name w:val="heading 4"/>
    <w:basedOn w:val="1"/>
    <w:next w:val="1"/>
    <w:qFormat/>
    <w:uiPriority w:val="0"/>
    <w:pPr>
      <w:keepNext/>
      <w:keepLines/>
      <w:spacing w:before="280" w:after="290" w:line="376" w:lineRule="auto"/>
      <w:jc w:val="both"/>
      <w:outlineLvl w:val="3"/>
    </w:pPr>
    <w:rPr>
      <w:rFonts w:ascii="Arial" w:hAnsi="Arial" w:eastAsia="黑体" w:cs="Times New Roman"/>
      <w:b/>
      <w:bCs/>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300" w:lineRule="auto"/>
      <w:ind w:firstLine="567"/>
    </w:pPr>
    <w:rPr>
      <w:sz w:val="28"/>
    </w:rPr>
  </w:style>
  <w:style w:type="paragraph" w:styleId="5">
    <w:name w:val="footer"/>
    <w:basedOn w:val="1"/>
    <w:unhideWhenUsed/>
    <w:qFormat/>
    <w:uiPriority w:val="99"/>
    <w:pPr>
      <w:tabs>
        <w:tab w:val="center" w:pos="4153"/>
        <w:tab w:val="right" w:pos="8306"/>
      </w:tabs>
      <w:snapToGrid w:val="0"/>
      <w:spacing w:line="240" w:lineRule="auto"/>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jpe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7901</Words>
  <Characters>10083</Characters>
  <Lines>0</Lines>
  <Paragraphs>0</Paragraphs>
  <TotalTime>0</TotalTime>
  <ScaleCrop>false</ScaleCrop>
  <LinksUpToDate>false</LinksUpToDate>
  <CharactersWithSpaces>10182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2022-08-03T08:17:00Z</dcterms:created>
  <dc:creator>水手公园</dc:creator>
  <cp:lastModifiedBy>水手公园</cp:lastModifiedBy>
  <cp:lastPrinted>2022-08-12T02:42:00Z</cp:lastPrinted>
  <dcterms:modified xsi:type="dcterms:W3CDTF">2022-08-12T03:21:27Z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EF915C907A6D4F3B8BB86D4587661F05</vt:lpwstr>
  </property>
</Properties>
</file>