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方正黑体简体" w:hAnsi="方正黑体简体" w:eastAsia="方正黑体简体" w:cs="方正黑体简体"/>
          <w:b w:val="0"/>
          <w:bCs w:val="0"/>
          <w:color w:val="auto"/>
          <w:kern w:val="21"/>
          <w:sz w:val="32"/>
          <w:szCs w:val="32"/>
          <w:lang w:val="en-US" w:eastAsia="zh-CN"/>
        </w:rPr>
      </w:pPr>
      <w:r>
        <w:rPr>
          <w:rFonts w:hint="eastAsia" w:ascii="方正黑体简体" w:hAnsi="方正黑体简体" w:eastAsia="方正黑体简体" w:cs="方正黑体简体"/>
          <w:b w:val="0"/>
          <w:bCs w:val="0"/>
          <w:color w:val="auto"/>
          <w:kern w:val="21"/>
          <w:sz w:val="32"/>
          <w:szCs w:val="32"/>
          <w:lang w:eastAsia="zh-CN"/>
        </w:rPr>
        <w:t>附件</w:t>
      </w:r>
      <w:r>
        <w:rPr>
          <w:rFonts w:hint="eastAsia" w:ascii="方正黑体简体" w:hAnsi="方正黑体简体" w:eastAsia="方正黑体简体" w:cs="方正黑体简体"/>
          <w:b w:val="0"/>
          <w:bCs w:val="0"/>
          <w:color w:val="auto"/>
          <w:kern w:val="21"/>
          <w:sz w:val="32"/>
          <w:szCs w:val="32"/>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kern w:val="21"/>
          <w:sz w:val="44"/>
          <w:szCs w:val="44"/>
        </w:rPr>
      </w:pPr>
      <w:r>
        <w:rPr>
          <w:rFonts w:hint="eastAsia" w:ascii="Times New Roman" w:hAnsi="Times New Roman" w:eastAsia="方正小标宋简体" w:cs="Times New Roman"/>
          <w:b w:val="0"/>
          <w:bCs w:val="0"/>
          <w:color w:val="auto"/>
          <w:kern w:val="21"/>
          <w:sz w:val="44"/>
          <w:szCs w:val="44"/>
        </w:rPr>
        <w:t>济宁高新区企业全生命周期服务集成改革试</w:t>
      </w:r>
      <w:r>
        <w:rPr>
          <w:rFonts w:ascii="Times New Roman" w:hAnsi="Times New Roman" w:eastAsia="方正小标宋简体" w:cs="Times New Roman"/>
          <w:b w:val="0"/>
          <w:bCs w:val="0"/>
          <w:color w:val="auto"/>
          <w:kern w:val="21"/>
          <w:sz w:val="44"/>
          <w:szCs w:val="44"/>
        </w:rPr>
        <w:t>点工作责任分工</w:t>
      </w:r>
      <w:r>
        <w:rPr>
          <w:rFonts w:hint="eastAsia" w:ascii="Times New Roman" w:hAnsi="Times New Roman" w:eastAsia="方正小标宋简体" w:cs="Times New Roman"/>
          <w:b w:val="0"/>
          <w:bCs w:val="0"/>
          <w:color w:val="auto"/>
          <w:kern w:val="21"/>
          <w:sz w:val="44"/>
          <w:szCs w:val="44"/>
          <w:lang w:eastAsia="zh-CN"/>
        </w:rPr>
        <w:t>配档</w:t>
      </w:r>
      <w:r>
        <w:rPr>
          <w:rFonts w:ascii="Times New Roman" w:hAnsi="Times New Roman" w:eastAsia="方正小标宋简体" w:cs="Times New Roman"/>
          <w:b w:val="0"/>
          <w:bCs w:val="0"/>
          <w:color w:val="auto"/>
          <w:kern w:val="21"/>
          <w:sz w:val="44"/>
          <w:szCs w:val="44"/>
        </w:rPr>
        <w:t>表</w:t>
      </w:r>
    </w:p>
    <w:tbl>
      <w:tblPr>
        <w:tblStyle w:val="4"/>
        <w:tblW w:w="142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62"/>
        <w:gridCol w:w="1669"/>
        <w:gridCol w:w="5967"/>
        <w:gridCol w:w="1983"/>
        <w:gridCol w:w="39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5" w:hRule="atLeast"/>
          <w:tblHeader/>
          <w:jc w:val="center"/>
        </w:trPr>
        <w:tc>
          <w:tcPr>
            <w:tcW w:w="662" w:type="dxa"/>
            <w:vAlign w:val="center"/>
          </w:tcPr>
          <w:p>
            <w:pPr>
              <w:snapToGrid w:val="0"/>
              <w:ind w:left="-63" w:leftChars="-30" w:right="-63" w:rightChars="-30"/>
              <w:jc w:val="center"/>
              <w:rPr>
                <w:rFonts w:hint="eastAsia" w:ascii="方正黑体简体" w:hAnsi="方正黑体简体" w:eastAsia="方正黑体简体" w:cs="方正黑体简体"/>
                <w:b w:val="0"/>
                <w:bCs w:val="0"/>
                <w:color w:val="auto"/>
                <w:kern w:val="21"/>
                <w:sz w:val="24"/>
                <w:szCs w:val="24"/>
              </w:rPr>
            </w:pPr>
            <w:r>
              <w:rPr>
                <w:rFonts w:hint="eastAsia" w:ascii="方正黑体简体" w:hAnsi="方正黑体简体" w:eastAsia="方正黑体简体" w:cs="方正黑体简体"/>
                <w:b w:val="0"/>
                <w:bCs w:val="0"/>
                <w:color w:val="auto"/>
                <w:kern w:val="21"/>
                <w:sz w:val="24"/>
                <w:szCs w:val="24"/>
              </w:rPr>
              <w:t>序号</w:t>
            </w:r>
          </w:p>
        </w:tc>
        <w:tc>
          <w:tcPr>
            <w:tcW w:w="1669" w:type="dxa"/>
            <w:vAlign w:val="center"/>
          </w:tcPr>
          <w:p>
            <w:pPr>
              <w:widowControl/>
              <w:snapToGrid w:val="0"/>
              <w:ind w:right="-63" w:rightChars="-30"/>
              <w:jc w:val="center"/>
              <w:rPr>
                <w:rFonts w:hint="eastAsia" w:ascii="方正黑体简体" w:hAnsi="方正黑体简体" w:eastAsia="方正黑体简体" w:cs="方正黑体简体"/>
                <w:b w:val="0"/>
                <w:bCs w:val="0"/>
                <w:color w:val="auto"/>
                <w:kern w:val="21"/>
                <w:sz w:val="24"/>
                <w:szCs w:val="24"/>
              </w:rPr>
            </w:pPr>
            <w:r>
              <w:rPr>
                <w:rFonts w:hint="eastAsia" w:ascii="方正黑体简体" w:hAnsi="方正黑体简体" w:eastAsia="方正黑体简体" w:cs="方正黑体简体"/>
                <w:b w:val="0"/>
                <w:bCs w:val="0"/>
                <w:color w:val="auto"/>
                <w:kern w:val="21"/>
                <w:sz w:val="24"/>
                <w:szCs w:val="24"/>
              </w:rPr>
              <w:t>工作事项</w:t>
            </w:r>
          </w:p>
        </w:tc>
        <w:tc>
          <w:tcPr>
            <w:tcW w:w="5967" w:type="dxa"/>
            <w:vAlign w:val="center"/>
          </w:tcPr>
          <w:p>
            <w:pPr>
              <w:widowControl/>
              <w:snapToGrid w:val="0"/>
              <w:ind w:right="-63" w:rightChars="-30"/>
              <w:jc w:val="center"/>
              <w:rPr>
                <w:rFonts w:hint="eastAsia" w:ascii="方正黑体简体" w:hAnsi="方正黑体简体" w:eastAsia="方正黑体简体" w:cs="方正黑体简体"/>
                <w:b w:val="0"/>
                <w:bCs w:val="0"/>
                <w:color w:val="auto"/>
                <w:kern w:val="21"/>
                <w:sz w:val="24"/>
                <w:szCs w:val="24"/>
              </w:rPr>
            </w:pPr>
            <w:r>
              <w:rPr>
                <w:rFonts w:hint="eastAsia" w:ascii="方正黑体简体" w:hAnsi="方正黑体简体" w:eastAsia="方正黑体简体" w:cs="方正黑体简体"/>
                <w:b w:val="0"/>
                <w:bCs w:val="0"/>
                <w:color w:val="auto"/>
                <w:kern w:val="21"/>
                <w:sz w:val="24"/>
                <w:szCs w:val="24"/>
              </w:rPr>
              <w:t>任务目标</w:t>
            </w:r>
          </w:p>
        </w:tc>
        <w:tc>
          <w:tcPr>
            <w:tcW w:w="1983" w:type="dxa"/>
            <w:vAlign w:val="center"/>
          </w:tcPr>
          <w:p>
            <w:pPr>
              <w:widowControl/>
              <w:snapToGrid w:val="0"/>
              <w:ind w:left="-63" w:leftChars="-30" w:right="-63" w:rightChars="-30"/>
              <w:jc w:val="center"/>
              <w:rPr>
                <w:rFonts w:hint="eastAsia" w:ascii="方正黑体简体" w:hAnsi="方正黑体简体" w:eastAsia="方正黑体简体" w:cs="方正黑体简体"/>
                <w:b w:val="0"/>
                <w:bCs w:val="0"/>
                <w:color w:val="auto"/>
                <w:kern w:val="21"/>
                <w:sz w:val="24"/>
                <w:szCs w:val="24"/>
              </w:rPr>
            </w:pPr>
            <w:r>
              <w:rPr>
                <w:rFonts w:hint="eastAsia" w:ascii="方正黑体简体" w:hAnsi="方正黑体简体" w:eastAsia="方正黑体简体" w:cs="方正黑体简体"/>
                <w:b w:val="0"/>
                <w:bCs w:val="0"/>
                <w:color w:val="auto"/>
                <w:kern w:val="21"/>
                <w:sz w:val="24"/>
                <w:szCs w:val="24"/>
              </w:rPr>
              <w:t>牵头部门</w:t>
            </w:r>
          </w:p>
        </w:tc>
        <w:tc>
          <w:tcPr>
            <w:tcW w:w="3919" w:type="dxa"/>
            <w:vAlign w:val="center"/>
          </w:tcPr>
          <w:p>
            <w:pPr>
              <w:widowControl/>
              <w:snapToGrid w:val="0"/>
              <w:ind w:left="-63" w:leftChars="-30" w:right="-63" w:rightChars="-30"/>
              <w:jc w:val="center"/>
              <w:rPr>
                <w:rFonts w:hint="eastAsia" w:ascii="方正黑体简体" w:hAnsi="方正黑体简体" w:eastAsia="方正黑体简体" w:cs="方正黑体简体"/>
                <w:b w:val="0"/>
                <w:bCs w:val="0"/>
                <w:color w:val="auto"/>
                <w:kern w:val="21"/>
                <w:sz w:val="24"/>
                <w:szCs w:val="24"/>
              </w:rPr>
            </w:pPr>
            <w:r>
              <w:rPr>
                <w:rFonts w:hint="eastAsia" w:ascii="方正黑体简体" w:hAnsi="方正黑体简体" w:eastAsia="方正黑体简体" w:cs="方正黑体简体"/>
                <w:b w:val="0"/>
                <w:bCs w:val="0"/>
                <w:color w:val="auto"/>
                <w:kern w:val="21"/>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26" w:hRule="atLeast"/>
          <w:jc w:val="center"/>
        </w:trPr>
        <w:tc>
          <w:tcPr>
            <w:tcW w:w="662" w:type="dxa"/>
            <w:vAlign w:val="center"/>
          </w:tcPr>
          <w:p>
            <w:pPr>
              <w:widowControl/>
              <w:snapToGrid w:val="0"/>
              <w:spacing w:line="30" w:lineRule="atLeast"/>
              <w:ind w:right="-63" w:rightChars="-30"/>
              <w:jc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w:t>
            </w:r>
          </w:p>
        </w:tc>
        <w:tc>
          <w:tcPr>
            <w:tcW w:w="166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提升企业开办服务水平</w:t>
            </w:r>
          </w:p>
        </w:tc>
        <w:tc>
          <w:tcPr>
            <w:tcW w:w="5967"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推进“电子两证”“企业身份码”在企业开办领域应用，深化线上线下融合服务，升级线上“一网”、整合线下“一窗”，实现营业执照申领、印章刻制、涉税办理、社保登记、医保登记、公积金登记和银行预约开户等事项“一链办理”；推进电子印章和电子营业执照同步发放；加快推动企业开办标准化规范化工作，持续提升企业开办服务能力。</w:t>
            </w:r>
          </w:p>
        </w:tc>
        <w:tc>
          <w:tcPr>
            <w:tcW w:w="1983"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行政审批服务局、市场</w:t>
            </w:r>
            <w:r>
              <w:rPr>
                <w:rFonts w:hint="eastAsia" w:ascii="方正仿宋简体" w:hAnsi="方正仿宋简体" w:eastAsia="方正仿宋简体" w:cs="方正仿宋简体"/>
                <w:b w:val="0"/>
                <w:bCs w:val="0"/>
                <w:color w:val="auto"/>
                <w:kern w:val="21"/>
                <w:sz w:val="24"/>
                <w:lang w:eastAsia="zh-CN"/>
              </w:rPr>
              <w:t>监督管理</w:t>
            </w:r>
            <w:r>
              <w:rPr>
                <w:rFonts w:hint="eastAsia" w:ascii="方正仿宋简体" w:hAnsi="方正仿宋简体" w:eastAsia="方正仿宋简体" w:cs="方正仿宋简体"/>
                <w:b w:val="0"/>
                <w:bCs w:val="0"/>
                <w:color w:val="auto"/>
                <w:kern w:val="21"/>
                <w:sz w:val="24"/>
              </w:rPr>
              <w:t>局</w:t>
            </w:r>
          </w:p>
        </w:tc>
        <w:tc>
          <w:tcPr>
            <w:tcW w:w="391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党政办公室、党工委组织部（人力资源部）、发展软环境保障局、公安分局、市住房公积金管理中心第三管理部、区税务局等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86" w:hRule="atLeast"/>
          <w:jc w:val="center"/>
        </w:trPr>
        <w:tc>
          <w:tcPr>
            <w:tcW w:w="662" w:type="dxa"/>
            <w:vAlign w:val="center"/>
          </w:tcPr>
          <w:p>
            <w:pPr>
              <w:widowControl/>
              <w:snapToGrid w:val="0"/>
              <w:spacing w:line="30" w:lineRule="atLeast"/>
              <w:ind w:right="-63" w:rightChars="-30"/>
              <w:jc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2</w:t>
            </w:r>
          </w:p>
        </w:tc>
        <w:tc>
          <w:tcPr>
            <w:tcW w:w="166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推行“一站式”企业变更</w:t>
            </w:r>
          </w:p>
        </w:tc>
        <w:tc>
          <w:tcPr>
            <w:tcW w:w="5967"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实行企业变更登记和社会保险单位基本信息、医疗保险单位、税务、住房公积金单位缴存变更登记联审联变、“一站式”办结，便捷企业变更。</w:t>
            </w:r>
          </w:p>
        </w:tc>
        <w:tc>
          <w:tcPr>
            <w:tcW w:w="1983"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行政审批服务局、市场</w:t>
            </w:r>
            <w:r>
              <w:rPr>
                <w:rFonts w:hint="eastAsia" w:ascii="方正仿宋简体" w:hAnsi="方正仿宋简体" w:eastAsia="方正仿宋简体" w:cs="方正仿宋简体"/>
                <w:b w:val="0"/>
                <w:bCs w:val="0"/>
                <w:color w:val="auto"/>
                <w:kern w:val="21"/>
                <w:sz w:val="24"/>
                <w:lang w:eastAsia="zh-CN"/>
              </w:rPr>
              <w:t>监督管理</w:t>
            </w:r>
            <w:r>
              <w:rPr>
                <w:rFonts w:hint="eastAsia" w:ascii="方正仿宋简体" w:hAnsi="方正仿宋简体" w:eastAsia="方正仿宋简体" w:cs="方正仿宋简体"/>
                <w:b w:val="0"/>
                <w:bCs w:val="0"/>
                <w:color w:val="auto"/>
                <w:kern w:val="21"/>
                <w:sz w:val="24"/>
              </w:rPr>
              <w:t>局</w:t>
            </w:r>
          </w:p>
        </w:tc>
        <w:tc>
          <w:tcPr>
            <w:tcW w:w="391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党政办公室、党工委组织部（人力资源部）、发展软环境保障局、税务局、市住房公积金管理中心第三管理部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07" w:hRule="atLeast"/>
          <w:jc w:val="center"/>
        </w:trPr>
        <w:tc>
          <w:tcPr>
            <w:tcW w:w="662" w:type="dxa"/>
            <w:vAlign w:val="center"/>
          </w:tcPr>
          <w:p>
            <w:pPr>
              <w:widowControl/>
              <w:snapToGrid w:val="0"/>
              <w:spacing w:line="30" w:lineRule="atLeast"/>
              <w:ind w:right="-63" w:rightChars="-30"/>
              <w:jc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3</w:t>
            </w:r>
          </w:p>
        </w:tc>
        <w:tc>
          <w:tcPr>
            <w:tcW w:w="166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拓展企业准营适用范畴</w:t>
            </w:r>
          </w:p>
        </w:tc>
        <w:tc>
          <w:tcPr>
            <w:tcW w:w="5967"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将生产经营许可、社会服务许可中两个以上行业关联事项纳入“一业一证”范畴，实现“一证准营”；涉及单个许可或备案的事项，纳入“证照联办”范畴，结合“双全双百”工作，实行营业执照和许可证联合办理；推进涉企许可证件在电子营业执照系统的归集，实现联管联展联用；严格执行涉企经营许可事项清单管理制度，大力推进“证照分离”改革。</w:t>
            </w:r>
          </w:p>
        </w:tc>
        <w:tc>
          <w:tcPr>
            <w:tcW w:w="1983"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行政审批服务局、市场</w:t>
            </w:r>
            <w:r>
              <w:rPr>
                <w:rFonts w:hint="eastAsia" w:ascii="方正仿宋简体" w:hAnsi="方正仿宋简体" w:eastAsia="方正仿宋简体" w:cs="方正仿宋简体"/>
                <w:b w:val="0"/>
                <w:bCs w:val="0"/>
                <w:color w:val="auto"/>
                <w:kern w:val="21"/>
                <w:sz w:val="24"/>
                <w:lang w:eastAsia="zh-CN"/>
              </w:rPr>
              <w:t>监督管理</w:t>
            </w:r>
            <w:r>
              <w:rPr>
                <w:rFonts w:hint="eastAsia" w:ascii="方正仿宋简体" w:hAnsi="方正仿宋简体" w:eastAsia="方正仿宋简体" w:cs="方正仿宋简体"/>
                <w:b w:val="0"/>
                <w:bCs w:val="0"/>
                <w:color w:val="auto"/>
                <w:kern w:val="21"/>
                <w:sz w:val="24"/>
              </w:rPr>
              <w:t>局</w:t>
            </w:r>
          </w:p>
        </w:tc>
        <w:tc>
          <w:tcPr>
            <w:tcW w:w="391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经济发展局、党工委组织部（人力资源部）、城乡建设和交通局、发展软环境保障局</w:t>
            </w:r>
            <w:r>
              <w:rPr>
                <w:rFonts w:hint="eastAsia" w:ascii="方正仿宋简体" w:hAnsi="方正仿宋简体" w:eastAsia="方正仿宋简体" w:cs="方正仿宋简体"/>
                <w:b w:val="0"/>
                <w:bCs w:val="0"/>
                <w:color w:val="auto"/>
                <w:kern w:val="21"/>
                <w:sz w:val="24"/>
                <w:lang w:eastAsia="zh-CN"/>
              </w:rPr>
              <w:t>（</w:t>
            </w:r>
            <w:r>
              <w:rPr>
                <w:rFonts w:hint="eastAsia" w:ascii="方正仿宋简体" w:hAnsi="方正仿宋简体" w:eastAsia="方正仿宋简体" w:cs="方正仿宋简体"/>
                <w:b w:val="0"/>
                <w:bCs w:val="0"/>
                <w:color w:val="auto"/>
                <w:kern w:val="21"/>
                <w:sz w:val="24"/>
                <w:lang w:val="en-US" w:eastAsia="zh-CN"/>
              </w:rPr>
              <w:t>含</w:t>
            </w:r>
            <w:r>
              <w:rPr>
                <w:rFonts w:hint="eastAsia" w:ascii="方正仿宋简体" w:hAnsi="方正仿宋简体" w:eastAsia="方正仿宋简体" w:cs="方正仿宋简体"/>
                <w:b w:val="0"/>
                <w:bCs w:val="0"/>
                <w:color w:val="auto"/>
                <w:kern w:val="21"/>
                <w:sz w:val="24"/>
              </w:rPr>
              <w:t>城乡统筹发展</w:t>
            </w:r>
            <w:r>
              <w:rPr>
                <w:rFonts w:hint="eastAsia" w:ascii="方正仿宋简体" w:hAnsi="方正仿宋简体" w:eastAsia="方正仿宋简体" w:cs="方正仿宋简体"/>
                <w:b w:val="0"/>
                <w:bCs w:val="0"/>
                <w:color w:val="auto"/>
                <w:kern w:val="21"/>
                <w:sz w:val="24"/>
                <w:lang w:eastAsia="zh-CN"/>
              </w:rPr>
              <w:t>）</w:t>
            </w:r>
            <w:r>
              <w:rPr>
                <w:rFonts w:hint="eastAsia" w:ascii="方正仿宋简体" w:hAnsi="方正仿宋简体" w:eastAsia="方正仿宋简体" w:cs="方正仿宋简体"/>
                <w:b w:val="0"/>
                <w:bCs w:val="0"/>
                <w:color w:val="auto"/>
                <w:kern w:val="21"/>
                <w:sz w:val="24"/>
              </w:rPr>
              <w:t>、党政办公室（宣传）、公安分局、消防救援大队等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71" w:hRule="atLeast"/>
          <w:jc w:val="center"/>
        </w:trPr>
        <w:tc>
          <w:tcPr>
            <w:tcW w:w="662" w:type="dxa"/>
            <w:vAlign w:val="center"/>
          </w:tcPr>
          <w:p>
            <w:pPr>
              <w:widowControl/>
              <w:snapToGrid w:val="0"/>
              <w:spacing w:line="30" w:lineRule="atLeast"/>
              <w:ind w:right="-63" w:rightChars="-30"/>
              <w:jc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4</w:t>
            </w:r>
          </w:p>
        </w:tc>
        <w:tc>
          <w:tcPr>
            <w:tcW w:w="166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集成员工保障服务体系</w:t>
            </w:r>
          </w:p>
        </w:tc>
        <w:tc>
          <w:tcPr>
            <w:tcW w:w="5967"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将就业登记、劳动用工备案、社会保险登记事项，以及职工参保登记（医保）、职工医疗保险费、生育保险费的申报核定、单位医疗保险工资申报、住房公积金缴存等事项集成办理，着力推进“网上办”“掌上办”“就近办”。</w:t>
            </w:r>
          </w:p>
        </w:tc>
        <w:tc>
          <w:tcPr>
            <w:tcW w:w="1983"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党工委组织部（人力资源部）、行政审批服务局</w:t>
            </w:r>
          </w:p>
        </w:tc>
        <w:tc>
          <w:tcPr>
            <w:tcW w:w="391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发展</w:t>
            </w:r>
            <w:r>
              <w:rPr>
                <w:rFonts w:hint="eastAsia" w:ascii="方正仿宋简体" w:hAnsi="方正仿宋简体" w:eastAsia="方正仿宋简体" w:cs="方正仿宋简体"/>
                <w:b w:val="0"/>
                <w:bCs w:val="0"/>
                <w:color w:val="auto"/>
                <w:kern w:val="21"/>
                <w:sz w:val="24"/>
                <w:lang w:eastAsia="zh-CN"/>
              </w:rPr>
              <w:t>软环境保障</w:t>
            </w:r>
            <w:r>
              <w:rPr>
                <w:rFonts w:hint="eastAsia" w:ascii="方正仿宋简体" w:hAnsi="方正仿宋简体" w:eastAsia="方正仿宋简体" w:cs="方正仿宋简体"/>
                <w:b w:val="0"/>
                <w:bCs w:val="0"/>
                <w:color w:val="auto"/>
                <w:kern w:val="21"/>
                <w:sz w:val="24"/>
              </w:rPr>
              <w:t>局、税务局、市住房公积金管理中心第三管理部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71" w:hRule="atLeast"/>
          <w:jc w:val="center"/>
        </w:trPr>
        <w:tc>
          <w:tcPr>
            <w:tcW w:w="662" w:type="dxa"/>
            <w:vAlign w:val="center"/>
          </w:tcPr>
          <w:p>
            <w:pPr>
              <w:widowControl/>
              <w:snapToGrid w:val="0"/>
              <w:spacing w:line="30" w:lineRule="atLeast"/>
              <w:ind w:right="-63" w:rightChars="-30"/>
              <w:jc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5</w:t>
            </w:r>
          </w:p>
        </w:tc>
        <w:tc>
          <w:tcPr>
            <w:tcW w:w="166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优化纳税申报服务流程</w:t>
            </w:r>
          </w:p>
        </w:tc>
        <w:tc>
          <w:tcPr>
            <w:tcW w:w="5967"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简并“纳税人资格和制度信息报告、纳税申报”等事项申报表，优化电子税务局功能，推进财产和行为税合并纳税申报。推广“非接触式”办税服务。推进发票电子化改革，优化增值税电子发票开具服务。</w:t>
            </w:r>
          </w:p>
        </w:tc>
        <w:tc>
          <w:tcPr>
            <w:tcW w:w="1983"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税务局</w:t>
            </w:r>
          </w:p>
        </w:tc>
        <w:tc>
          <w:tcPr>
            <w:tcW w:w="391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23" w:hRule="atLeast"/>
          <w:jc w:val="center"/>
        </w:trPr>
        <w:tc>
          <w:tcPr>
            <w:tcW w:w="662" w:type="dxa"/>
            <w:vAlign w:val="center"/>
          </w:tcPr>
          <w:p>
            <w:pPr>
              <w:widowControl/>
              <w:snapToGrid w:val="0"/>
              <w:spacing w:line="30" w:lineRule="atLeast"/>
              <w:ind w:right="-63" w:rightChars="-30"/>
              <w:jc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6</w:t>
            </w:r>
          </w:p>
        </w:tc>
        <w:tc>
          <w:tcPr>
            <w:tcW w:w="166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并联办理项目立项</w:t>
            </w:r>
          </w:p>
        </w:tc>
        <w:tc>
          <w:tcPr>
            <w:tcW w:w="5967"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将项目代码作为整个建设周期的唯一身份标识，推动工程建设项目审批系统与投资项目在线审批平台的业务协同和信息共享。将项目选址意见书和用地预审合二为一，实行建设用地规划许可证和建设用地批准书的并联办理。</w:t>
            </w:r>
          </w:p>
        </w:tc>
        <w:tc>
          <w:tcPr>
            <w:tcW w:w="1983"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行政审批服务局</w:t>
            </w:r>
          </w:p>
        </w:tc>
        <w:tc>
          <w:tcPr>
            <w:tcW w:w="391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lang w:val="en-US" w:eastAsia="zh-CN"/>
              </w:rPr>
            </w:pPr>
            <w:r>
              <w:rPr>
                <w:rFonts w:hint="eastAsia" w:ascii="方正仿宋简体" w:hAnsi="方正仿宋简体" w:eastAsia="方正仿宋简体" w:cs="方正仿宋简体"/>
                <w:b w:val="0"/>
                <w:bCs w:val="0"/>
                <w:color w:val="auto"/>
                <w:kern w:val="21"/>
                <w:sz w:val="24"/>
                <w:lang w:val="en-US" w:eastAsia="zh-CN"/>
              </w:rPr>
              <w:t>自然资源和规划分局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07" w:hRule="atLeast"/>
          <w:jc w:val="center"/>
        </w:trPr>
        <w:tc>
          <w:tcPr>
            <w:tcW w:w="662" w:type="dxa"/>
            <w:vAlign w:val="center"/>
          </w:tcPr>
          <w:p>
            <w:pPr>
              <w:widowControl/>
              <w:snapToGrid w:val="0"/>
              <w:spacing w:line="30" w:lineRule="atLeast"/>
              <w:ind w:right="-63" w:rightChars="-30"/>
              <w:jc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7</w:t>
            </w:r>
          </w:p>
        </w:tc>
        <w:tc>
          <w:tcPr>
            <w:tcW w:w="166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合并核发规划许可</w:t>
            </w:r>
          </w:p>
        </w:tc>
        <w:tc>
          <w:tcPr>
            <w:tcW w:w="5967"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规划审批部门在审查设计方案时，应会同相关部门一并审查结合民用建筑修建防空地下室审批文书。合并规划类审批事项，将“建设工程规划类许可证核发”“乡村建设规划许可证核发”“应建防空地下室的民用建筑项目报建审批”合并为“建设工程规划类许可证核发”。</w:t>
            </w:r>
          </w:p>
        </w:tc>
        <w:tc>
          <w:tcPr>
            <w:tcW w:w="1983"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自然资源和规划分局</w:t>
            </w:r>
          </w:p>
        </w:tc>
        <w:tc>
          <w:tcPr>
            <w:tcW w:w="391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城乡建设和交通局等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06" w:hRule="atLeast"/>
          <w:jc w:val="center"/>
        </w:trPr>
        <w:tc>
          <w:tcPr>
            <w:tcW w:w="662" w:type="dxa"/>
            <w:vAlign w:val="center"/>
          </w:tcPr>
          <w:p>
            <w:pPr>
              <w:widowControl/>
              <w:snapToGrid w:val="0"/>
              <w:spacing w:line="30" w:lineRule="atLeast"/>
              <w:ind w:right="-63" w:rightChars="-30"/>
              <w:jc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8</w:t>
            </w:r>
          </w:p>
        </w:tc>
        <w:tc>
          <w:tcPr>
            <w:tcW w:w="166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联合审查施工许可</w:t>
            </w:r>
          </w:p>
        </w:tc>
        <w:tc>
          <w:tcPr>
            <w:tcW w:w="5967"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实行施工图联合审查，将人防、消防、技防和水电热信等技术审查并入施工图设计文件审查，由具有相应资质的综合性审查机构或审图联合体实施，相关部门和专业经营单位不再进行技术审查。将“建设工程质量监督手续”“建设工程安全监督手续”“人防工程质量监督手续（防空地下室）”“建筑工程施工许可证核发”合并为“建筑工程施工许可证核发”；将“市政设施建设类审批”“工程建设涉及城市绿地、树木审批”“因工程建设需要拆除、改动、迁移供水、排水与污水处理设施审核”合并为“市政设施建设类审批”，施工前完成建设工程规划验线。</w:t>
            </w:r>
          </w:p>
        </w:tc>
        <w:tc>
          <w:tcPr>
            <w:tcW w:w="1983"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城乡建设和交通局、行政审批服务局</w:t>
            </w:r>
          </w:p>
        </w:tc>
        <w:tc>
          <w:tcPr>
            <w:tcW w:w="391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综合行政执法局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12" w:hRule="atLeast"/>
          <w:jc w:val="center"/>
        </w:trPr>
        <w:tc>
          <w:tcPr>
            <w:tcW w:w="662" w:type="dxa"/>
            <w:vAlign w:val="center"/>
          </w:tcPr>
          <w:p>
            <w:pPr>
              <w:widowControl/>
              <w:snapToGrid w:val="0"/>
              <w:spacing w:line="30" w:lineRule="atLeast"/>
              <w:ind w:right="-63" w:rightChars="-30"/>
              <w:jc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9</w:t>
            </w:r>
          </w:p>
        </w:tc>
        <w:tc>
          <w:tcPr>
            <w:tcW w:w="166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lang w:val="en-US" w:eastAsia="zh-CN"/>
              </w:rPr>
              <w:t>灵活</w:t>
            </w:r>
            <w:r>
              <w:rPr>
                <w:rFonts w:hint="eastAsia" w:ascii="方正仿宋简体" w:hAnsi="方正仿宋简体" w:eastAsia="方正仿宋简体" w:cs="方正仿宋简体"/>
                <w:b w:val="0"/>
                <w:bCs w:val="0"/>
                <w:color w:val="auto"/>
                <w:kern w:val="21"/>
                <w:sz w:val="24"/>
              </w:rPr>
              <w:t>运用竣工验收</w:t>
            </w:r>
          </w:p>
        </w:tc>
        <w:tc>
          <w:tcPr>
            <w:tcW w:w="5967"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建设单位可自主选择分段联合验收或集中联合验收。将“人防工程竣工验收备案”“建设工程竣工验收备案”“建设工程竣工档案验收”“建设工程消防验收或备案”合并办理。房地产开发项目配套建设的水电气热、通信等基础设施，教育、养老、医疗卫生、社区综合服务用房等公共服务设施，相关部门或单位可按照法律法规规定或前期有关约定，参与分段或集中联合验收，并签订相关设施移交协议。取水工程设施竣工验收后试运行满足条件的，开展取水许可验收。探索部分验收事项实行告知承诺制，综合运用承诺制等方式灵活办理验收手续；简化联合验收项目不动产首次登记手续，竣工联合验收通过后，发放《济宁市工程建设项目竣工联合验收意见书》，企业凭《联合验收意见书》办理不动产首次登记手续。</w:t>
            </w:r>
          </w:p>
        </w:tc>
        <w:tc>
          <w:tcPr>
            <w:tcW w:w="1983"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lang w:val="en-US" w:eastAsia="zh-CN"/>
              </w:rPr>
            </w:pPr>
            <w:r>
              <w:rPr>
                <w:rFonts w:hint="eastAsia" w:ascii="方正仿宋简体" w:hAnsi="方正仿宋简体" w:eastAsia="方正仿宋简体" w:cs="方正仿宋简体"/>
                <w:b w:val="0"/>
                <w:bCs w:val="0"/>
                <w:color w:val="auto"/>
                <w:kern w:val="21"/>
                <w:sz w:val="24"/>
              </w:rPr>
              <w:t>城乡建设和交通局</w:t>
            </w:r>
            <w:r>
              <w:rPr>
                <w:rFonts w:hint="eastAsia" w:ascii="方正仿宋简体" w:hAnsi="方正仿宋简体" w:eastAsia="方正仿宋简体" w:cs="方正仿宋简体"/>
                <w:b w:val="0"/>
                <w:bCs w:val="0"/>
                <w:color w:val="auto"/>
                <w:kern w:val="21"/>
                <w:sz w:val="24"/>
                <w:lang w:eastAsia="zh-CN"/>
              </w:rPr>
              <w:t>、</w:t>
            </w:r>
            <w:r>
              <w:rPr>
                <w:rFonts w:hint="eastAsia" w:ascii="方正仿宋简体" w:hAnsi="方正仿宋简体" w:eastAsia="方正仿宋简体" w:cs="方正仿宋简体"/>
                <w:b w:val="0"/>
                <w:bCs w:val="0"/>
                <w:color w:val="auto"/>
                <w:kern w:val="21"/>
                <w:sz w:val="24"/>
                <w:lang w:val="en-US" w:eastAsia="zh-CN"/>
              </w:rPr>
              <w:t>行政审批服务局</w:t>
            </w:r>
          </w:p>
        </w:tc>
        <w:tc>
          <w:tcPr>
            <w:tcW w:w="391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经济发展局、自然资源和规划分局、发展软环境保障局</w:t>
            </w:r>
            <w:r>
              <w:rPr>
                <w:rFonts w:hint="eastAsia" w:ascii="方正仿宋简体" w:hAnsi="方正仿宋简体" w:eastAsia="方正仿宋简体" w:cs="方正仿宋简体"/>
                <w:b w:val="0"/>
                <w:bCs w:val="0"/>
                <w:color w:val="auto"/>
                <w:kern w:val="21"/>
                <w:sz w:val="24"/>
                <w:lang w:eastAsia="zh-CN"/>
              </w:rPr>
              <w:t>（</w:t>
            </w:r>
            <w:r>
              <w:rPr>
                <w:rFonts w:hint="eastAsia" w:ascii="方正仿宋简体" w:hAnsi="方正仿宋简体" w:eastAsia="方正仿宋简体" w:cs="方正仿宋简体"/>
                <w:b w:val="0"/>
                <w:bCs w:val="0"/>
                <w:color w:val="auto"/>
                <w:kern w:val="21"/>
                <w:sz w:val="24"/>
                <w:lang w:val="en-US" w:eastAsia="zh-CN"/>
              </w:rPr>
              <w:t>含</w:t>
            </w:r>
            <w:r>
              <w:rPr>
                <w:rFonts w:hint="eastAsia" w:ascii="方正仿宋简体" w:hAnsi="方正仿宋简体" w:eastAsia="方正仿宋简体" w:cs="方正仿宋简体"/>
                <w:b w:val="0"/>
                <w:bCs w:val="0"/>
                <w:color w:val="auto"/>
                <w:kern w:val="21"/>
                <w:sz w:val="24"/>
              </w:rPr>
              <w:t>城乡统筹发展</w:t>
            </w:r>
            <w:r>
              <w:rPr>
                <w:rFonts w:hint="eastAsia" w:ascii="方正仿宋简体" w:hAnsi="方正仿宋简体" w:eastAsia="方正仿宋简体" w:cs="方正仿宋简体"/>
                <w:b w:val="0"/>
                <w:bCs w:val="0"/>
                <w:color w:val="auto"/>
                <w:kern w:val="21"/>
                <w:sz w:val="24"/>
                <w:lang w:eastAsia="zh-CN"/>
              </w:rPr>
              <w:t>）</w:t>
            </w:r>
            <w:r>
              <w:rPr>
                <w:rFonts w:hint="eastAsia" w:ascii="方正仿宋简体" w:hAnsi="方正仿宋简体" w:eastAsia="方正仿宋简体" w:cs="方正仿宋简体"/>
                <w:b w:val="0"/>
                <w:bCs w:val="0"/>
                <w:color w:val="auto"/>
                <w:kern w:val="21"/>
                <w:sz w:val="24"/>
              </w:rPr>
              <w:t>、市政公用服务专营单位等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51" w:hRule="atLeast"/>
          <w:jc w:val="center"/>
        </w:trPr>
        <w:tc>
          <w:tcPr>
            <w:tcW w:w="662" w:type="dxa"/>
            <w:vAlign w:val="center"/>
          </w:tcPr>
          <w:p>
            <w:pPr>
              <w:widowControl/>
              <w:snapToGrid w:val="0"/>
              <w:spacing w:line="30" w:lineRule="atLeast"/>
              <w:ind w:right="-63" w:rightChars="-30"/>
              <w:jc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10</w:t>
            </w:r>
          </w:p>
        </w:tc>
        <w:tc>
          <w:tcPr>
            <w:tcW w:w="166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推进工程建设项目审批“一码全通、码上服务”</w:t>
            </w:r>
          </w:p>
        </w:tc>
        <w:tc>
          <w:tcPr>
            <w:tcW w:w="5967"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全面推进工程建设项目审批“一码通”系统建设，并与山东省工程建设项目审批系统“双向互通、数据共享”，实现审批全流程全覆盖，依托“一码通”系统，聚“一码集成、一码全知、一码全办、一码核信、一码核查”于一体，实现工程建设项目审批“码上服务”。</w:t>
            </w:r>
          </w:p>
        </w:tc>
        <w:tc>
          <w:tcPr>
            <w:tcW w:w="1983"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行政审批服务局</w:t>
            </w:r>
          </w:p>
        </w:tc>
        <w:tc>
          <w:tcPr>
            <w:tcW w:w="391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城乡建设和交通局、自然资源和规划分局等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13" w:hRule="atLeast"/>
          <w:jc w:val="center"/>
        </w:trPr>
        <w:tc>
          <w:tcPr>
            <w:tcW w:w="662" w:type="dxa"/>
            <w:vAlign w:val="center"/>
          </w:tcPr>
          <w:p>
            <w:pPr>
              <w:widowControl/>
              <w:snapToGrid w:val="0"/>
              <w:spacing w:line="30" w:lineRule="atLeast"/>
              <w:ind w:right="-63" w:rightChars="-30"/>
              <w:jc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11</w:t>
            </w:r>
          </w:p>
        </w:tc>
        <w:tc>
          <w:tcPr>
            <w:tcW w:w="166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协同审批水电气热信报装</w:t>
            </w:r>
          </w:p>
        </w:tc>
        <w:tc>
          <w:tcPr>
            <w:tcW w:w="5967"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工程建设项目市政公用报装申请纳入“一张表单”“联合踏勘”，不再单独申请。工程审批系统与专营单位业务系统互联互通，或在工程审批系统设置报装模块，专营单位实时获取项目接入需求，及时提供主动服务。市政设施接入涉及的审批环节实行并联审批，探索实行告知承诺制。</w:t>
            </w:r>
          </w:p>
        </w:tc>
        <w:tc>
          <w:tcPr>
            <w:tcW w:w="1983"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lang w:val="en-US" w:eastAsia="zh-CN"/>
              </w:rPr>
            </w:pPr>
            <w:r>
              <w:rPr>
                <w:rFonts w:hint="eastAsia" w:ascii="方正仿宋简体" w:hAnsi="方正仿宋简体" w:eastAsia="方正仿宋简体" w:cs="方正仿宋简体"/>
                <w:b w:val="0"/>
                <w:bCs w:val="0"/>
                <w:color w:val="auto"/>
                <w:kern w:val="21"/>
                <w:sz w:val="24"/>
              </w:rPr>
              <w:t>城乡建设和交通局</w:t>
            </w:r>
            <w:r>
              <w:rPr>
                <w:rFonts w:hint="eastAsia" w:ascii="方正仿宋简体" w:hAnsi="方正仿宋简体" w:eastAsia="方正仿宋简体" w:cs="方正仿宋简体"/>
                <w:b w:val="0"/>
                <w:bCs w:val="0"/>
                <w:color w:val="auto"/>
                <w:kern w:val="21"/>
                <w:sz w:val="24"/>
                <w:lang w:eastAsia="zh-CN"/>
              </w:rPr>
              <w:t>、</w:t>
            </w:r>
            <w:r>
              <w:rPr>
                <w:rFonts w:hint="eastAsia" w:ascii="方正仿宋简体" w:hAnsi="方正仿宋简体" w:eastAsia="方正仿宋简体" w:cs="方正仿宋简体"/>
                <w:b w:val="0"/>
                <w:bCs w:val="0"/>
                <w:color w:val="auto"/>
                <w:kern w:val="21"/>
                <w:sz w:val="24"/>
                <w:lang w:val="en-US" w:eastAsia="zh-CN"/>
              </w:rPr>
              <w:t>行政审批服务局</w:t>
            </w:r>
          </w:p>
        </w:tc>
        <w:tc>
          <w:tcPr>
            <w:tcW w:w="391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经济发展局、</w:t>
            </w:r>
            <w:r>
              <w:rPr>
                <w:rFonts w:hint="eastAsia" w:ascii="方正仿宋简体" w:hAnsi="方正仿宋简体" w:eastAsia="方正仿宋简体" w:cs="方正仿宋简体"/>
                <w:b w:val="0"/>
                <w:bCs w:val="0"/>
                <w:color w:val="auto"/>
                <w:kern w:val="21"/>
                <w:sz w:val="24"/>
                <w:lang w:val="en-US" w:eastAsia="zh-CN"/>
              </w:rPr>
              <w:t>发展软环境保障局（</w:t>
            </w:r>
            <w:r>
              <w:rPr>
                <w:rFonts w:hint="eastAsia" w:ascii="方正仿宋简体" w:hAnsi="方正仿宋简体" w:eastAsia="方正仿宋简体" w:cs="方正仿宋简体"/>
                <w:b w:val="0"/>
                <w:bCs w:val="0"/>
                <w:color w:val="auto"/>
                <w:kern w:val="21"/>
                <w:sz w:val="24"/>
              </w:rPr>
              <w:t>城乡统筹发展</w:t>
            </w:r>
            <w:r>
              <w:rPr>
                <w:rFonts w:hint="eastAsia" w:ascii="方正仿宋简体" w:hAnsi="方正仿宋简体" w:eastAsia="方正仿宋简体" w:cs="方正仿宋简体"/>
                <w:b w:val="0"/>
                <w:bCs w:val="0"/>
                <w:color w:val="auto"/>
                <w:kern w:val="21"/>
                <w:sz w:val="24"/>
                <w:lang w:val="en-US" w:eastAsia="zh-CN"/>
              </w:rPr>
              <w:t>）</w:t>
            </w:r>
            <w:r>
              <w:rPr>
                <w:rFonts w:hint="eastAsia" w:ascii="方正仿宋简体" w:hAnsi="方正仿宋简体" w:eastAsia="方正仿宋简体" w:cs="方正仿宋简体"/>
                <w:b w:val="0"/>
                <w:bCs w:val="0"/>
                <w:color w:val="auto"/>
                <w:kern w:val="21"/>
                <w:sz w:val="24"/>
              </w:rPr>
              <w:t>、市政公用服务专营单位等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31" w:hRule="atLeast"/>
          <w:jc w:val="center"/>
        </w:trPr>
        <w:tc>
          <w:tcPr>
            <w:tcW w:w="662" w:type="dxa"/>
            <w:vAlign w:val="center"/>
          </w:tcPr>
          <w:p>
            <w:pPr>
              <w:widowControl/>
              <w:snapToGrid w:val="0"/>
              <w:spacing w:line="30" w:lineRule="atLeast"/>
              <w:ind w:right="-63" w:rightChars="-30"/>
              <w:jc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12</w:t>
            </w:r>
          </w:p>
        </w:tc>
        <w:tc>
          <w:tcPr>
            <w:tcW w:w="166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完善金融支持服务举措</w:t>
            </w:r>
          </w:p>
        </w:tc>
        <w:tc>
          <w:tcPr>
            <w:tcW w:w="5967"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鼓励银行机构积极创新产品和服务，为企业生命周期的不同阶段提供差异化信贷支持。推动涉企政务数据共享开放，进一步完善征信体系、政府性融资担保体系，拓宽企业直接融资渠道，优化金融信用生态环境。</w:t>
            </w:r>
          </w:p>
        </w:tc>
        <w:tc>
          <w:tcPr>
            <w:tcW w:w="1983"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财政金融局</w:t>
            </w:r>
          </w:p>
        </w:tc>
        <w:tc>
          <w:tcPr>
            <w:tcW w:w="391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党政办公室、经济发展局等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68" w:hRule="atLeast"/>
          <w:jc w:val="center"/>
        </w:trPr>
        <w:tc>
          <w:tcPr>
            <w:tcW w:w="662" w:type="dxa"/>
            <w:vAlign w:val="center"/>
          </w:tcPr>
          <w:p>
            <w:pPr>
              <w:widowControl/>
              <w:snapToGrid w:val="0"/>
              <w:spacing w:line="30" w:lineRule="atLeast"/>
              <w:ind w:right="-63" w:rightChars="-30"/>
              <w:jc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13</w:t>
            </w:r>
          </w:p>
        </w:tc>
        <w:tc>
          <w:tcPr>
            <w:tcW w:w="166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融合财产登记服务</w:t>
            </w:r>
          </w:p>
        </w:tc>
        <w:tc>
          <w:tcPr>
            <w:tcW w:w="5967"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扩展不动产登记网上业务类型，推进登记信息及地籍图查询，完善司法处置登记流程，优化非住房计税价格评估方式、提升缴税效率，扩大“交房（地）即办证”覆盖面。</w:t>
            </w:r>
          </w:p>
        </w:tc>
        <w:tc>
          <w:tcPr>
            <w:tcW w:w="1983"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自然资源和规划分局</w:t>
            </w:r>
          </w:p>
        </w:tc>
        <w:tc>
          <w:tcPr>
            <w:tcW w:w="391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党政办公室、城乡建设和交通局、税务局、</w:t>
            </w:r>
            <w:r>
              <w:rPr>
                <w:rFonts w:hint="eastAsia" w:ascii="方正仿宋简体" w:hAnsi="方正仿宋简体" w:eastAsia="方正仿宋简体" w:cs="方正仿宋简体"/>
                <w:b w:val="0"/>
                <w:bCs w:val="0"/>
                <w:color w:val="auto"/>
                <w:kern w:val="21"/>
                <w:sz w:val="24"/>
                <w:lang w:eastAsia="zh-CN"/>
              </w:rPr>
              <w:t>国网</w:t>
            </w:r>
            <w:r>
              <w:rPr>
                <w:rFonts w:hint="eastAsia" w:ascii="方正仿宋简体" w:hAnsi="方正仿宋简体" w:eastAsia="方正仿宋简体" w:cs="方正仿宋简体"/>
                <w:b w:val="0"/>
                <w:bCs w:val="0"/>
                <w:color w:val="auto"/>
                <w:kern w:val="21"/>
                <w:sz w:val="24"/>
              </w:rPr>
              <w:t>济宁供电公司高新</w:t>
            </w:r>
            <w:r>
              <w:rPr>
                <w:rFonts w:hint="eastAsia" w:ascii="方正仿宋简体" w:hAnsi="方正仿宋简体" w:eastAsia="方正仿宋简体" w:cs="方正仿宋简体"/>
                <w:b w:val="0"/>
                <w:bCs w:val="0"/>
                <w:color w:val="auto"/>
                <w:kern w:val="21"/>
                <w:sz w:val="24"/>
                <w:lang w:eastAsia="zh-CN"/>
              </w:rPr>
              <w:t>供电</w:t>
            </w:r>
            <w:r>
              <w:rPr>
                <w:rFonts w:hint="eastAsia" w:ascii="方正仿宋简体" w:hAnsi="方正仿宋简体" w:eastAsia="方正仿宋简体" w:cs="方正仿宋简体"/>
                <w:b w:val="0"/>
                <w:bCs w:val="0"/>
                <w:color w:val="auto"/>
                <w:kern w:val="21"/>
                <w:sz w:val="24"/>
              </w:rPr>
              <w:t>中心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76" w:hRule="atLeast"/>
          <w:jc w:val="center"/>
        </w:trPr>
        <w:tc>
          <w:tcPr>
            <w:tcW w:w="662" w:type="dxa"/>
            <w:vAlign w:val="center"/>
          </w:tcPr>
          <w:p>
            <w:pPr>
              <w:widowControl/>
              <w:snapToGrid w:val="0"/>
              <w:spacing w:line="30" w:lineRule="atLeast"/>
              <w:ind w:right="-63" w:rightChars="-30"/>
              <w:jc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14</w:t>
            </w:r>
          </w:p>
        </w:tc>
        <w:tc>
          <w:tcPr>
            <w:tcW w:w="166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精准对接公共就业服务专项</w:t>
            </w:r>
          </w:p>
        </w:tc>
        <w:tc>
          <w:tcPr>
            <w:tcW w:w="5967"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为用人单位吸纳就业困难人员申领岗位补贴、社会保险补贴、小微企业吸纳高校毕业生社会保险补贴申领等事项提供个性化、专业化精准服务，持续提高公共就业服务便利度。</w:t>
            </w:r>
          </w:p>
        </w:tc>
        <w:tc>
          <w:tcPr>
            <w:tcW w:w="1983"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党工委组织部（人力资源部）</w:t>
            </w:r>
          </w:p>
        </w:tc>
        <w:tc>
          <w:tcPr>
            <w:tcW w:w="391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14" w:hRule="atLeast"/>
          <w:jc w:val="center"/>
        </w:trPr>
        <w:tc>
          <w:tcPr>
            <w:tcW w:w="662" w:type="dxa"/>
            <w:vAlign w:val="center"/>
          </w:tcPr>
          <w:p>
            <w:pPr>
              <w:widowControl/>
              <w:snapToGrid w:val="0"/>
              <w:spacing w:line="30" w:lineRule="atLeast"/>
              <w:ind w:right="-63" w:rightChars="-30"/>
              <w:jc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15</w:t>
            </w:r>
          </w:p>
        </w:tc>
        <w:tc>
          <w:tcPr>
            <w:tcW w:w="166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构建知识产权保护体系</w:t>
            </w:r>
          </w:p>
        </w:tc>
        <w:tc>
          <w:tcPr>
            <w:tcW w:w="5967"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完善知识产权运营体系，依托国家知识产权局专利局济南代办处济宁工作站，全面开展商标权受理、专利权质押登记等知识产权业务“一窗通办”；优化知识产权服务，推动部分地区开展中小微企业知识产权托管服务；健全并持续扩大知识产权质押融资。</w:t>
            </w:r>
          </w:p>
        </w:tc>
        <w:tc>
          <w:tcPr>
            <w:tcW w:w="1983"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市场</w:t>
            </w:r>
            <w:r>
              <w:rPr>
                <w:rFonts w:hint="eastAsia" w:ascii="方正仿宋简体" w:hAnsi="方正仿宋简体" w:eastAsia="方正仿宋简体" w:cs="方正仿宋简体"/>
                <w:b w:val="0"/>
                <w:bCs w:val="0"/>
                <w:color w:val="auto"/>
                <w:kern w:val="21"/>
                <w:sz w:val="24"/>
                <w:lang w:eastAsia="zh-CN"/>
              </w:rPr>
              <w:t>监督管理</w:t>
            </w:r>
            <w:r>
              <w:rPr>
                <w:rFonts w:hint="eastAsia" w:ascii="方正仿宋简体" w:hAnsi="方正仿宋简体" w:eastAsia="方正仿宋简体" w:cs="方正仿宋简体"/>
                <w:b w:val="0"/>
                <w:bCs w:val="0"/>
                <w:color w:val="auto"/>
                <w:kern w:val="21"/>
                <w:sz w:val="24"/>
              </w:rPr>
              <w:t>局</w:t>
            </w:r>
          </w:p>
        </w:tc>
        <w:tc>
          <w:tcPr>
            <w:tcW w:w="391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党政办公室（政法）、区财政金融局等部门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11" w:hRule="atLeast"/>
          <w:jc w:val="center"/>
        </w:trPr>
        <w:tc>
          <w:tcPr>
            <w:tcW w:w="662" w:type="dxa"/>
            <w:vAlign w:val="center"/>
          </w:tcPr>
          <w:p>
            <w:pPr>
              <w:widowControl/>
              <w:snapToGrid w:val="0"/>
              <w:spacing w:line="30" w:lineRule="atLeast"/>
              <w:ind w:right="-63" w:rightChars="-30"/>
              <w:jc w:val="center"/>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16</w:t>
            </w:r>
          </w:p>
        </w:tc>
        <w:tc>
          <w:tcPr>
            <w:tcW w:w="166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深化一体化企业注销</w:t>
            </w:r>
          </w:p>
        </w:tc>
        <w:tc>
          <w:tcPr>
            <w:tcW w:w="5967"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深化企业简易注销改革，优化“一窗通”系统注销模块信息共享和业务协同，实现注销办理进度和结果实时共享；建立营业执照与许可证同步注销机制，提高注销便利度；探索推广企业代位注销模式。</w:t>
            </w:r>
          </w:p>
        </w:tc>
        <w:tc>
          <w:tcPr>
            <w:tcW w:w="1983"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行政审批服务局、市场</w:t>
            </w:r>
            <w:r>
              <w:rPr>
                <w:rFonts w:hint="eastAsia" w:ascii="方正仿宋简体" w:hAnsi="方正仿宋简体" w:eastAsia="方正仿宋简体" w:cs="方正仿宋简体"/>
                <w:b w:val="0"/>
                <w:bCs w:val="0"/>
                <w:color w:val="auto"/>
                <w:kern w:val="21"/>
                <w:sz w:val="24"/>
                <w:lang w:eastAsia="zh-CN"/>
              </w:rPr>
              <w:t>监督管理</w:t>
            </w:r>
            <w:r>
              <w:rPr>
                <w:rFonts w:hint="eastAsia" w:ascii="方正仿宋简体" w:hAnsi="方正仿宋简体" w:eastAsia="方正仿宋简体" w:cs="方正仿宋简体"/>
                <w:b w:val="0"/>
                <w:bCs w:val="0"/>
                <w:color w:val="auto"/>
                <w:kern w:val="21"/>
                <w:sz w:val="24"/>
              </w:rPr>
              <w:t>局</w:t>
            </w:r>
          </w:p>
        </w:tc>
        <w:tc>
          <w:tcPr>
            <w:tcW w:w="3919" w:type="dxa"/>
            <w:vAlign w:val="center"/>
          </w:tcPr>
          <w:p>
            <w:pPr>
              <w:widowControl/>
              <w:snapToGrid w:val="0"/>
              <w:spacing w:line="30" w:lineRule="atLeast"/>
              <w:ind w:right="-63" w:rightChars="-30"/>
              <w:rPr>
                <w:rFonts w:hint="eastAsia" w:ascii="方正仿宋简体" w:hAnsi="方正仿宋简体" w:eastAsia="方正仿宋简体" w:cs="方正仿宋简体"/>
                <w:b w:val="0"/>
                <w:bCs w:val="0"/>
                <w:color w:val="auto"/>
                <w:kern w:val="21"/>
                <w:sz w:val="24"/>
              </w:rPr>
            </w:pPr>
            <w:r>
              <w:rPr>
                <w:rFonts w:hint="eastAsia" w:ascii="方正仿宋简体" w:hAnsi="方正仿宋简体" w:eastAsia="方正仿宋简体" w:cs="方正仿宋简体"/>
                <w:b w:val="0"/>
                <w:bCs w:val="0"/>
                <w:color w:val="auto"/>
                <w:kern w:val="21"/>
                <w:sz w:val="24"/>
              </w:rPr>
              <w:t>党政办公室、党工委组织部（人力资源部）、发展</w:t>
            </w:r>
            <w:r>
              <w:rPr>
                <w:rFonts w:hint="eastAsia" w:ascii="方正仿宋简体" w:hAnsi="方正仿宋简体" w:eastAsia="方正仿宋简体" w:cs="方正仿宋简体"/>
                <w:b w:val="0"/>
                <w:bCs w:val="0"/>
                <w:color w:val="auto"/>
                <w:kern w:val="21"/>
                <w:sz w:val="24"/>
                <w:lang w:eastAsia="zh-CN"/>
              </w:rPr>
              <w:t>软环境保障</w:t>
            </w:r>
            <w:r>
              <w:rPr>
                <w:rFonts w:hint="eastAsia" w:ascii="方正仿宋简体" w:hAnsi="方正仿宋简体" w:eastAsia="方正仿宋简体" w:cs="方正仿宋简体"/>
                <w:b w:val="0"/>
                <w:bCs w:val="0"/>
                <w:color w:val="auto"/>
                <w:kern w:val="21"/>
                <w:sz w:val="24"/>
              </w:rPr>
              <w:t>局、税务局、市住房公积金管理中心第三管理部</w:t>
            </w:r>
          </w:p>
        </w:tc>
      </w:tr>
    </w:tbl>
    <w:p>
      <w:pPr>
        <w:rPr>
          <w:rFonts w:hint="eastAsia" w:ascii="方正黑体简体" w:hAnsi="方正黑体简体" w:eastAsia="方正黑体简体" w:cs="方正黑体简体"/>
          <w:b w:val="0"/>
          <w:bCs w:val="0"/>
          <w:color w:val="auto"/>
          <w:kern w:val="21"/>
          <w:sz w:val="32"/>
          <w:szCs w:val="32"/>
          <w:lang w:eastAsia="zh-CN"/>
        </w:rPr>
      </w:pPr>
      <w:r>
        <w:rPr>
          <w:rFonts w:hint="eastAsia" w:ascii="方正黑体简体" w:hAnsi="方正黑体简体" w:eastAsia="方正黑体简体" w:cs="方正黑体简体"/>
          <w:b w:val="0"/>
          <w:bCs w:val="0"/>
          <w:color w:val="auto"/>
          <w:kern w:val="21"/>
          <w:sz w:val="32"/>
          <w:szCs w:val="32"/>
          <w:lang w:eastAsia="zh-CN"/>
        </w:rPr>
        <w:br w:type="page"/>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ZTdhYmMzYmQ4MWZlMzhhOWQzOWZhOWJiZDRmZmIifQ=="/>
  </w:docVars>
  <w:rsids>
    <w:rsidRoot w:val="49765303"/>
    <w:rsid w:val="49765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Document Map"/>
    <w:basedOn w:val="1"/>
    <w:next w:val="1"/>
    <w:unhideWhenUsed/>
    <w:qFormat/>
    <w:uiPriority w:val="99"/>
    <w:rPr>
      <w:rFonts w:ascii="Microsoft YaHei UI" w:eastAsia="Microsoft YaHei UI"/>
      <w:sz w:val="18"/>
      <w:szCs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2022-12-14T09:32:00Z</dcterms:created>
  <dc:creator>糖炒栗子 ້໌ᮨ</dc:creator>
  <cp:lastModifiedBy>糖炒栗子 ້໌ᮨ</cp:lastModifiedBy>
  <dcterms:modified xsi:type="dcterms:W3CDTF">2022-12-14T09:34:47Z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E3DE263972D440E58106F82B0461D1D7</vt:lpwstr>
  </property>
</Properties>
</file>