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0"/>
          <w:tab w:val="center" w:pos="4262"/>
        </w:tabs>
        <w:spacing w:line="590" w:lineRule="exact"/>
        <w:ind w:right="-100" w:rightChars="-50"/>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lang w:val="en-US" w:eastAsia="zh-CN"/>
        </w:rPr>
        <w:t>济宁高新区科技创新局</w:t>
      </w:r>
      <w:r>
        <w:rPr>
          <w:rFonts w:hint="eastAsia" w:ascii="方正小标宋简体" w:eastAsia="方正小标宋简体"/>
          <w:b/>
          <w:color w:val="000000"/>
          <w:sz w:val="44"/>
          <w:szCs w:val="44"/>
        </w:rPr>
        <w:t>2022年</w:t>
      </w:r>
    </w:p>
    <w:p>
      <w:pPr>
        <w:tabs>
          <w:tab w:val="left" w:pos="860"/>
          <w:tab w:val="center" w:pos="4262"/>
        </w:tabs>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政府信息</w:t>
      </w:r>
      <w:r>
        <w:rPr>
          <w:rFonts w:hint="eastAsia" w:ascii="方正小标宋简体" w:eastAsia="方正小标宋简体"/>
          <w:b/>
          <w:color w:val="000000"/>
          <w:sz w:val="44"/>
          <w:szCs w:val="44"/>
          <w:lang w:val="en-US" w:eastAsia="zh-CN"/>
        </w:rPr>
        <w:t>公</w:t>
      </w:r>
      <w:r>
        <w:rPr>
          <w:rFonts w:hint="eastAsia" w:ascii="方正小标宋简体" w:eastAsia="方正小标宋简体"/>
          <w:b/>
          <w:color w:val="000000"/>
          <w:sz w:val="44"/>
          <w:szCs w:val="44"/>
        </w:rPr>
        <w:t>开工作年度报告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pacing w:val="-11"/>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themeColor="text1"/>
          <w:sz w:val="32"/>
          <w:szCs w:val="32"/>
          <w:lang w:val="en-US" w:eastAsia="zh-CN"/>
          <w14:textFill>
            <w14:solidFill>
              <w14:schemeClr w14:val="tx1"/>
            </w14:solidFill>
          </w14:textFill>
        </w:rPr>
        <w:t>济宁高新区科技创新局</w:t>
      </w:r>
      <w:r>
        <w:rPr>
          <w:rFonts w:hint="eastAsia" w:ascii="方正仿宋简体" w:eastAsia="方正仿宋简体"/>
          <w:b/>
          <w:color w:val="000000"/>
          <w:sz w:val="32"/>
          <w:szCs w:val="32"/>
        </w:rPr>
        <w:t>按照《中华人民共和国政府信息公开条例》（以下简称《条例》）和《中华人民共和国政府信息</w:t>
      </w:r>
      <w:r>
        <w:rPr>
          <w:rFonts w:hint="eastAsia" w:ascii="方正仿宋简体" w:eastAsia="方正仿宋简体"/>
          <w:b/>
          <w:color w:val="000000"/>
          <w:spacing w:val="-11"/>
          <w:sz w:val="32"/>
          <w:szCs w:val="32"/>
        </w:rPr>
        <w:t>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本报告所列数据的统计期限自2022年1月1日起至2022年12月31日止。本报告电子版可在“济宁国家高新技术产业开发区”管委会门户网站（www.jnhn.gov.cn）查阅或下载。如对本报告有疑问，</w:t>
      </w:r>
      <w:r>
        <w:rPr>
          <w:rFonts w:hint="eastAsia" w:ascii="方正仿宋简体" w:eastAsia="方正仿宋简体"/>
          <w:b/>
          <w:color w:val="000000" w:themeColor="text1"/>
          <w:sz w:val="32"/>
          <w:szCs w:val="32"/>
          <w14:textFill>
            <w14:solidFill>
              <w14:schemeClr w14:val="tx1"/>
            </w14:solidFill>
          </w14:textFill>
        </w:rPr>
        <w:t>请与</w:t>
      </w:r>
      <w:r>
        <w:rPr>
          <w:rFonts w:hint="eastAsia" w:ascii="方正仿宋简体" w:eastAsia="方正仿宋简体"/>
          <w:b/>
          <w:color w:val="000000" w:themeColor="text1"/>
          <w:sz w:val="32"/>
          <w:szCs w:val="32"/>
          <w:lang w:val="en-US" w:eastAsia="zh-CN"/>
          <w14:textFill>
            <w14:solidFill>
              <w14:schemeClr w14:val="tx1"/>
            </w14:solidFill>
          </w14:textFill>
        </w:rPr>
        <w:t>济宁高新区科技创新局</w:t>
      </w:r>
      <w:r>
        <w:rPr>
          <w:rFonts w:hint="eastAsia" w:ascii="方正仿宋简体" w:eastAsia="方正仿宋简体"/>
          <w:b/>
          <w:color w:val="000000" w:themeColor="text1"/>
          <w:sz w:val="32"/>
          <w:szCs w:val="32"/>
          <w14:textFill>
            <w14:solidFill>
              <w14:schemeClr w14:val="tx1"/>
            </w14:solidFill>
          </w14:textFill>
        </w:rPr>
        <w:t>联系（地址：</w:t>
      </w:r>
      <w:r>
        <w:rPr>
          <w:rFonts w:hint="eastAsia" w:ascii="方正仿宋简体" w:eastAsia="方正仿宋简体"/>
          <w:b/>
          <w:color w:val="000000" w:themeColor="text1"/>
          <w:sz w:val="32"/>
          <w:szCs w:val="32"/>
          <w:lang w:val="en-US" w:eastAsia="zh-CN"/>
          <w14:textFill>
            <w14:solidFill>
              <w14:schemeClr w14:val="tx1"/>
            </w14:solidFill>
          </w14:textFill>
        </w:rPr>
        <w:t>济宁高新区海川路产学研基地T3楼</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3255911</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1" w:firstLineChars="200"/>
        <w:rPr>
          <w:rFonts w:ascii="方正黑体简体" w:eastAsia="方正黑体简体"/>
          <w:b/>
          <w:color w:val="000000"/>
          <w:sz w:val="32"/>
          <w:szCs w:val="32"/>
        </w:rPr>
      </w:pPr>
      <w:bookmarkStart w:id="0" w:name="_GoBack"/>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仿宋简体" w:hAnsi="Times New Roman" w:eastAsia="方正仿宋简体" w:cs="Times New Roman"/>
          <w:b/>
          <w:color w:val="000000" w:themeColor="text1"/>
          <w:sz w:val="32"/>
          <w:szCs w:val="32"/>
          <w14:textFill>
            <w14:solidFill>
              <w14:schemeClr w14:val="tx1"/>
            </w14:solidFill>
          </w14:textFill>
        </w:rPr>
      </w:pPr>
      <w:r>
        <w:rPr>
          <w:rFonts w:hint="eastAsia" w:ascii="方正仿宋简体" w:hAnsi="Times New Roman" w:eastAsia="方正仿宋简体" w:cs="Times New Roman"/>
          <w:b/>
          <w:color w:val="000000" w:themeColor="text1"/>
          <w:sz w:val="32"/>
          <w:szCs w:val="32"/>
          <w14:textFill>
            <w14:solidFill>
              <w14:schemeClr w14:val="tx1"/>
            </w14:solidFill>
          </w14:textFill>
        </w:rPr>
        <w:t>2022年，</w:t>
      </w:r>
      <w:r>
        <w:rPr>
          <w:rFonts w:hint="eastAsia" w:ascii="方正仿宋简体" w:eastAsia="方正仿宋简体"/>
          <w:b/>
          <w:color w:val="000000" w:themeColor="text1"/>
          <w:sz w:val="32"/>
          <w:szCs w:val="32"/>
          <w:lang w:val="en-US" w:eastAsia="zh-CN"/>
          <w14:textFill>
            <w14:solidFill>
              <w14:schemeClr w14:val="tx1"/>
            </w14:solidFill>
          </w14:textFill>
        </w:rPr>
        <w:t>在党工委、管委会</w:t>
      </w:r>
      <w:r>
        <w:rPr>
          <w:rFonts w:hint="eastAsia" w:ascii="方正仿宋简体" w:hAnsi="Times New Roman" w:eastAsia="方正仿宋简体" w:cs="Times New Roman"/>
          <w:b/>
          <w:color w:val="000000" w:themeColor="text1"/>
          <w:sz w:val="32"/>
          <w:szCs w:val="32"/>
          <w14:textFill>
            <w14:solidFill>
              <w14:schemeClr w14:val="tx1"/>
            </w14:solidFill>
          </w14:textFill>
        </w:rPr>
        <w:t>领导下，按照《中华人民共和国政府信息公开条例》（以下简称《条例》），扎实开展政府信息公开工作，不断拓宽信息公开渠道，坚持把政府信息公开工作作为转变工作作风、推进依法行政、提高工作效率的重要抓手，加大政策解读和回应力度，积极推进信息公开标准化规范化，持续提升信息公开工作质效。</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2022年度，我局按照高新区管委会政府信息公开要求，及时对站点信息进行更新，在济宁高新区门户网站发布信息44条，其中主要发布内容包括：政策文件9条，会议公开8条，行政权力运行公开14条，政策解读8条，公示公告5条。所公开信息严格按照《条例》和省市政府信息公开相关规定制度，充分确保政府信息公开的及时性、有效性和全面性。</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643" w:firstLineChars="200"/>
        <w:textAlignment w:val="auto"/>
        <w:rPr>
          <w:rFonts w:hint="eastAsia" w:ascii="方正仿宋简体" w:eastAsia="方正仿宋简体"/>
          <w:b/>
          <w:color w:val="000000" w:themeColor="text1"/>
          <w:sz w:val="32"/>
          <w:szCs w:val="32"/>
          <w:lang w:val="en-US" w:eastAsia="zh-CN"/>
          <w14:textFill>
            <w14:solidFill>
              <w14:schemeClr w14:val="tx1"/>
            </w14:solidFill>
          </w14:textFill>
        </w:rPr>
      </w:pPr>
      <w:r>
        <w:rPr>
          <w:rFonts w:hint="eastAsia" w:ascii="方正仿宋简体" w:eastAsia="方正仿宋简体"/>
          <w:b/>
          <w:color w:val="000000"/>
          <w:sz w:val="32"/>
          <w:szCs w:val="32"/>
          <w:lang w:eastAsia="zh-CN"/>
        </w:rPr>
        <w:drawing>
          <wp:inline distT="0" distB="0" distL="114300" distR="114300">
            <wp:extent cx="4760595" cy="3676650"/>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4760595" cy="3676650"/>
                    </a:xfrm>
                    <a:prstGeom prst="rect">
                      <a:avLst/>
                    </a:prstGeom>
                    <a:extLst>
                      <wpswe:webExtensionRef xmlns:wpswe="http://www.wps.cn/officeDocument/2018/webExtension" r:id="rId4"/>
                    </a:extLst>
                  </pic:spPr>
                </pic:pic>
              </a:graphicData>
            </a:graphic>
          </wp:inline>
        </w:drawing>
      </w:r>
    </w:p>
    <w:p>
      <w:pPr>
        <w:spacing w:line="590" w:lineRule="exact"/>
        <w:ind w:right="-100" w:rightChars="-50"/>
        <w:rPr>
          <w:rFonts w:hint="eastAsia" w:ascii="方正仿宋简体" w:eastAsia="方正仿宋简体"/>
          <w:b/>
          <w:color w:val="000000" w:themeColor="text1"/>
          <w:sz w:val="32"/>
          <w:szCs w:val="32"/>
          <w:lang w:val="en-US" w:eastAsia="zh-CN"/>
          <w14:textFill>
            <w14:solidFill>
              <w14:schemeClr w14:val="tx1"/>
            </w14:solidFill>
          </w14:textFill>
        </w:rPr>
      </w:pPr>
    </w:p>
    <w:p>
      <w:pPr>
        <w:spacing w:line="590" w:lineRule="exact"/>
        <w:ind w:right="-100" w:rightChars="-50"/>
        <w:rPr>
          <w:rFonts w:hint="eastAsia" w:ascii="方正仿宋简体" w:eastAsia="方正仿宋简体"/>
          <w:b/>
          <w:color w:val="000000" w:themeColor="text1"/>
          <w:sz w:val="32"/>
          <w:szCs w:val="32"/>
          <w:lang w:val="en-US" w:eastAsia="zh-CN"/>
          <w14:textFill>
            <w14:solidFill>
              <w14:schemeClr w14:val="tx1"/>
            </w14:solidFill>
          </w14:textFill>
        </w:rPr>
      </w:pPr>
    </w:p>
    <w:p>
      <w:pPr>
        <w:numPr>
          <w:ilvl w:val="0"/>
          <w:numId w:val="1"/>
        </w:numPr>
        <w:spacing w:line="590" w:lineRule="exact"/>
        <w:ind w:right="-100" w:rightChars="-50" w:firstLine="643" w:firstLineChars="200"/>
        <w:rPr>
          <w:rFonts w:hint="eastAsia" w:ascii="方正楷体简体" w:eastAsia="方正楷体简体"/>
          <w:b/>
          <w:color w:val="000000"/>
          <w:sz w:val="32"/>
          <w:szCs w:val="32"/>
        </w:rPr>
      </w:pPr>
      <w:r>
        <w:rPr>
          <w:rFonts w:hint="eastAsia" w:ascii="方正楷体简体" w:eastAsia="方正楷体简体"/>
          <w:b/>
          <w:color w:val="000000"/>
          <w:sz w:val="32"/>
          <w:szCs w:val="32"/>
        </w:rPr>
        <w:t>依申请公开情况</w:t>
      </w:r>
    </w:p>
    <w:p>
      <w:pPr>
        <w:spacing w:line="590" w:lineRule="exact"/>
        <w:ind w:right="-100" w:rightChars="-50" w:firstLine="643" w:firstLineChars="200"/>
        <w:rPr>
          <w:rFonts w:hint="default" w:ascii="方正仿宋简体" w:hAnsi="Times New Roman" w:eastAsia="方正仿宋简体" w:cs="Times New Roman"/>
          <w:b/>
          <w:color w:val="000000"/>
          <w:sz w:val="32"/>
          <w:szCs w:val="32"/>
          <w:lang w:val="en-US" w:eastAsia="zh-CN"/>
        </w:rPr>
      </w:pPr>
      <w:r>
        <w:rPr>
          <w:rFonts w:hint="eastAsia" w:ascii="方正仿宋简体" w:hAnsi="Times New Roman" w:eastAsia="方正仿宋简体" w:cs="Times New Roman"/>
          <w:b/>
          <w:color w:val="000000"/>
          <w:sz w:val="32"/>
          <w:szCs w:val="32"/>
          <w:lang w:val="en-US" w:eastAsia="zh-CN"/>
        </w:rPr>
        <w:t>2022年我局未收到依申请公开件。</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lang w:val="en-US" w:eastAsia="zh-CN"/>
        </w:rPr>
        <w:t>科技创新局</w:t>
      </w:r>
      <w:r>
        <w:rPr>
          <w:rFonts w:hint="eastAsia" w:ascii="方正仿宋简体" w:hAnsi="Times New Roman" w:eastAsia="方正仿宋简体" w:cs="Times New Roman"/>
          <w:b/>
          <w:color w:val="000000"/>
          <w:sz w:val="32"/>
          <w:szCs w:val="32"/>
        </w:rPr>
        <w:t>认真贯彻省政府办公厅《关于全面推进基层政务公开标准化规范化工作的实施意见》，严格落实</w:t>
      </w:r>
      <w:r>
        <w:rPr>
          <w:rFonts w:hint="eastAsia" w:ascii="方正仿宋简体" w:hAnsi="Times New Roman" w:eastAsia="方正仿宋简体" w:cs="Times New Roman"/>
          <w:b/>
          <w:color w:val="000000"/>
          <w:sz w:val="32"/>
          <w:szCs w:val="32"/>
          <w:lang w:val="en-US" w:eastAsia="zh-CN"/>
        </w:rPr>
        <w:t>管委会</w:t>
      </w:r>
      <w:r>
        <w:rPr>
          <w:rFonts w:hint="eastAsia" w:ascii="方正仿宋简体" w:hAnsi="Times New Roman" w:eastAsia="方正仿宋简体" w:cs="Times New Roman"/>
          <w:b/>
          <w:color w:val="000000"/>
          <w:sz w:val="32"/>
          <w:szCs w:val="32"/>
        </w:rPr>
        <w:t>关于政务公开工作的各项工作要求。</w:t>
      </w:r>
      <w:r>
        <w:rPr>
          <w:rFonts w:hint="eastAsia" w:ascii="方正仿宋简体" w:hAnsi="Times New Roman" w:eastAsia="方正仿宋简体" w:cs="Times New Roman"/>
          <w:b/>
          <w:color w:val="000000"/>
          <w:sz w:val="32"/>
          <w:szCs w:val="32"/>
          <w:lang w:val="en-US" w:eastAsia="zh-CN"/>
        </w:rPr>
        <w:t>科技创新局</w:t>
      </w:r>
      <w:r>
        <w:rPr>
          <w:rFonts w:hint="eastAsia" w:ascii="方正仿宋简体" w:hAnsi="Times New Roman" w:eastAsia="方正仿宋简体" w:cs="Times New Roman"/>
          <w:b/>
          <w:color w:val="000000"/>
          <w:sz w:val="32"/>
          <w:szCs w:val="32"/>
        </w:rPr>
        <w:t>按照《政务信息公开规范工作制度》，进一步完善政务信息常态化管理机制，不断建立健全政务信息制作、公开、存档等制度，及时动态调整信息。同时建立政府信息保密审查制度，完善信息报送、政府网站内容保障等制度，压实信息公开工作责任，确保政务信息发布严谨、细致。</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eastAsia="方正仿宋简体" w:cs="Times New Roman"/>
          <w:b/>
          <w:color w:val="000000"/>
          <w:sz w:val="32"/>
          <w:szCs w:val="32"/>
          <w:lang w:val="en-US" w:eastAsia="zh-CN"/>
        </w:rPr>
        <w:t>科技创新局</w:t>
      </w:r>
      <w:r>
        <w:rPr>
          <w:rFonts w:hint="eastAsia" w:ascii="方正仿宋简体" w:hAnsi="Times New Roman" w:eastAsia="方正仿宋简体" w:cs="Times New Roman"/>
          <w:b/>
          <w:color w:val="000000"/>
          <w:sz w:val="32"/>
          <w:szCs w:val="32"/>
        </w:rPr>
        <w:t>落实政府信息主动公开新要求，积极推动政务服务事项一网通办。充分运用门户网站和自建综合性科技信息服务平台，及时发布工作动态和政策解读。优化“政策法规”栏目，使科技政策查询更方便，体验度更好。本年度市科技局政务信息动态更新量</w:t>
      </w:r>
      <w:r>
        <w:rPr>
          <w:rFonts w:hint="eastAsia" w:ascii="方正仿宋简体" w:hAnsi="Times New Roman" w:eastAsia="方正仿宋简体" w:cs="Times New Roman"/>
          <w:b/>
          <w:color w:val="000000"/>
          <w:sz w:val="32"/>
          <w:szCs w:val="32"/>
          <w:lang w:val="en-US" w:eastAsia="zh-CN"/>
        </w:rPr>
        <w:t>44</w:t>
      </w:r>
      <w:r>
        <w:rPr>
          <w:rFonts w:hint="eastAsia" w:ascii="方正仿宋简体" w:hAnsi="Times New Roman" w:eastAsia="方正仿宋简体" w:cs="Times New Roman"/>
          <w:b/>
          <w:color w:val="000000"/>
          <w:sz w:val="32"/>
          <w:szCs w:val="32"/>
        </w:rPr>
        <w:t>条，总访问量</w:t>
      </w:r>
      <w:r>
        <w:rPr>
          <w:rFonts w:hint="eastAsia" w:ascii="方正仿宋简体" w:hAnsi="Times New Roman" w:eastAsia="方正仿宋简体" w:cs="Times New Roman"/>
          <w:b/>
          <w:color w:val="000000"/>
          <w:sz w:val="32"/>
          <w:szCs w:val="32"/>
          <w:lang w:val="en-US" w:eastAsia="zh-CN"/>
        </w:rPr>
        <w:t>上万</w:t>
      </w:r>
      <w:r>
        <w:rPr>
          <w:rFonts w:hint="eastAsia" w:ascii="方正仿宋简体" w:hAnsi="Times New Roman" w:eastAsia="方正仿宋简体" w:cs="Times New Roman"/>
          <w:b/>
          <w:color w:val="000000"/>
          <w:sz w:val="32"/>
          <w:szCs w:val="32"/>
        </w:rPr>
        <w:t>次。</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Times New Roman" w:eastAsia="方正仿宋简体" w:cs="Times New Roman"/>
          <w:b/>
          <w:color w:val="000000"/>
          <w:kern w:val="0"/>
          <w:sz w:val="32"/>
          <w:szCs w:val="32"/>
          <w:lang w:val="en-US" w:eastAsia="zh-CN" w:bidi="ar-SA"/>
        </w:rPr>
      </w:pPr>
      <w:r>
        <w:rPr>
          <w:rFonts w:hint="eastAsia" w:ascii="方正仿宋简体" w:hAnsi="Times New Roman" w:eastAsia="方正仿宋简体" w:cs="Times New Roman"/>
          <w:b/>
          <w:color w:val="000000"/>
          <w:kern w:val="0"/>
          <w:sz w:val="32"/>
          <w:szCs w:val="32"/>
          <w:lang w:val="en-US" w:eastAsia="zh-CN" w:bidi="ar-SA"/>
        </w:rPr>
        <w:t>一是加强业务培训。积极组织各县市区科技局及局属单位相关人员进行业务培训，提升业务水平，并安排专题学习《条例》，让广大干部职工加深了解政府信息公开的重要性和必要性，巩固和加强本单位政务公开“标准化、规范化”体制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ascii="方正仿宋简体" w:eastAsia="方正仿宋简体"/>
          <w:b/>
          <w:color w:val="000000"/>
          <w:sz w:val="32"/>
          <w:szCs w:val="32"/>
        </w:rPr>
      </w:pPr>
      <w:r>
        <w:rPr>
          <w:rFonts w:hint="eastAsia" w:ascii="方正仿宋简体" w:hAnsi="Times New Roman" w:eastAsia="方正仿宋简体" w:cs="Times New Roman"/>
          <w:b/>
          <w:color w:val="000000"/>
          <w:kern w:val="0"/>
          <w:sz w:val="32"/>
          <w:szCs w:val="32"/>
          <w:lang w:val="en-US" w:eastAsia="zh-CN" w:bidi="ar-SA"/>
        </w:rPr>
        <w:t>二是完善监管制度。严格按照《条例》中信息公开的范围、公开方式和程序开展政府信息公开工作。严格执行政府信息公开保密审查制度。对涉密信息和不宜公开信息做到妥善处置。全年未发生因政府信息公开引起的失密泄密事件。</w:t>
      </w:r>
    </w:p>
    <w:bookmarkEnd w:id="0"/>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2216" w:type="dxa"/>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c>
          <w:tcPr>
            <w:tcW w:w="1989" w:type="dxa"/>
            <w:shd w:val="clear" w:color="auto" w:fill="auto"/>
            <w:tcMar>
              <w:left w:w="57" w:type="dxa"/>
              <w:right w:w="57" w:type="dxa"/>
            </w:tcMar>
            <w:vAlign w:val="center"/>
          </w:tcPr>
          <w:p>
            <w:pPr>
              <w:widowControl/>
              <w:spacing w:line="340" w:lineRule="exact"/>
              <w:jc w:val="left"/>
              <w:rPr>
                <w:rFonts w:hint="default"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Calibri" w:eastAsia="方正仿宋简体" w:cs="Calibri"/>
                <w:b/>
                <w:sz w:val="24"/>
                <w:lang w:bidi="ar"/>
              </w:rPr>
              <w:t> </w:t>
            </w: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tcMar>
              <w:left w:w="57" w:type="dxa"/>
              <w:right w:w="57" w:type="dxa"/>
            </w:tcMar>
            <w:vAlign w:val="center"/>
          </w:tcPr>
          <w:p>
            <w:pPr>
              <w:widowControl/>
              <w:spacing w:line="340" w:lineRule="exact"/>
              <w:jc w:val="left"/>
              <w:rPr>
                <w:rFonts w:hint="eastAsia" w:ascii="方正仿宋简体" w:eastAsia="方正仿宋简体"/>
                <w:b/>
                <w:sz w:val="24"/>
                <w:lang w:val="en-US" w:eastAsia="zh-CN"/>
              </w:rPr>
            </w:pPr>
            <w:r>
              <w:rPr>
                <w:rFonts w:hint="eastAsia" w:ascii="方正仿宋简体" w:hAnsi="宋体" w:eastAsia="方正仿宋简体" w:cs="宋体"/>
                <w:b/>
                <w:sz w:val="24"/>
                <w:lang w:bidi="ar"/>
              </w:rPr>
              <w:t>　</w:t>
            </w: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tcMar>
              <w:left w:w="57" w:type="dxa"/>
              <w:right w:w="57" w:type="dxa"/>
            </w:tcMar>
            <w:vAlign w:val="center"/>
          </w:tcPr>
          <w:p>
            <w:pPr>
              <w:spacing w:line="340" w:lineRule="exact"/>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tcMar>
              <w:left w:w="57" w:type="dxa"/>
              <w:right w:w="57" w:type="dxa"/>
            </w:tcMar>
          </w:tcPr>
          <w:p>
            <w:pPr>
              <w:spacing w:line="300" w:lineRule="exact"/>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91" w:type="dxa"/>
            <w:vMerge w:val="restart"/>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61" w:type="dxa"/>
            <w:vMerge w:val="restart"/>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49"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636"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2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维持</w:t>
            </w:r>
          </w:p>
        </w:tc>
        <w:tc>
          <w:tcPr>
            <w:tcW w:w="65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50"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其他</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p>
        </w:tc>
        <w:tc>
          <w:tcPr>
            <w:tcW w:w="555" w:type="dxa"/>
            <w:tcMar>
              <w:left w:w="108" w:type="dxa"/>
              <w:right w:w="108" w:type="dxa"/>
            </w:tcMar>
            <w:vAlign w:val="center"/>
          </w:tcPr>
          <w:p>
            <w:pPr>
              <w:widowControl/>
              <w:spacing w:line="340" w:lineRule="exact"/>
              <w:ind w:left="-40" w:leftChars="-20" w:right="-40" w:rightChars="-20"/>
              <w:jc w:val="center"/>
              <w:rPr>
                <w:rFonts w:hint="eastAsia" w:ascii="方正黑体简体" w:hAnsi="宋体" w:eastAsia="方正黑体简体" w:cs="宋体"/>
                <w:sz w:val="21"/>
                <w:szCs w:val="21"/>
                <w:lang w:eastAsia="zh-CN" w:bidi="ar"/>
              </w:rPr>
            </w:pPr>
            <w:r>
              <w:rPr>
                <w:rFonts w:hint="eastAsia" w:ascii="方正黑体简体" w:hAnsi="宋体" w:eastAsia="方正黑体简体" w:cs="宋体"/>
                <w:sz w:val="21"/>
                <w:szCs w:val="21"/>
                <w:lang w:bidi="ar"/>
              </w:rPr>
              <w:t>尚未</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审结</w:t>
            </w:r>
          </w:p>
        </w:tc>
        <w:tc>
          <w:tcPr>
            <w:tcW w:w="407"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2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0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59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461"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49"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3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426"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650"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555" w:type="dxa"/>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c>
          <w:tcPr>
            <w:tcW w:w="407" w:type="dxa"/>
            <w:tcMar>
              <w:left w:w="108" w:type="dxa"/>
              <w:right w:w="108" w:type="dxa"/>
            </w:tcMar>
            <w:vAlign w:val="center"/>
          </w:tcPr>
          <w:p>
            <w:pPr>
              <w:spacing w:line="340" w:lineRule="exact"/>
              <w:ind w:left="-40" w:leftChars="-20" w:right="-40" w:rightChars="-20"/>
              <w:rPr>
                <w:rFonts w:ascii="方正黑体简体" w:eastAsia="方正黑体简体"/>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2022年，科技创新局政府信息公开工作取得了一定成效，促进了各项工作的开展，但是仍然存在一些薄弱环节。例如，我局科技动态信息被上级部门采用的不多；信息公开内容还有政策解读形式还有待优化；科技信息需要更新得更加及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left"/>
        <w:rPr>
          <w:rFonts w:hint="eastAsia" w:ascii="方正仿宋简体" w:hAnsi="Times New Roman" w:eastAsia="方正仿宋简体" w:cs="Times New Roman"/>
          <w:b/>
          <w:kern w:val="0"/>
          <w:sz w:val="32"/>
          <w:szCs w:val="32"/>
          <w:lang w:val="en-US" w:eastAsia="zh-CN" w:bidi="ar-SA"/>
        </w:rPr>
      </w:pPr>
      <w:r>
        <w:rPr>
          <w:rFonts w:hint="eastAsia" w:ascii="方正仿宋简体" w:hAnsi="Times New Roman" w:eastAsia="方正仿宋简体" w:cs="Times New Roman"/>
          <w:b/>
          <w:kern w:val="0"/>
          <w:sz w:val="32"/>
          <w:szCs w:val="32"/>
          <w:lang w:val="en-US" w:eastAsia="zh-CN" w:bidi="ar-SA"/>
        </w:rPr>
        <w:t>在下一步工作中，科技创新局将围绕全区科技创新工作，进一步开拓思维，创新思路。一是严格按照政府信息公开要求，扩大公开内容，增强公开时效，及时、全面地向社会公开科技领域政务信息。二是建立信息公开长效机制，认真落实政府信息公开内容审查、更新维护、监督检查和工作年报等工作制度，持续高效地开展政府信息公开工作。三是优化政策解读形式，积极运用数字化、图解图表、视频等可视化方式，对规范性文件精准解读相关措施，确保政策内涵透明、信号清晰，真正让群众看得到、能理解，努力使政府信息公开工作取得新成效。</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主要报告本行政机关认为需要报告的其他事项，以及其他有关文件专门要求通过政府信息公开工作年度报告予以报告的事项，包括但不限于：</w:t>
      </w:r>
    </w:p>
    <w:p>
      <w:pPr>
        <w:numPr>
          <w:ilvl w:val="0"/>
          <w:numId w:val="2"/>
        </w:num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依据《政府信息公开信息处理费管理办法》收取信息处理费的情况需在此专门报告;</w:t>
      </w:r>
    </w:p>
    <w:p>
      <w:pPr>
        <w:numPr>
          <w:ilvl w:val="0"/>
          <w:numId w:val="0"/>
        </w:numPr>
        <w:spacing w:line="590" w:lineRule="exact"/>
        <w:ind w:leftChars="200" w:right="-100" w:rightChars="-50" w:firstLine="599" w:firstLineChars="200"/>
        <w:rPr>
          <w:rFonts w:hint="eastAsia" w:ascii="方正仿宋简体" w:eastAsia="方正仿宋简体"/>
          <w:b/>
          <w:spacing w:val="-11"/>
          <w:sz w:val="32"/>
          <w:szCs w:val="32"/>
        </w:rPr>
      </w:pPr>
      <w:r>
        <w:rPr>
          <w:rFonts w:hint="eastAsia" w:ascii="方正仿宋简体" w:eastAsia="方正仿宋简体"/>
          <w:b/>
          <w:spacing w:val="-11"/>
          <w:sz w:val="32"/>
          <w:szCs w:val="32"/>
        </w:rPr>
        <w:t>年内，市科技局在开展政务公开工作中，未收取任何信息处理费。</w:t>
      </w:r>
    </w:p>
    <w:p>
      <w:pPr>
        <w:numPr>
          <w:ilvl w:val="0"/>
          <w:numId w:val="2"/>
        </w:numPr>
        <w:spacing w:line="590" w:lineRule="exact"/>
        <w:ind w:left="0" w:leftChars="0" w:right="-100" w:rightChars="-50" w:firstLine="599" w:firstLineChars="200"/>
        <w:rPr>
          <w:rFonts w:hint="eastAsia" w:ascii="方正仿宋简体" w:eastAsia="方正仿宋简体"/>
          <w:b/>
          <w:spacing w:val="-11"/>
          <w:sz w:val="32"/>
          <w:szCs w:val="32"/>
        </w:rPr>
      </w:pPr>
      <w:r>
        <w:rPr>
          <w:rFonts w:hint="eastAsia" w:ascii="方正仿宋简体" w:eastAsia="方正仿宋简体"/>
          <w:b/>
          <w:spacing w:val="-11"/>
          <w:sz w:val="32"/>
          <w:szCs w:val="32"/>
        </w:rPr>
        <w:t>本行政机关落实上级年度政务公开工作要点情况</w:t>
      </w:r>
    </w:p>
    <w:p>
      <w:pPr>
        <w:numPr>
          <w:ilvl w:val="0"/>
          <w:numId w:val="0"/>
        </w:numPr>
        <w:spacing w:line="590" w:lineRule="exact"/>
        <w:ind w:leftChars="200" w:right="-100" w:rightChars="-50" w:firstLine="599" w:firstLineChars="200"/>
        <w:rPr>
          <w:rFonts w:hint="eastAsia" w:ascii="方正仿宋简体" w:eastAsia="方正仿宋简体"/>
          <w:b/>
          <w:spacing w:val="-11"/>
          <w:sz w:val="32"/>
          <w:szCs w:val="32"/>
          <w:lang w:eastAsia="zh-CN"/>
        </w:rPr>
      </w:pPr>
      <w:r>
        <w:rPr>
          <w:rFonts w:hint="eastAsia" w:ascii="方正仿宋简体" w:eastAsia="方正仿宋简体"/>
          <w:b/>
          <w:spacing w:val="-11"/>
          <w:sz w:val="32"/>
          <w:szCs w:val="32"/>
          <w:lang w:val="en-US" w:eastAsia="zh-CN"/>
        </w:rPr>
        <w:t>科技创新局</w:t>
      </w:r>
      <w:r>
        <w:rPr>
          <w:rFonts w:hint="eastAsia" w:ascii="方正仿宋简体" w:eastAsia="方正仿宋简体"/>
          <w:b/>
          <w:spacing w:val="-11"/>
          <w:sz w:val="32"/>
          <w:szCs w:val="32"/>
        </w:rPr>
        <w:t>按照《政务公开规范工作制度》，严格落实任务分解表中的各项任务。局</w:t>
      </w:r>
      <w:r>
        <w:rPr>
          <w:rFonts w:hint="eastAsia" w:ascii="方正仿宋简体" w:eastAsia="方正仿宋简体"/>
          <w:b/>
          <w:spacing w:val="-11"/>
          <w:sz w:val="32"/>
          <w:szCs w:val="32"/>
          <w:lang w:val="en-US" w:eastAsia="zh-CN"/>
        </w:rPr>
        <w:t>综合处</w:t>
      </w:r>
      <w:r>
        <w:rPr>
          <w:rFonts w:hint="eastAsia" w:ascii="方正仿宋简体" w:eastAsia="方正仿宋简体"/>
          <w:b/>
          <w:spacing w:val="-11"/>
          <w:sz w:val="32"/>
          <w:szCs w:val="32"/>
        </w:rPr>
        <w:t>协调落实政务公开信息发布，由相关业务科室按政务公开要求定期做到及时提供政务公开信息，及时更新政府信息公开指南相关要素，及时发布重大决策预公开相关</w:t>
      </w:r>
      <w:r>
        <w:rPr>
          <w:rFonts w:hint="eastAsia" w:ascii="方正仿宋简体" w:eastAsia="方正仿宋简体"/>
          <w:b/>
          <w:spacing w:val="-11"/>
          <w:sz w:val="32"/>
          <w:szCs w:val="32"/>
          <w:lang w:eastAsia="zh-CN"/>
        </w:rPr>
        <w:t>。</w:t>
      </w:r>
    </w:p>
    <w:p>
      <w:pPr>
        <w:numPr>
          <w:ilvl w:val="0"/>
          <w:numId w:val="2"/>
        </w:numPr>
        <w:spacing w:line="590" w:lineRule="exact"/>
        <w:ind w:left="0" w:leftChars="0" w:right="-100" w:rightChars="-50" w:firstLine="599" w:firstLineChars="200"/>
        <w:rPr>
          <w:rFonts w:hint="eastAsia" w:ascii="方正仿宋简体" w:eastAsia="方正仿宋简体"/>
          <w:b/>
          <w:spacing w:val="-11"/>
          <w:sz w:val="32"/>
          <w:szCs w:val="32"/>
        </w:rPr>
      </w:pPr>
      <w:r>
        <w:rPr>
          <w:rFonts w:hint="eastAsia" w:ascii="方正仿宋简体" w:eastAsia="方正仿宋简体"/>
          <w:b/>
          <w:spacing w:val="-11"/>
          <w:sz w:val="32"/>
          <w:szCs w:val="32"/>
        </w:rPr>
        <w:t>本行政机关人大代表建议和政协提案办理结果公开情况</w:t>
      </w:r>
    </w:p>
    <w:p>
      <w:pPr>
        <w:numPr>
          <w:ilvl w:val="0"/>
          <w:numId w:val="0"/>
        </w:numPr>
        <w:spacing w:line="590" w:lineRule="exact"/>
        <w:ind w:leftChars="200" w:right="-100" w:rightChars="-50" w:firstLine="599" w:firstLineChars="200"/>
        <w:rPr>
          <w:rFonts w:hint="eastAsia" w:ascii="方正仿宋简体" w:eastAsia="方正仿宋简体"/>
          <w:b/>
          <w:spacing w:val="-11"/>
          <w:sz w:val="32"/>
          <w:szCs w:val="32"/>
          <w:lang w:val="en-US" w:eastAsia="zh-CN"/>
        </w:rPr>
      </w:pPr>
      <w:r>
        <w:rPr>
          <w:rFonts w:hint="eastAsia" w:ascii="方正仿宋简体" w:eastAsia="方正仿宋简体"/>
          <w:b/>
          <w:spacing w:val="-11"/>
          <w:sz w:val="32"/>
          <w:szCs w:val="32"/>
          <w:lang w:val="en-US" w:eastAsia="zh-CN"/>
        </w:rPr>
        <w:t>无。</w:t>
      </w:r>
    </w:p>
    <w:p>
      <w:pPr>
        <w:numPr>
          <w:ilvl w:val="0"/>
          <w:numId w:val="0"/>
        </w:numPr>
        <w:spacing w:line="590" w:lineRule="exact"/>
        <w:ind w:leftChars="200" w:right="-100" w:rightChars="-50" w:firstLine="299" w:firstLineChars="100"/>
        <w:rPr>
          <w:rFonts w:hint="eastAsia" w:ascii="方正仿宋简体" w:eastAsia="方正仿宋简体"/>
          <w:b/>
          <w:spacing w:val="-11"/>
          <w:sz w:val="32"/>
          <w:szCs w:val="32"/>
        </w:rPr>
      </w:pPr>
      <w:r>
        <w:rPr>
          <w:rFonts w:hint="eastAsia" w:ascii="方正仿宋简体" w:eastAsia="方正仿宋简体"/>
          <w:b/>
          <w:spacing w:val="-11"/>
          <w:sz w:val="32"/>
          <w:szCs w:val="32"/>
        </w:rPr>
        <w:t>（四）本行政机关年度政务公开工作创新情况</w:t>
      </w:r>
    </w:p>
    <w:p>
      <w:pPr>
        <w:numPr>
          <w:ilvl w:val="0"/>
          <w:numId w:val="0"/>
        </w:numPr>
        <w:spacing w:line="590" w:lineRule="exact"/>
        <w:ind w:leftChars="200" w:right="-100" w:rightChars="-50" w:firstLine="599" w:firstLineChars="200"/>
        <w:rPr>
          <w:rFonts w:hint="eastAsia" w:ascii="方正仿宋简体" w:eastAsia="方正仿宋简体"/>
          <w:b/>
          <w:spacing w:val="-11"/>
          <w:sz w:val="32"/>
          <w:szCs w:val="32"/>
        </w:rPr>
      </w:pPr>
      <w:r>
        <w:rPr>
          <w:rFonts w:hint="eastAsia" w:ascii="方正仿宋简体" w:eastAsia="方正仿宋简体"/>
          <w:b/>
          <w:spacing w:val="-11"/>
          <w:sz w:val="32"/>
          <w:szCs w:val="32"/>
          <w:lang w:val="en-US" w:eastAsia="zh-CN"/>
        </w:rPr>
        <w:t>科技创新局</w:t>
      </w:r>
      <w:r>
        <w:rPr>
          <w:rFonts w:hint="eastAsia" w:ascii="方正仿宋简体" w:eastAsia="方正仿宋简体"/>
          <w:b/>
          <w:spacing w:val="-11"/>
          <w:sz w:val="32"/>
          <w:szCs w:val="32"/>
        </w:rPr>
        <w:t>打造综合</w:t>
      </w:r>
      <w:r>
        <w:rPr>
          <w:rFonts w:hint="eastAsia" w:ascii="方正仿宋简体" w:eastAsia="方正仿宋简体"/>
          <w:b/>
          <w:spacing w:val="-11"/>
          <w:sz w:val="32"/>
          <w:szCs w:val="32"/>
          <w:lang w:val="en-US" w:eastAsia="zh-CN"/>
        </w:rPr>
        <w:t>济宁高新区</w:t>
      </w:r>
      <w:r>
        <w:rPr>
          <w:rFonts w:hint="eastAsia" w:ascii="方正仿宋简体" w:eastAsia="方正仿宋简体"/>
          <w:b/>
          <w:spacing w:val="-11"/>
          <w:sz w:val="32"/>
          <w:szCs w:val="32"/>
        </w:rPr>
        <w:t>科技</w:t>
      </w:r>
      <w:r>
        <w:rPr>
          <w:rFonts w:hint="eastAsia" w:ascii="方正仿宋简体" w:eastAsia="方正仿宋简体"/>
          <w:b/>
          <w:spacing w:val="-11"/>
          <w:sz w:val="32"/>
          <w:szCs w:val="32"/>
          <w:lang w:val="en-US" w:eastAsia="zh-CN"/>
        </w:rPr>
        <w:t>云</w:t>
      </w:r>
      <w:r>
        <w:rPr>
          <w:rFonts w:hint="eastAsia" w:ascii="方正仿宋简体" w:eastAsia="方正仿宋简体"/>
          <w:b/>
          <w:spacing w:val="-11"/>
          <w:sz w:val="32"/>
          <w:szCs w:val="32"/>
        </w:rPr>
        <w:t>平台，畅通政务服务路线，助力科创增质增效。</w:t>
      </w:r>
      <w:r>
        <w:rPr>
          <w:rFonts w:hint="eastAsia" w:ascii="方正仿宋简体" w:eastAsia="方正仿宋简体"/>
          <w:b/>
          <w:spacing w:val="-11"/>
          <w:sz w:val="32"/>
          <w:szCs w:val="32"/>
          <w:lang w:val="en-US" w:eastAsia="zh-CN"/>
        </w:rPr>
        <w:t>济宁高新区</w:t>
      </w:r>
      <w:r>
        <w:rPr>
          <w:rFonts w:hint="eastAsia" w:ascii="方正仿宋简体" w:eastAsia="方正仿宋简体"/>
          <w:b/>
          <w:spacing w:val="-11"/>
          <w:sz w:val="32"/>
          <w:szCs w:val="32"/>
        </w:rPr>
        <w:t>科技</w:t>
      </w:r>
      <w:r>
        <w:rPr>
          <w:rFonts w:hint="eastAsia" w:ascii="方正仿宋简体" w:eastAsia="方正仿宋简体"/>
          <w:b/>
          <w:spacing w:val="-11"/>
          <w:sz w:val="32"/>
          <w:szCs w:val="32"/>
          <w:lang w:val="en-US" w:eastAsia="zh-CN"/>
        </w:rPr>
        <w:t>云</w:t>
      </w:r>
      <w:r>
        <w:rPr>
          <w:rFonts w:hint="eastAsia" w:ascii="方正仿宋简体" w:eastAsia="方正仿宋简体"/>
          <w:b/>
          <w:spacing w:val="-11"/>
          <w:sz w:val="32"/>
          <w:szCs w:val="32"/>
        </w:rPr>
        <w:t>平台立足科技职能，整合创新资源，融入新媒体、大数据等新技术、新模式，打造集政务服务、技术转移、成果对接、专利导航、信息服务等功能为一体的便捷高效、信息畅通、资源共享的综合科技服务平台，通过科技成果和技术供需的精准对接，解决科技成果信息不对称问题。积极主动发布科技政务动态和政策文件，推动更多创新资源向我市聚集，实现科技成果有效转化和企业、产业的转型升级，力争建设成为立足济宁、面向鲁南、链接国内外的科技成果展示交易平台，打造山东省科技成果转化与技术转移的前沿阵地和示范性模板。</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480" w:firstLineChars="200"/>
        <w:textAlignment w:val="auto"/>
        <w:rPr>
          <w:rFonts w:hint="eastAsia" w:ascii="微软雅黑" w:hAnsi="微软雅黑" w:eastAsia="微软雅黑" w:cs="微软雅黑"/>
          <w:i w:val="0"/>
          <w:iCs w:val="0"/>
          <w:caps w:val="0"/>
          <w:color w:val="333333"/>
          <w:spacing w:val="0"/>
          <w:sz w:val="24"/>
          <w:szCs w:val="24"/>
          <w:lang w:eastAsia="zh-CN"/>
        </w:rPr>
      </w:pPr>
      <w:r>
        <w:rPr>
          <w:rFonts w:hint="eastAsia" w:ascii="微软雅黑" w:hAnsi="微软雅黑" w:eastAsia="微软雅黑" w:cs="微软雅黑"/>
          <w:i w:val="0"/>
          <w:iCs w:val="0"/>
          <w:caps w:val="0"/>
          <w:color w:val="333333"/>
          <w:spacing w:val="0"/>
          <w:sz w:val="24"/>
          <w:szCs w:val="24"/>
          <w:lang w:eastAsia="zh-CN"/>
        </w:rPr>
        <w:drawing>
          <wp:inline distT="0" distB="0" distL="114300" distR="114300">
            <wp:extent cx="5267325" cy="2976245"/>
            <wp:effectExtent l="0" t="0" r="9525" b="14605"/>
            <wp:docPr id="2" name="图片 2" descr="1675391943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75391943620"/>
                    <pic:cNvPicPr>
                      <a:picLocks noChangeAspect="1"/>
                    </pic:cNvPicPr>
                  </pic:nvPicPr>
                  <pic:blipFill>
                    <a:blip r:embed="rId6"/>
                    <a:stretch>
                      <a:fillRect/>
                    </a:stretch>
                  </pic:blipFill>
                  <pic:spPr>
                    <a:xfrm>
                      <a:off x="0" y="0"/>
                      <a:ext cx="5267325" cy="2976245"/>
                    </a:xfrm>
                    <a:prstGeom prst="rect">
                      <a:avLst/>
                    </a:prstGeom>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D5270D"/>
    <w:multiLevelType w:val="singleLevel"/>
    <w:tmpl w:val="D2D5270D"/>
    <w:lvl w:ilvl="0" w:tentative="0">
      <w:start w:val="2"/>
      <w:numFmt w:val="chineseCounting"/>
      <w:suff w:val="nothing"/>
      <w:lvlText w:val="（%1）"/>
      <w:lvlJc w:val="left"/>
      <w:rPr>
        <w:rFonts w:hint="eastAsia"/>
      </w:rPr>
    </w:lvl>
  </w:abstractNum>
  <w:abstractNum w:abstractNumId="1">
    <w:nsid w:val="1598B29A"/>
    <w:multiLevelType w:val="singleLevel"/>
    <w:tmpl w:val="1598B29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58FD418B"/>
    <w:rsid w:val="1F4C27D7"/>
    <w:rsid w:val="2BA131A5"/>
    <w:rsid w:val="348150B0"/>
    <w:rsid w:val="47750797"/>
    <w:rsid w:val="58FD418B"/>
    <w:rsid w:val="60CA7B28"/>
    <w:rsid w:val="616014E0"/>
    <w:rsid w:val="618C36B2"/>
    <w:rsid w:val="61F4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www.wps.cn/officeDocument/2018/webExtension" Target="webExtensions/webExtension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1249688700346085&quot;,&quot;chart_type&quot;:&quot;柱状图&quot;,&quot;classifty_type&quot;:[&quot;比较类&quot;],&quot;dataSrc&quot;:{&quot;data&quot;:[[[&quot;类型&quot;,&quot;条&quot;],[&quot;政策文件&quot;,&quot;9&quot;],[&quot;会议公开&quot;,&quot;8&quot;],[&quot;行政权力运行公开&quot;,&quot;14&quot;],[&quot;政策解读&quot;,&quot;8&quot;],[&quot;公示公告&quot;,&quot;5&quot;]]],&quot;dataType&quot;:&quot;obejct-table&quot;,&quot;download&quot;:false,&quot;srcType&quot;:&quot;local&quot;,&quot;url&quot;:&quot;&quot;},&quot;function_type&quot;:[&quot;柱形图&quot;],&quot;gif&quot;:&quot;//web.docer.wpscdn.cn/docer/ds-page/images/444734748594536323.gif?imageView2/2/w/500/quality/90&quot;,&quot;isFree&quot;:&quot;0&quot;,&quot;label&quot;:&quot;&lt;e-barbasic-chart&gt;&quot;,&quot;projectId&quot;:&quot;444734748594536323&quot;,&quot;props&quot;:{&quot;animation&quot;:{&quot;duration&quot;:&quot;2&quot;,&quot;easeStyle&quot;:&quot;&quot;,&quot;endPause&quot;:&quot;1&quot;,&quot;moveOptions&quot;:[&quot;纵向整体拉伸&quot;,&quot;纵向分组拉伸&quot;,&quot;纵向分类拉伸&quot;,&quot;横向分组展开&quot;,&quot;横向同步展开&quot;,&quot;横向分类展开&quot;],&quot;moveStyle&quot;:&quot;纵向整体拉伸&quot;,&quot;startDelay&quot;:&quot;0&quot;,&quot;transition&quot;:true},&quot;axis&quot;:{&quot;grid&quot;:{&quot;color&quot;:&quot;#e9e9e9&quot;,&quot;gridLineWidth&quot;:&quot;1&quot;,&quot;lineStyle&quot;:&quot;dashline&quot;,&quot;show&quot;:&quot;x&quot;},&quot;x&quot;:{&quot;axisColor&quot;:&quot;#bfbfbf&quot;,&quot;axisLineWidth&quot;:&quot;1&quot;,&quot;axisShow&quot;:true,&quot;labelAngle&quot;:&quot;0&quot;,&quot;labelDirection&quot;:&quot;自动&quot;,&quot;labelDirectionOptions&quot;:[&quot;自动&quot;,&quot;横排&quot;,&quot;竖排&quot;],&quot;labelShow&quot;:true,&quot;name&quot;:&quot;&quot;},&quot;y&quot;:{&quot;axisColor&quot;:&quot;#bfbfbf&quot;,&quot;axisLineWidth&quot;:&quot;1&quot;,&quot;axisShow&quot;:false,&quot;labelShow&quot;:true,&quot;labelSuffix&quot;:&quot;&quot;,&quot;name&quot;:&quot;&quot;,&quot;range&quot;:[],&quot;stepOfLabel&quot;:&quot;&quot;}},&quot;backgroundColor&quot;:&quot;&quot;,&quot;colors&quot;:{&quot;colorControlers&quot;:[&quot;multiple&quot;],&quot;list&quot;:[0],&quot;type&quot;:&quot;multiple&quot;},&quot;display&quot;:{&quot;bar4CornerRadius&quot;:[0,0,0,0],&quot;barWidthPercent&quot;:&quot;0.5&quot;,&quot;borderColor&quot;:&quot;&quot;,&quot;borderWidth&quot;:&quot;0&quot;,&quot;fillOpacity&quot;:&quot;1&quot;},&quot;font&quot;:{&quot;color&quot;:&quot;#545454&quot;,&quot;fontFamily&quot;:&quot;黑体&quot;,&quot;fontSize&quot;:&quot;14&quot;},&quot;label&quot;:{&quot;display&quot;:false,&quot;positionChoice&quot;:&quot;上面&quot;,&quot;positionOptions&quot;:[&quot;上面&quot;,&quot;内部居下&quot;],&quot;suffix&quot;:&quot;&quot;,&quot;textLabel&quot;:{&quot;color&quot;:&quot;#545454&quot;,&quot;fontFamily&quot;:&quot;黑体&quot;,&quot;fontSize&quot;:&quot;14&quot;}},&quot;legend&quot;:{&quot;color&quot;:[&quot;#545454&quot;],&quot;fontFamily&quot;:[&quot;黑体&quot;],&quot;fontSize&quot;:&quot;14&quot;,&quot;lineHeight&quot;:&quot;15&quot;,&quot;show&quot;:true,&quot;style&quot;:&quot;&quot;,&quot;styleOptions&quot;:[],&quot;xPosition&quot;:&quot;center&quot;,&quot;yPosition&quot;:&quot;bottom&quot;},&quot;logoDisplay&quot;:{&quot;bottomLineHeight&quot;:&quot;15&quot;,&quot;imgHeight&quot;:&quot;32&quot;,&quot;imgUrl&quot;:&quot;https://ss1.dydata.io/newchartLogo.png&quot;,&quot;show&quot;:true,&quot;topLineHeight&quot;:&quot;11&quot;},&quot;map&quot;:[[{&quot;allowType&quot;:[&quot;string&quot;],&quot;configurable&quot;:false,&quot;function&quot;:&quot;objCol&quot;,&quot;index&quot;:0,&quot;isLegend&quot;:false,&quot;name&quot;:&quot;X轴对象&quot;},{&quot;allowType&quot;:[&quot;number&quot;],&quot;configurable&quot;:true,&quot;function&quot;:&quot;vCol&quot;,&quot;index&quot;:1,&quot;isLegend&quot;:false,&quot;name&quot;:&quot;数值列&quot;}]],&quot;numberFormat&quot;:{&quot;decimalPlaces&quot;:&quot;&quot;,&quot;style&quot;:&quot;1000.00&quot;},&quot;paddings&quot;:{&quot;bottom&quot;:&quot;33&quot;,&quot;chartBottom&quot;:&quot;5&quot;,&quot;left&quot;:&quot;24&quot;,&quot;right&quot;:&quot;24&quot;,&quot;top&quot;:&quot;24&quot;},&quot;publishDisplay&quot;:{&quot;color&quot;:&quot;#878787&quot;,&quot;fontFamily&quot;:&quot;黑体&quot;,&quot;fontSize&quot;:&quot;14&quot;,&quot;show&quot;:true,&quot;text&quot;:&quot;镝数出品&quot;},&quot;shadow&quot;:{&quot;display&quot;:false,&quot;shadowAngle&quot;:&quot;45&quot;,&quot;shadowBlur&quot;:&quot;5&quot;,&quot;shadowColor&quot;:&quot;#c6c6c6&quot;,&quot;shadowOpacity&quot;:&quot;100&quot;,&quot;shadowRadius&quot;:&quot;3&quot;},&quot;size&quot;:{&quot;height&quot;:425,&quot;ratio&quot;:&quot;&quot;,&quot;rotate&quot;:0,&quot;width&quot;:550},&quot;sourceDisplay&quot;:{&quot;color&quot;:&quot;#878787&quot;,&quot;fontFamily&quot;:&quot;黑体&quot;,&quot;fontSize&quot;:&quot;14&quot;,&quot;show&quot;:false,&quot;text&quot;:&quot;数据来源：示例数据&quot;,&quot;topLineHeight&quot;:&quot;15&quot;,&quot;xPosition&quot;:&quot;left&quot;,&quot;yPosition&quot;:&quot;bottom&quot;},&quot;titleDisplay&quot;:{&quot;color&quot;:&quot;#4c4c4c&quot;,&quot;fontFamily&quot;:&quot;黑体&quot;,&quot;fontSize&quot;:&quot;36&quot;,&quot;lineHeight&quot;:&quot;10&quot;,&quot;show&quot;:false,&quot;text&quot;:&quot;2018年全国各地区销售额情况&quot;,&quot;totalHeight&quot;:&quot;39&quot;,&quot;xPosition&quot;:&quot;left&quot;,&quot;yPosition&quot;:&quot;top&quot;},&quot;tooltip&quot;:true,&quot;unitDisplay&quot;:{&quot;bottomLineHeight&quot;:&quot;15&quot;,&quot;color&quot;:&quot;#878787&quot;,&quot;fontFamily&quot;:&quot;黑体&quot;,&quot;fontSize&quot;:&quot;16&quot;,&quot;show&quot;:true,&quot;text&quot;:&quot;单位：条&quot;,&quot;xPosition&quot;:&quot;left&quot;,&quot;yPosition&quot;:&quot;top&quot;},&quot;watermarkDisplay&quot;:{&quot;imgHeight&quot;:&quot;80&quot;,&quot;imgUrl&quot;:&quot;https://ss1.dydata.io/newchartWatermark.png&quot;,&quot;imgWidth&quot;:&quot;80&quot;,&quot;show&quot;:false}},&quot;templateId&quot;:&quot;444734748594536323&quot;,&quot;templateSwitch&quot;:&quot;cross&quot;,&quot;theme&quot;:{&quot;axis&quot;:{&quot;color&quot;:&quot;#a1a1a1&quot;},&quot;backgroundColor&quot;:&quot;#FFFFFF&quot;,&quot;colors&quot;:[&quot;#5AAEF3&quot;,&quot;#62D9AD&quot;,&quot;#5B6E96&quot;,&quot;#a8dffa&quot;,&quot;#ffdc4c&quot;,&quot;#FF974C&quot;,&quot;#E65A56&quot;,&quot;#6D61E4&quot;,&quot;#4A6FE2&quot;,&quot;#6D9AE7&quot;,&quot;#23C2DB&quot;,&quot;#D4EC59&quot;,&quot;#FFE88E&quot;,&quot;#FEB64D&quot;,&quot;#FB6E6C&quot;],&quot;fonts&quot;:{&quot;accessoryColor&quot;:&quot;#878787&quot;,&quot;color&quot;:&quot;#545454&quot;,&quot;fontFamily&quot;:&quot;黑体&quot;,&quot;fontSize&quot;:&quot;14&quot;},&quot;grid&quot;:{&quot;color&quot;:&quot;#ccc&quot;},&quot;name&quot;:&quot;默认主题&quot;,&quot;price&quot;:&quot;0.0&quot;,&quot;shapeColor&quot;:1,&quot;themeId&quot;:&quot;18&quot;,&quot;titleFont&quot;:{&quot;color&quot;:&quot;#4c4c4c&quot;,&quot;fontFamily&quot;:&quot;黑体&quot;,&quot;fontSize&quot;:&quot;36&quot;}},&quot;thumb&quot;:&quot;//web.docer.wpscdn.cn/docer/ds-page/images/S9mQy7TtDPRefubPR9f5hY.CBEB17BE.jpg?imageView2/2/w/500/quality/90&quot;,&quot;title&quot;:&quot;基础柱状图&quot;,&quot;type&quot;:&quot;chart&quot;},&quot;dschart_id&quot;:&quot;444734748594536323&quot;}"/>
    <wpswe:property key="isUseCommonErrorPage" value="false"/>
    <wpswe:property key="loadingImage" value="res:/icons/DsWebShapeDefaultPage.svg"/>
  </wpswe:properties>
  <wpswe:watchingCache>
    <wpswe:linkPath>C:/Users/yz/AppData/Local/Temp/wps.PvvxLi/Workbook1.xlsx</wpswe:linkPath>
  </wpswe:watchingCache>
  <wpswe:snapshot xmlns:r="http://schemas.openxmlformats.org/officeDocument/2006/relationships" r:embed="rId2"/>
  <wpswe:externalData xmlns:r="http://schemas.openxmlformats.org/officeDocument/2006/relationships" r:id="rId1"/>
  <wpswe:url>https://clientweb.docer.wps.cn/ds/1.0.0/webShapeView?id=40&amp;dschart_id=444734748594536323&amp;from=chartwins&amp;productEntry=insert&amp;sceneEntry=rec&amp;flag=1003</wpswe:url>
  <wpswe:constantSnapshot>false</wpswe:constantSnapshot>
</wpswe:webExtension>
</file>

<file path=docProps/app.xml><?xml version="1.0" encoding="utf-8"?>
<Properties xmlns="http://schemas.openxmlformats.org/officeDocument/2006/extended-properties" xmlns:vt="http://schemas.openxmlformats.org/officeDocument/2006/docPropsVTypes">
  <Template>Normal.dotm</Template>
  <Pages>8</Pages>
  <Words>3217</Words>
  <Characters>3292</Characters>
  <Lines>0</Lines>
  <Paragraphs>0</Paragraphs>
  <TotalTime>3</TotalTime>
  <ScaleCrop>false</ScaleCrop>
  <LinksUpToDate>false</LinksUpToDate>
  <CharactersWithSpaces>3312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2023-02-02T07:38:00Z</dcterms:created>
  <dc:creator>……</dc:creator>
  <cp:lastModifiedBy>……</cp:lastModifiedBy>
  <dcterms:modified xsi:type="dcterms:W3CDTF">2023-02-09T04:01:35Z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C63507CD818E4B7986B18E932A86FBBA</vt:lpwstr>
  </property>
</Properties>
</file>