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420"/>
        <w:jc w:val="center"/>
        <w:textAlignment w:val="auto"/>
        <w:rPr>
          <w:rFonts w:hint="eastAsia" w:ascii="方正小标宋简体" w:hAnsi="方正小标宋简体" w:eastAsia="方正小标宋简体" w:cs="方正小标宋简体"/>
          <w:sz w:val="44"/>
          <w:szCs w:val="44"/>
          <w:lang w:val="en-US" w:eastAsia="zh-CN"/>
        </w:rPr>
      </w:pPr>
      <w:bookmarkStart w:id="0" w:name="_GoBack"/>
      <w:bookmarkEnd w:id="0"/>
      <w:r>
        <w:rPr>
          <w:rFonts w:hint="eastAsia" w:ascii="方正小标宋简体" w:hAnsi="方正小标宋简体" w:eastAsia="方正小标宋简体" w:cs="方正小标宋简体"/>
          <w:sz w:val="44"/>
          <w:szCs w:val="44"/>
          <w:lang w:val="en-US" w:eastAsia="zh-CN"/>
        </w:rPr>
        <w:t>济宁高新区黄屯街道2020年政府信息</w:t>
      </w:r>
    </w:p>
    <w:p>
      <w:pPr>
        <w:pStyle w:val="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42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公开工作年度报告</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right="0" w:firstLine="640" w:firstLineChars="200"/>
        <w:jc w:val="both"/>
        <w:textAlignment w:val="auto"/>
        <w:rPr>
          <w:rFonts w:hint="default" w:ascii="Times New Roman" w:hAnsi="Times New Roman" w:eastAsia="方正仿宋简体" w:cs="Times New Roman"/>
          <w:sz w:val="32"/>
          <w:szCs w:val="32"/>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right="0" w:firstLine="640" w:firstLineChars="200"/>
        <w:jc w:val="both"/>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根据《国务院办公厅政府信息与政务公开办公室关于政府信息公开工作年度报告有关事项的通知》和上级有关要求，现公布黄屯街道</w:t>
      </w:r>
      <w:r>
        <w:rPr>
          <w:rFonts w:hint="default" w:ascii="Times New Roman" w:hAnsi="Times New Roman" w:eastAsia="方正仿宋简体" w:cs="Times New Roman"/>
          <w:sz w:val="32"/>
          <w:szCs w:val="32"/>
          <w:lang w:val="en-US" w:eastAsia="zh-CN"/>
        </w:rPr>
        <w:t>2020</w:t>
      </w:r>
      <w:r>
        <w:rPr>
          <w:rFonts w:hint="default" w:ascii="Times New Roman" w:hAnsi="Times New Roman" w:eastAsia="方正仿宋简体" w:cs="Times New Roman"/>
          <w:sz w:val="32"/>
          <w:szCs w:val="32"/>
        </w:rPr>
        <w:t>年政府信息公开工作年度报告。本报告由总体情况、主动公开政府信息情况、收到和处理政府信息公开申请情况、政府信息公开行政复议、行政诉讼情况、存在的主要问题及改进情况、其他需要报告的事项六部分组成，本年度报告中所列数据的统计期限自20</w:t>
      </w:r>
      <w:r>
        <w:rPr>
          <w:rFonts w:hint="default" w:ascii="Times New Roman" w:hAnsi="Times New Roman" w:eastAsia="方正仿宋简体" w:cs="Times New Roman"/>
          <w:sz w:val="32"/>
          <w:szCs w:val="32"/>
          <w:lang w:val="en-US" w:eastAsia="zh-CN"/>
        </w:rPr>
        <w:t>20</w:t>
      </w:r>
      <w:r>
        <w:rPr>
          <w:rFonts w:hint="default" w:ascii="Times New Roman" w:hAnsi="Times New Roman" w:eastAsia="方正仿宋简体" w:cs="Times New Roman"/>
          <w:sz w:val="32"/>
          <w:szCs w:val="32"/>
        </w:rPr>
        <w:t>年1月1日起至12月31日止。本报告全文在济宁高新区管委会门户网站“政务公开专栏”内的“信息公开年报”栏目中进行公布，欢迎查阅。如对本年度报告有任何疑问，请与高新区黄屯街道办事处联系（地址：黄王路3号；邮编：272004；电话：0537-</w:t>
      </w:r>
      <w:r>
        <w:rPr>
          <w:rFonts w:hint="default" w:ascii="Times New Roman" w:hAnsi="Times New Roman" w:eastAsia="方正仿宋简体" w:cs="Times New Roman"/>
          <w:sz w:val="32"/>
          <w:szCs w:val="32"/>
          <w:lang w:val="en-US" w:eastAsia="zh-CN"/>
        </w:rPr>
        <w:t>3518900</w:t>
      </w:r>
      <w:r>
        <w:rPr>
          <w:rFonts w:hint="default" w:ascii="Times New Roman" w:hAnsi="Times New Roman" w:eastAsia="方正仿宋简体" w:cs="Times New Roman"/>
          <w:sz w:val="32"/>
          <w:szCs w:val="32"/>
        </w:rPr>
        <w:t>；电子邮箱：</w:t>
      </w:r>
      <w:r>
        <w:rPr>
          <w:rFonts w:hint="default" w:ascii="Times New Roman" w:hAnsi="Times New Roman" w:eastAsia="方正仿宋简体" w:cs="Times New Roman"/>
          <w:sz w:val="32"/>
          <w:szCs w:val="32"/>
          <w:lang w:val="en-US" w:eastAsia="zh-CN"/>
        </w:rPr>
        <w:t>ht</w:t>
      </w:r>
      <w:r>
        <w:rPr>
          <w:rFonts w:hint="default" w:ascii="Times New Roman" w:hAnsi="Times New Roman" w:eastAsia="方正仿宋简体" w:cs="Times New Roman"/>
          <w:sz w:val="32"/>
          <w:szCs w:val="32"/>
        </w:rPr>
        <w:t>2011@163.com）。</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43" w:firstLineChars="200"/>
        <w:jc w:val="left"/>
        <w:textAlignment w:val="auto"/>
        <w:rPr>
          <w:rFonts w:hint="default" w:ascii="Times New Roman" w:hAnsi="Times New Roman" w:eastAsia="方正仿宋简体" w:cs="Times New Roman"/>
          <w:b/>
          <w:bCs/>
          <w:kern w:val="0"/>
          <w:sz w:val="32"/>
          <w:szCs w:val="32"/>
          <w:lang w:val="en-US" w:eastAsia="zh-CN" w:bidi="ar"/>
        </w:rPr>
      </w:pPr>
      <w:r>
        <w:rPr>
          <w:rFonts w:hint="default" w:ascii="Times New Roman" w:hAnsi="Times New Roman" w:eastAsia="方正仿宋简体" w:cs="Times New Roman"/>
          <w:b/>
          <w:bCs/>
          <w:kern w:val="0"/>
          <w:sz w:val="32"/>
          <w:szCs w:val="32"/>
          <w:lang w:val="en-US" w:eastAsia="zh-CN" w:bidi="ar"/>
        </w:rPr>
        <w:t xml:space="preserve">一、 总体情况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right="0" w:firstLine="640" w:firstLineChars="200"/>
        <w:jc w:val="both"/>
        <w:textAlignment w:val="auto"/>
        <w:rPr>
          <w:rFonts w:hint="default" w:ascii="Times New Roman" w:hAnsi="Times New Roman" w:eastAsia="方正仿宋简体" w:cs="Times New Roman"/>
          <w:sz w:val="32"/>
          <w:szCs w:val="32"/>
        </w:rPr>
      </w:pPr>
      <w:r>
        <w:rPr>
          <w:rFonts w:hint="eastAsia" w:ascii="Times New Roman" w:hAnsi="Times New Roman" w:eastAsia="方正仿宋简体" w:cs="Times New Roman"/>
          <w:sz w:val="32"/>
          <w:szCs w:val="32"/>
          <w:lang w:val="en-US" w:eastAsia="zh-CN"/>
        </w:rPr>
        <w:t>2020</w:t>
      </w:r>
      <w:r>
        <w:rPr>
          <w:rFonts w:hint="default" w:ascii="Times New Roman" w:hAnsi="Times New Roman" w:eastAsia="方正仿宋简体" w:cs="Times New Roman"/>
          <w:sz w:val="32"/>
          <w:szCs w:val="32"/>
        </w:rPr>
        <w:t>年，黄屯街道在高新区党工委、管委会的正确领导下，街道政府信息公开工作，按照省市政府信息公开工作的统一部署，不断强化政府信息公开工作力度，着力打造阳光政府、服务政府。</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right="0" w:firstLine="640" w:firstLineChars="200"/>
        <w:jc w:val="both"/>
        <w:textAlignment w:val="auto"/>
        <w:rPr>
          <w:rFonts w:hint="default" w:ascii="Times New Roman" w:hAnsi="Times New Roman" w:eastAsia="方正仿宋简体" w:cs="Times New Roman"/>
          <w:sz w:val="32"/>
          <w:szCs w:val="32"/>
        </w:rPr>
      </w:pPr>
      <w:r>
        <w:rPr>
          <w:rFonts w:hint="eastAsia" w:ascii="Times New Roman" w:hAnsi="Times New Roman" w:eastAsia="方正仿宋简体" w:cs="Times New Roman"/>
          <w:sz w:val="32"/>
          <w:szCs w:val="32"/>
          <w:lang w:val="en-US" w:eastAsia="zh-CN"/>
        </w:rPr>
        <w:t xml:space="preserve">一是主动公开信息及公开平台建设情况。2020 年，济宁高新区黄屯街道主动发布各类信息 44 条，现场受理相关政务公开方面信息15 余条。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right="0" w:firstLine="640" w:firstLineChars="200"/>
        <w:jc w:val="both"/>
        <w:textAlignment w:val="auto"/>
        <w:rPr>
          <w:rFonts w:hint="default" w:ascii="Times New Roman" w:hAnsi="Times New Roman" w:eastAsia="方正仿宋简体" w:cs="Times New Roman"/>
          <w:sz w:val="32"/>
          <w:szCs w:val="32"/>
        </w:rPr>
      </w:pPr>
      <w:r>
        <w:rPr>
          <w:rFonts w:hint="eastAsia" w:ascii="Times New Roman" w:hAnsi="Times New Roman" w:eastAsia="方正仿宋简体" w:cs="Times New Roman"/>
          <w:sz w:val="32"/>
          <w:szCs w:val="32"/>
          <w:lang w:val="en-US" w:eastAsia="zh-CN"/>
        </w:rPr>
        <w:t xml:space="preserve">二是依申请公开政府信息情况。规范依申请公开办理工作，完善信息处理流程，及时办理依申请公开件，保障了公民、法人和其他组织依法获取政府信息的权利，充分发挥政府信息的作用，畅通了诉求渠道，提升了信息公开服务水平。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right="0" w:firstLine="640" w:firstLineChars="200"/>
        <w:jc w:val="both"/>
        <w:textAlignment w:val="auto"/>
        <w:rPr>
          <w:rFonts w:hint="default" w:ascii="Times New Roman" w:hAnsi="Times New Roman" w:eastAsia="方正仿宋简体" w:cs="Times New Roman"/>
          <w:sz w:val="32"/>
          <w:szCs w:val="32"/>
        </w:rPr>
      </w:pPr>
      <w:r>
        <w:rPr>
          <w:rFonts w:hint="eastAsia" w:ascii="Times New Roman" w:hAnsi="Times New Roman" w:eastAsia="方正仿宋简体" w:cs="Times New Roman"/>
          <w:sz w:val="32"/>
          <w:szCs w:val="32"/>
          <w:lang w:val="en-US" w:eastAsia="zh-CN"/>
        </w:rPr>
        <w:t>三是主动做好政民互动工作。2020年，济宁高新区共受理 12345政务服务热线转办事项 881 件（次），承接省级政务服务热线转办 64 件（次），网络问政转办事项104 件（次），网民留言 19 条，办结率 100%，截至 12 月 31 日，应办结 1068 件，实际办结 1068 件。全区平均办结率为100%，平均办理结果满意率为 98.2%。</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right="0" w:firstLine="640" w:firstLineChars="200"/>
        <w:jc w:val="both"/>
        <w:textAlignment w:val="auto"/>
      </w:pPr>
      <w:r>
        <w:rPr>
          <w:rFonts w:hint="eastAsia" w:ascii="Times New Roman" w:hAnsi="Times New Roman" w:eastAsia="方正仿宋简体" w:cs="Times New Roman"/>
          <w:sz w:val="32"/>
          <w:szCs w:val="32"/>
          <w:lang w:val="en-US" w:eastAsia="zh-CN"/>
        </w:rPr>
        <w:t>四是政府信息公开保密审查及监督检查情况。高度重视政府信息公开保密审查工作，确保信息公开的同时做好相关保密审查工作。具体工作中，严格遵守谁公开、谁审查，谁审查、谁负责及先审查、后公开的原则，认真处理好保密与公开的关系，严格落实政府信息收集、整理、编辑、审核、发布、更新等方面规定，确保做到涉密信息不公开、公开信息不涉密。</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43" w:firstLineChars="200"/>
        <w:jc w:val="left"/>
        <w:textAlignment w:val="auto"/>
        <w:rPr>
          <w:rFonts w:hint="eastAsia" w:ascii="Times New Roman" w:hAnsi="Times New Roman" w:eastAsia="方正仿宋简体" w:cs="Times New Roman"/>
          <w:b/>
          <w:bCs/>
          <w:kern w:val="0"/>
          <w:sz w:val="32"/>
          <w:szCs w:val="32"/>
          <w:lang w:val="en-US" w:eastAsia="zh-CN" w:bidi="ar"/>
        </w:rPr>
      </w:pPr>
      <w:r>
        <w:rPr>
          <w:rFonts w:hint="eastAsia" w:ascii="Times New Roman" w:hAnsi="Times New Roman" w:eastAsia="方正仿宋简体" w:cs="Times New Roman"/>
          <w:b/>
          <w:bCs/>
          <w:kern w:val="0"/>
          <w:sz w:val="32"/>
          <w:szCs w:val="32"/>
          <w:lang w:val="en-US" w:eastAsia="zh-CN" w:bidi="ar"/>
        </w:rPr>
        <w:t>二、主动公开政府信息情况</w:t>
      </w:r>
    </w:p>
    <w:tbl>
      <w:tblPr>
        <w:tblStyle w:val="3"/>
        <w:tblW w:w="8140" w:type="dxa"/>
        <w:jc w:val="center"/>
        <w:tblLayout w:type="autofit"/>
        <w:tblCellMar>
          <w:top w:w="0" w:type="dxa"/>
          <w:left w:w="0" w:type="dxa"/>
          <w:bottom w:w="0" w:type="dxa"/>
          <w:right w:w="0" w:type="dxa"/>
        </w:tblCellMar>
      </w:tblPr>
      <w:tblGrid>
        <w:gridCol w:w="3113"/>
        <w:gridCol w:w="1875"/>
        <w:gridCol w:w="6"/>
        <w:gridCol w:w="1265"/>
        <w:gridCol w:w="1881"/>
      </w:tblGrid>
      <w:tr>
        <w:tblPrEx>
          <w:tblCellMar>
            <w:top w:w="0" w:type="dxa"/>
            <w:left w:w="0" w:type="dxa"/>
            <w:bottom w:w="0" w:type="dxa"/>
            <w:right w:w="0" w:type="dxa"/>
          </w:tblCellMar>
        </w:tblPrEx>
        <w:trPr>
          <w:trHeight w:val="495" w:hRule="atLeast"/>
          <w:jc w:val="center"/>
        </w:trPr>
        <w:tc>
          <w:tcPr>
            <w:tcW w:w="8140" w:type="dxa"/>
            <w:gridSpan w:val="5"/>
            <w:tcBorders>
              <w:top w:val="single" w:color="auto" w:sz="8" w:space="0"/>
              <w:left w:val="single" w:color="auto" w:sz="8" w:space="0"/>
              <w:bottom w:val="single" w:color="auto" w:sz="8" w:space="0"/>
              <w:right w:val="single" w:color="auto" w:sz="8" w:space="0"/>
            </w:tcBorders>
            <w:shd w:val="clear" w:color="auto" w:fill="C6D9F1"/>
            <w:noWrap/>
            <w:tcMar>
              <w:left w:w="108" w:type="dxa"/>
              <w:right w:w="108" w:type="dxa"/>
            </w:tcMar>
            <w:vAlign w:val="center"/>
          </w:tcPr>
          <w:p>
            <w:pPr>
              <w:widowControl/>
              <w:spacing w:after="180"/>
              <w:jc w:val="center"/>
            </w:pPr>
            <w:r>
              <w:rPr>
                <w:rFonts w:hint="eastAsia" w:ascii="宋体" w:hAnsi="宋体" w:cs="宋体"/>
                <w:kern w:val="0"/>
                <w:sz w:val="20"/>
                <w:szCs w:val="20"/>
                <w:lang w:bidi="ar"/>
              </w:rPr>
              <w:t>第二十条第（一）项</w:t>
            </w:r>
          </w:p>
        </w:tc>
      </w:tr>
      <w:tr>
        <w:tblPrEx>
          <w:tblCellMar>
            <w:top w:w="0" w:type="dxa"/>
            <w:left w:w="0" w:type="dxa"/>
            <w:bottom w:w="0" w:type="dxa"/>
            <w:right w:w="0" w:type="dxa"/>
          </w:tblCellMar>
        </w:tblPrEx>
        <w:trPr>
          <w:trHeight w:val="882"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widowControl/>
              <w:spacing w:after="180"/>
              <w:jc w:val="center"/>
            </w:pPr>
            <w:r>
              <w:rPr>
                <w:rFonts w:hint="eastAsia" w:ascii="宋体" w:hAnsi="宋体" w:cs="宋体"/>
                <w:kern w:val="0"/>
                <w:sz w:val="20"/>
                <w:szCs w:val="20"/>
                <w:lang w:bidi="ar"/>
              </w:rPr>
              <w:t>信息内容</w:t>
            </w:r>
          </w:p>
        </w:tc>
        <w:tc>
          <w:tcPr>
            <w:tcW w:w="1875" w:type="dxa"/>
            <w:tcBorders>
              <w:top w:val="single" w:color="auto" w:sz="8" w:space="0"/>
              <w:left w:val="nil"/>
              <w:bottom w:val="single" w:color="auto" w:sz="8" w:space="0"/>
              <w:right w:val="single" w:color="auto" w:sz="8" w:space="0"/>
            </w:tcBorders>
            <w:noWrap/>
            <w:tcMar>
              <w:left w:w="108" w:type="dxa"/>
              <w:right w:w="108" w:type="dxa"/>
            </w:tcMar>
            <w:vAlign w:val="center"/>
          </w:tcPr>
          <w:p>
            <w:pPr>
              <w:widowControl/>
              <w:spacing w:after="180"/>
              <w:jc w:val="center"/>
            </w:pPr>
            <w:r>
              <w:rPr>
                <w:rFonts w:hint="eastAsia" w:ascii="宋体" w:hAnsi="宋体" w:cs="宋体"/>
                <w:kern w:val="0"/>
                <w:sz w:val="20"/>
                <w:szCs w:val="20"/>
                <w:lang w:bidi="ar"/>
              </w:rPr>
              <w:t>本年新</w:t>
            </w:r>
            <w:r>
              <w:rPr>
                <w:rFonts w:hint="eastAsia" w:ascii="宋体" w:hAnsi="宋体" w:cs="宋体"/>
                <w:kern w:val="0"/>
                <w:sz w:val="20"/>
                <w:szCs w:val="20"/>
                <w:lang w:bidi="ar"/>
              </w:rPr>
              <w:br w:type="textWrapping"/>
            </w:r>
            <w:r>
              <w:rPr>
                <w:kern w:val="0"/>
                <w:sz w:val="20"/>
                <w:szCs w:val="20"/>
                <w:lang w:bidi="ar"/>
              </w:rPr>
              <w:t>制作数量</w:t>
            </w:r>
          </w:p>
        </w:tc>
        <w:tc>
          <w:tcPr>
            <w:tcW w:w="1271" w:type="dxa"/>
            <w:gridSpan w:val="2"/>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hint="eastAsia" w:ascii="宋体" w:hAnsi="宋体" w:cs="宋体"/>
                <w:kern w:val="0"/>
                <w:sz w:val="20"/>
                <w:szCs w:val="20"/>
                <w:lang w:bidi="ar"/>
              </w:rPr>
              <w:t>本年新</w:t>
            </w:r>
            <w:r>
              <w:rPr>
                <w:rFonts w:hint="eastAsia" w:ascii="宋体" w:hAnsi="宋体" w:cs="宋体"/>
                <w:kern w:val="0"/>
                <w:sz w:val="20"/>
                <w:szCs w:val="20"/>
                <w:lang w:bidi="ar"/>
              </w:rPr>
              <w:br w:type="textWrapping"/>
            </w:r>
            <w:r>
              <w:rPr>
                <w:kern w:val="0"/>
                <w:sz w:val="20"/>
                <w:szCs w:val="20"/>
                <w:lang w:bidi="ar"/>
              </w:rPr>
              <w:t>公开数量</w:t>
            </w:r>
          </w:p>
        </w:tc>
        <w:tc>
          <w:tcPr>
            <w:tcW w:w="1881" w:type="dxa"/>
            <w:tcBorders>
              <w:top w:val="nil"/>
              <w:left w:val="nil"/>
              <w:bottom w:val="single" w:color="auto" w:sz="8" w:space="0"/>
              <w:right w:val="single" w:color="auto" w:sz="8" w:space="0"/>
            </w:tcBorders>
            <w:noWrap/>
            <w:tcMar>
              <w:left w:w="108" w:type="dxa"/>
              <w:right w:w="108" w:type="dxa"/>
            </w:tcMar>
            <w:vAlign w:val="center"/>
          </w:tcPr>
          <w:p>
            <w:pPr>
              <w:widowControl/>
              <w:spacing w:after="180"/>
              <w:jc w:val="center"/>
            </w:pPr>
            <w:r>
              <w:rPr>
                <w:rFonts w:hint="eastAsia" w:ascii="宋体" w:hAnsi="宋体" w:cs="宋体"/>
                <w:kern w:val="0"/>
                <w:sz w:val="20"/>
                <w:szCs w:val="20"/>
                <w:lang w:bidi="ar"/>
              </w:rPr>
              <w:t>对外公开总数量</w:t>
            </w:r>
          </w:p>
        </w:tc>
      </w:tr>
      <w:tr>
        <w:tblPrEx>
          <w:tblCellMar>
            <w:top w:w="0" w:type="dxa"/>
            <w:left w:w="0" w:type="dxa"/>
            <w:bottom w:w="0" w:type="dxa"/>
            <w:right w:w="0" w:type="dxa"/>
          </w:tblCellMar>
        </w:tblPrEx>
        <w:trPr>
          <w:trHeight w:val="523"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widowControl/>
              <w:spacing w:after="180"/>
              <w:jc w:val="left"/>
            </w:pPr>
            <w:r>
              <w:rPr>
                <w:rFonts w:hint="eastAsia" w:ascii="宋体" w:hAnsi="宋体" w:cs="宋体"/>
                <w:kern w:val="0"/>
                <w:sz w:val="20"/>
                <w:szCs w:val="20"/>
                <w:lang w:bidi="ar"/>
              </w:rPr>
              <w:t>规章</w:t>
            </w:r>
          </w:p>
        </w:tc>
        <w:tc>
          <w:tcPr>
            <w:tcW w:w="1875" w:type="dxa"/>
            <w:tcBorders>
              <w:top w:val="nil"/>
              <w:left w:val="nil"/>
              <w:bottom w:val="single" w:color="auto" w:sz="8" w:space="0"/>
              <w:right w:val="single" w:color="auto" w:sz="8" w:space="0"/>
            </w:tcBorders>
            <w:noWrap/>
            <w:tcMar>
              <w:left w:w="108" w:type="dxa"/>
              <w:right w:w="108" w:type="dxa"/>
            </w:tcMar>
            <w:vAlign w:val="center"/>
          </w:tcPr>
          <w:p>
            <w:pPr>
              <w:widowControl/>
              <w:spacing w:after="180"/>
              <w:jc w:val="left"/>
              <w:rPr>
                <w:rFonts w:hint="eastAsia" w:eastAsia="宋体"/>
                <w:lang w:val="en-US" w:eastAsia="zh-CN"/>
              </w:rPr>
            </w:pPr>
            <w:r>
              <w:rPr>
                <w:rFonts w:hint="eastAsia" w:ascii="宋体" w:hAnsi="宋体" w:cs="宋体"/>
                <w:kern w:val="0"/>
                <w:sz w:val="20"/>
                <w:szCs w:val="20"/>
                <w:lang w:bidi="ar"/>
              </w:rPr>
              <w:t>　　</w:t>
            </w:r>
            <w:r>
              <w:rPr>
                <w:rFonts w:hint="eastAsia" w:ascii="宋体" w:hAnsi="宋体" w:cs="宋体"/>
                <w:kern w:val="0"/>
                <w:sz w:val="20"/>
                <w:szCs w:val="20"/>
                <w:lang w:val="en-US" w:eastAsia="zh-CN" w:bidi="ar"/>
              </w:rPr>
              <w:t>0</w:t>
            </w:r>
          </w:p>
        </w:tc>
        <w:tc>
          <w:tcPr>
            <w:tcW w:w="1271" w:type="dxa"/>
            <w:gridSpan w:val="2"/>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left"/>
              <w:rPr>
                <w:rFonts w:hint="eastAsia" w:eastAsia="宋体"/>
                <w:lang w:val="en-US" w:eastAsia="zh-CN"/>
              </w:rPr>
            </w:pPr>
            <w:r>
              <w:rPr>
                <w:rFonts w:hint="eastAsia" w:ascii="宋体" w:hAnsi="宋体" w:cs="宋体"/>
                <w:kern w:val="0"/>
                <w:sz w:val="20"/>
                <w:szCs w:val="20"/>
                <w:lang w:bidi="ar"/>
              </w:rPr>
              <w:t> </w:t>
            </w:r>
            <w:r>
              <w:rPr>
                <w:rFonts w:hint="eastAsia" w:ascii="宋体" w:hAnsi="宋体" w:cs="宋体"/>
                <w:kern w:val="0"/>
                <w:sz w:val="20"/>
                <w:szCs w:val="20"/>
                <w:lang w:val="en-US" w:eastAsia="zh-CN" w:bidi="ar"/>
              </w:rPr>
              <w:t>0</w:t>
            </w:r>
          </w:p>
        </w:tc>
        <w:tc>
          <w:tcPr>
            <w:tcW w:w="1881" w:type="dxa"/>
            <w:tcBorders>
              <w:top w:val="nil"/>
              <w:left w:val="nil"/>
              <w:bottom w:val="single" w:color="auto" w:sz="8" w:space="0"/>
              <w:right w:val="single" w:color="auto" w:sz="8" w:space="0"/>
            </w:tcBorders>
            <w:noWrap/>
            <w:tcMar>
              <w:left w:w="108" w:type="dxa"/>
              <w:right w:w="108" w:type="dxa"/>
            </w:tcMar>
            <w:vAlign w:val="center"/>
          </w:tcPr>
          <w:p>
            <w:pPr>
              <w:widowControl/>
              <w:spacing w:after="180"/>
              <w:jc w:val="left"/>
              <w:rPr>
                <w:rFonts w:hint="eastAsia" w:eastAsia="宋体"/>
                <w:lang w:val="en-US" w:eastAsia="zh-CN"/>
              </w:rPr>
            </w:pPr>
            <w:r>
              <w:rPr>
                <w:rFonts w:hint="eastAsia" w:ascii="宋体" w:hAnsi="宋体" w:cs="宋体"/>
                <w:kern w:val="0"/>
                <w:sz w:val="20"/>
                <w:szCs w:val="20"/>
                <w:lang w:bidi="ar"/>
              </w:rPr>
              <w:t>　</w:t>
            </w:r>
            <w:r>
              <w:rPr>
                <w:rFonts w:hint="eastAsia" w:ascii="宋体" w:hAnsi="宋体" w:cs="宋体"/>
                <w:kern w:val="0"/>
                <w:sz w:val="20"/>
                <w:szCs w:val="20"/>
                <w:lang w:val="en-US" w:eastAsia="zh-CN" w:bidi="ar"/>
              </w:rPr>
              <w:t>0</w:t>
            </w:r>
          </w:p>
        </w:tc>
      </w:tr>
      <w:tr>
        <w:tblPrEx>
          <w:tblCellMar>
            <w:top w:w="0" w:type="dxa"/>
            <w:left w:w="0" w:type="dxa"/>
            <w:bottom w:w="0" w:type="dxa"/>
            <w:right w:w="0" w:type="dxa"/>
          </w:tblCellMar>
        </w:tblPrEx>
        <w:trPr>
          <w:trHeight w:val="471"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widowControl/>
              <w:spacing w:after="180"/>
              <w:jc w:val="left"/>
            </w:pPr>
            <w:r>
              <w:rPr>
                <w:rFonts w:hint="eastAsia" w:ascii="宋体" w:hAnsi="宋体" w:cs="宋体"/>
                <w:kern w:val="0"/>
                <w:sz w:val="20"/>
                <w:szCs w:val="20"/>
                <w:lang w:bidi="ar"/>
              </w:rPr>
              <w:t>规范性文件</w:t>
            </w:r>
          </w:p>
        </w:tc>
        <w:tc>
          <w:tcPr>
            <w:tcW w:w="1875" w:type="dxa"/>
            <w:tcBorders>
              <w:top w:val="nil"/>
              <w:left w:val="nil"/>
              <w:bottom w:val="single" w:color="auto" w:sz="8" w:space="0"/>
              <w:right w:val="single" w:color="auto" w:sz="8" w:space="0"/>
            </w:tcBorders>
            <w:noWrap/>
            <w:tcMar>
              <w:left w:w="108" w:type="dxa"/>
              <w:right w:w="108" w:type="dxa"/>
            </w:tcMar>
            <w:vAlign w:val="center"/>
          </w:tcPr>
          <w:p>
            <w:pPr>
              <w:widowControl/>
              <w:spacing w:after="180"/>
              <w:jc w:val="left"/>
              <w:rPr>
                <w:rFonts w:hint="eastAsia" w:eastAsia="宋体"/>
                <w:lang w:val="en-US" w:eastAsia="zh-CN"/>
              </w:rPr>
            </w:pPr>
            <w:r>
              <w:rPr>
                <w:rFonts w:hint="eastAsia" w:ascii="宋体" w:hAnsi="宋体" w:cs="宋体"/>
                <w:kern w:val="0"/>
                <w:sz w:val="20"/>
                <w:szCs w:val="20"/>
                <w:lang w:bidi="ar"/>
              </w:rPr>
              <w:t>　　</w:t>
            </w:r>
            <w:r>
              <w:rPr>
                <w:rFonts w:hint="eastAsia" w:ascii="宋体" w:hAnsi="宋体" w:cs="宋体"/>
                <w:kern w:val="0"/>
                <w:sz w:val="20"/>
                <w:szCs w:val="20"/>
                <w:lang w:val="en-US" w:eastAsia="zh-CN" w:bidi="ar"/>
              </w:rPr>
              <w:t>0</w:t>
            </w:r>
          </w:p>
        </w:tc>
        <w:tc>
          <w:tcPr>
            <w:tcW w:w="1271" w:type="dxa"/>
            <w:gridSpan w:val="2"/>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left"/>
              <w:rPr>
                <w:rFonts w:hint="eastAsia" w:eastAsia="宋体"/>
                <w:lang w:val="en-US" w:eastAsia="zh-CN"/>
              </w:rPr>
            </w:pPr>
            <w:r>
              <w:rPr>
                <w:rFonts w:hint="eastAsia" w:ascii="宋体" w:hAnsi="宋体" w:cs="宋体"/>
                <w:kern w:val="0"/>
                <w:sz w:val="20"/>
                <w:szCs w:val="20"/>
                <w:lang w:bidi="ar"/>
              </w:rPr>
              <w:t> </w:t>
            </w:r>
            <w:r>
              <w:rPr>
                <w:rFonts w:hint="eastAsia" w:ascii="宋体" w:hAnsi="宋体" w:cs="宋体"/>
                <w:kern w:val="0"/>
                <w:sz w:val="20"/>
                <w:szCs w:val="20"/>
                <w:lang w:val="en-US" w:eastAsia="zh-CN" w:bidi="ar"/>
              </w:rPr>
              <w:t>0</w:t>
            </w:r>
          </w:p>
        </w:tc>
        <w:tc>
          <w:tcPr>
            <w:tcW w:w="1881" w:type="dxa"/>
            <w:tcBorders>
              <w:top w:val="nil"/>
              <w:left w:val="nil"/>
              <w:bottom w:val="single" w:color="auto" w:sz="8" w:space="0"/>
              <w:right w:val="single" w:color="auto" w:sz="8" w:space="0"/>
            </w:tcBorders>
            <w:noWrap/>
            <w:tcMar>
              <w:left w:w="108" w:type="dxa"/>
              <w:right w:w="108" w:type="dxa"/>
            </w:tcMar>
            <w:vAlign w:val="center"/>
          </w:tcPr>
          <w:p>
            <w:pPr>
              <w:widowControl/>
              <w:spacing w:after="180"/>
              <w:jc w:val="left"/>
              <w:rPr>
                <w:rFonts w:hint="eastAsia" w:eastAsia="宋体"/>
                <w:lang w:val="en-US" w:eastAsia="zh-CN"/>
              </w:rPr>
            </w:pPr>
            <w:r>
              <w:rPr>
                <w:rFonts w:hint="eastAsia" w:ascii="宋体" w:hAnsi="宋体" w:cs="宋体"/>
                <w:kern w:val="0"/>
                <w:sz w:val="20"/>
                <w:szCs w:val="20"/>
                <w:lang w:bidi="ar"/>
              </w:rPr>
              <w:t>　</w:t>
            </w:r>
            <w:r>
              <w:rPr>
                <w:rFonts w:hint="eastAsia" w:ascii="宋体" w:hAnsi="宋体" w:cs="宋体"/>
                <w:kern w:val="0"/>
                <w:sz w:val="20"/>
                <w:szCs w:val="20"/>
                <w:lang w:val="en-US" w:eastAsia="zh-CN" w:bidi="ar"/>
              </w:rPr>
              <w:t>0</w:t>
            </w:r>
          </w:p>
        </w:tc>
      </w:tr>
      <w:tr>
        <w:tblPrEx>
          <w:tblCellMar>
            <w:top w:w="0" w:type="dxa"/>
            <w:left w:w="0" w:type="dxa"/>
            <w:bottom w:w="0" w:type="dxa"/>
            <w:right w:w="0" w:type="dxa"/>
          </w:tblCellMar>
        </w:tblPrEx>
        <w:trPr>
          <w:trHeight w:val="480" w:hRule="atLeast"/>
          <w:jc w:val="center"/>
        </w:trPr>
        <w:tc>
          <w:tcPr>
            <w:tcW w:w="8140" w:type="dxa"/>
            <w:gridSpan w:val="5"/>
            <w:tcBorders>
              <w:top w:val="nil"/>
              <w:left w:val="single" w:color="auto" w:sz="8" w:space="0"/>
              <w:bottom w:val="single" w:color="auto" w:sz="8" w:space="0"/>
              <w:right w:val="single" w:color="auto" w:sz="8" w:space="0"/>
            </w:tcBorders>
            <w:shd w:val="clear" w:color="auto" w:fill="C6D9F1"/>
            <w:noWrap/>
            <w:tcMar>
              <w:left w:w="108" w:type="dxa"/>
              <w:right w:w="108" w:type="dxa"/>
            </w:tcMar>
            <w:vAlign w:val="center"/>
          </w:tcPr>
          <w:p>
            <w:pPr>
              <w:widowControl/>
              <w:spacing w:after="180"/>
              <w:jc w:val="center"/>
            </w:pPr>
            <w:r>
              <w:rPr>
                <w:rFonts w:hint="eastAsia" w:ascii="宋体" w:hAnsi="宋体" w:cs="宋体"/>
                <w:kern w:val="0"/>
                <w:sz w:val="20"/>
                <w:szCs w:val="20"/>
                <w:lang w:bidi="ar"/>
              </w:rPr>
              <w:t>第二十条第（五）项</w:t>
            </w:r>
          </w:p>
        </w:tc>
      </w:tr>
      <w:tr>
        <w:tblPrEx>
          <w:tblCellMar>
            <w:top w:w="0" w:type="dxa"/>
            <w:left w:w="0" w:type="dxa"/>
            <w:bottom w:w="0" w:type="dxa"/>
            <w:right w:w="0" w:type="dxa"/>
          </w:tblCellMar>
        </w:tblPrEx>
        <w:trPr>
          <w:trHeight w:val="634"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widowControl/>
              <w:spacing w:after="180"/>
              <w:jc w:val="center"/>
            </w:pPr>
            <w:r>
              <w:rPr>
                <w:rFonts w:hint="eastAsia" w:ascii="宋体" w:hAnsi="宋体" w:cs="宋体"/>
                <w:kern w:val="0"/>
                <w:sz w:val="20"/>
                <w:szCs w:val="20"/>
                <w:lang w:bidi="ar"/>
              </w:rPr>
              <w:t>信息内容</w:t>
            </w:r>
          </w:p>
        </w:tc>
        <w:tc>
          <w:tcPr>
            <w:tcW w:w="1875" w:type="dxa"/>
            <w:tcBorders>
              <w:top w:val="single" w:color="auto" w:sz="8" w:space="0"/>
              <w:left w:val="nil"/>
              <w:bottom w:val="single" w:color="auto" w:sz="8" w:space="0"/>
              <w:right w:val="single" w:color="auto" w:sz="8" w:space="0"/>
            </w:tcBorders>
            <w:noWrap/>
            <w:tcMar>
              <w:left w:w="108" w:type="dxa"/>
              <w:right w:w="108" w:type="dxa"/>
            </w:tcMar>
            <w:vAlign w:val="center"/>
          </w:tcPr>
          <w:p>
            <w:pPr>
              <w:widowControl/>
              <w:spacing w:after="180"/>
              <w:jc w:val="center"/>
            </w:pPr>
            <w:r>
              <w:rPr>
                <w:rFonts w:hint="eastAsia" w:ascii="宋体" w:hAnsi="宋体" w:cs="宋体"/>
                <w:kern w:val="0"/>
                <w:sz w:val="20"/>
                <w:szCs w:val="20"/>
                <w:lang w:bidi="ar"/>
              </w:rPr>
              <w:t>上一年项目数量</w:t>
            </w:r>
          </w:p>
        </w:tc>
        <w:tc>
          <w:tcPr>
            <w:tcW w:w="1271" w:type="dxa"/>
            <w:gridSpan w:val="2"/>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hint="eastAsia" w:ascii="宋体" w:hAnsi="宋体" w:cs="宋体"/>
                <w:kern w:val="0"/>
                <w:sz w:val="20"/>
                <w:szCs w:val="20"/>
                <w:lang w:bidi="ar"/>
              </w:rPr>
              <w:t>本年增/减</w:t>
            </w:r>
          </w:p>
        </w:tc>
        <w:tc>
          <w:tcPr>
            <w:tcW w:w="1881" w:type="dxa"/>
            <w:tcBorders>
              <w:top w:val="nil"/>
              <w:left w:val="nil"/>
              <w:bottom w:val="single" w:color="auto" w:sz="8" w:space="0"/>
              <w:right w:val="single" w:color="auto" w:sz="8" w:space="0"/>
            </w:tcBorders>
            <w:noWrap/>
            <w:tcMar>
              <w:left w:w="108" w:type="dxa"/>
              <w:right w:w="108" w:type="dxa"/>
            </w:tcMar>
            <w:vAlign w:val="center"/>
          </w:tcPr>
          <w:p>
            <w:pPr>
              <w:widowControl/>
              <w:spacing w:after="180"/>
              <w:jc w:val="center"/>
            </w:pPr>
            <w:r>
              <w:rPr>
                <w:rFonts w:hint="eastAsia" w:ascii="宋体" w:hAnsi="宋体" w:cs="宋体"/>
                <w:kern w:val="0"/>
                <w:sz w:val="20"/>
                <w:szCs w:val="20"/>
                <w:lang w:bidi="ar"/>
              </w:rPr>
              <w:t>处理决定数量</w:t>
            </w:r>
          </w:p>
        </w:tc>
      </w:tr>
      <w:tr>
        <w:tblPrEx>
          <w:tblCellMar>
            <w:top w:w="0" w:type="dxa"/>
            <w:left w:w="0" w:type="dxa"/>
            <w:bottom w:w="0" w:type="dxa"/>
            <w:right w:w="0" w:type="dxa"/>
          </w:tblCellMar>
        </w:tblPrEx>
        <w:trPr>
          <w:trHeight w:val="528"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widowControl/>
              <w:spacing w:after="180"/>
              <w:jc w:val="left"/>
            </w:pPr>
            <w:r>
              <w:rPr>
                <w:rFonts w:hint="eastAsia" w:ascii="宋体" w:hAnsi="宋体" w:cs="宋体"/>
                <w:kern w:val="0"/>
                <w:sz w:val="20"/>
                <w:szCs w:val="20"/>
                <w:lang w:bidi="ar"/>
              </w:rPr>
              <w:t>行政许可</w:t>
            </w:r>
          </w:p>
        </w:tc>
        <w:tc>
          <w:tcPr>
            <w:tcW w:w="1881" w:type="dxa"/>
            <w:gridSpan w:val="2"/>
            <w:tcBorders>
              <w:top w:val="nil"/>
              <w:left w:val="nil"/>
              <w:bottom w:val="single" w:color="auto" w:sz="8" w:space="0"/>
              <w:right w:val="single" w:color="auto" w:sz="8" w:space="0"/>
            </w:tcBorders>
            <w:noWrap/>
            <w:tcMar>
              <w:left w:w="108" w:type="dxa"/>
              <w:right w:w="108" w:type="dxa"/>
            </w:tcMar>
            <w:vAlign w:val="center"/>
          </w:tcPr>
          <w:p>
            <w:pPr>
              <w:widowControl/>
              <w:spacing w:after="180"/>
              <w:jc w:val="left"/>
              <w:rPr>
                <w:rFonts w:hint="default" w:eastAsia="宋体"/>
                <w:lang w:val="en-US" w:eastAsia="zh-CN"/>
              </w:rPr>
            </w:pPr>
            <w:r>
              <w:rPr>
                <w:rFonts w:hint="eastAsia" w:ascii="宋体" w:hAnsi="宋体" w:cs="宋体"/>
                <w:kern w:val="0"/>
                <w:sz w:val="20"/>
                <w:szCs w:val="20"/>
                <w:lang w:bidi="ar"/>
              </w:rPr>
              <w:t>　</w:t>
            </w:r>
            <w:r>
              <w:rPr>
                <w:rFonts w:hint="eastAsia" w:ascii="宋体" w:hAnsi="宋体" w:cs="宋体"/>
                <w:kern w:val="0"/>
                <w:sz w:val="20"/>
                <w:szCs w:val="20"/>
                <w:lang w:val="en-US" w:eastAsia="zh-CN" w:bidi="ar"/>
              </w:rPr>
              <w:t>11</w:t>
            </w:r>
          </w:p>
        </w:tc>
        <w:tc>
          <w:tcPr>
            <w:tcW w:w="1265" w:type="dxa"/>
            <w:tcBorders>
              <w:top w:val="nil"/>
              <w:left w:val="nil"/>
              <w:bottom w:val="single" w:color="auto" w:sz="8" w:space="0"/>
              <w:right w:val="single" w:color="auto" w:sz="8" w:space="0"/>
            </w:tcBorders>
            <w:noWrap/>
            <w:tcMar>
              <w:left w:w="108" w:type="dxa"/>
              <w:right w:w="108" w:type="dxa"/>
            </w:tcMar>
            <w:vAlign w:val="center"/>
          </w:tcPr>
          <w:p>
            <w:pPr>
              <w:widowControl/>
              <w:spacing w:after="180"/>
              <w:jc w:val="left"/>
              <w:rPr>
                <w:rFonts w:hint="default" w:eastAsia="宋体"/>
                <w:lang w:val="en-US" w:eastAsia="zh-CN"/>
              </w:rPr>
            </w:pPr>
            <w:r>
              <w:rPr>
                <w:rFonts w:hint="eastAsia" w:ascii="宋体" w:hAnsi="宋体" w:cs="宋体"/>
                <w:kern w:val="0"/>
                <w:sz w:val="20"/>
                <w:szCs w:val="20"/>
                <w:lang w:bidi="ar"/>
              </w:rPr>
              <w:t>　</w:t>
            </w:r>
            <w:r>
              <w:rPr>
                <w:rFonts w:hint="eastAsia" w:ascii="宋体" w:hAnsi="宋体" w:cs="宋体"/>
                <w:kern w:val="0"/>
                <w:sz w:val="20"/>
                <w:szCs w:val="20"/>
                <w:lang w:val="en-US" w:eastAsia="zh-CN" w:bidi="ar"/>
              </w:rPr>
              <w:t>162</w:t>
            </w:r>
          </w:p>
        </w:tc>
        <w:tc>
          <w:tcPr>
            <w:tcW w:w="1881" w:type="dxa"/>
            <w:tcBorders>
              <w:top w:val="nil"/>
              <w:left w:val="nil"/>
              <w:bottom w:val="single" w:color="auto" w:sz="8" w:space="0"/>
              <w:right w:val="single" w:color="auto" w:sz="8" w:space="0"/>
            </w:tcBorders>
            <w:noWrap/>
            <w:tcMar>
              <w:left w:w="108" w:type="dxa"/>
              <w:right w:w="108" w:type="dxa"/>
            </w:tcMar>
            <w:vAlign w:val="center"/>
          </w:tcPr>
          <w:p>
            <w:pPr>
              <w:widowControl/>
              <w:spacing w:after="180"/>
              <w:jc w:val="left"/>
              <w:rPr>
                <w:rFonts w:hint="default" w:eastAsia="宋体"/>
                <w:lang w:val="en-US" w:eastAsia="zh-CN"/>
              </w:rPr>
            </w:pPr>
            <w:r>
              <w:rPr>
                <w:rFonts w:hint="eastAsia" w:ascii="宋体" w:hAnsi="宋体" w:cs="宋体"/>
                <w:kern w:val="0"/>
                <w:sz w:val="20"/>
                <w:szCs w:val="20"/>
                <w:lang w:bidi="ar"/>
              </w:rPr>
              <w:t>　</w:t>
            </w:r>
            <w:r>
              <w:rPr>
                <w:rFonts w:hint="eastAsia" w:ascii="宋体" w:hAnsi="宋体" w:cs="宋体"/>
                <w:kern w:val="0"/>
                <w:sz w:val="20"/>
                <w:szCs w:val="20"/>
                <w:lang w:val="en-US" w:eastAsia="zh-CN" w:bidi="ar"/>
              </w:rPr>
              <w:t>173</w:t>
            </w:r>
          </w:p>
        </w:tc>
      </w:tr>
      <w:tr>
        <w:tblPrEx>
          <w:tblCellMar>
            <w:top w:w="0" w:type="dxa"/>
            <w:left w:w="0" w:type="dxa"/>
            <w:bottom w:w="0" w:type="dxa"/>
            <w:right w:w="0" w:type="dxa"/>
          </w:tblCellMar>
        </w:tblPrEx>
        <w:trPr>
          <w:trHeight w:val="550"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widowControl/>
              <w:spacing w:after="180"/>
              <w:jc w:val="left"/>
            </w:pPr>
            <w:r>
              <w:rPr>
                <w:rFonts w:hint="eastAsia" w:ascii="宋体" w:hAnsi="宋体" w:cs="宋体"/>
                <w:kern w:val="0"/>
                <w:sz w:val="20"/>
                <w:szCs w:val="20"/>
                <w:lang w:bidi="ar"/>
              </w:rPr>
              <w:t>其他对外管理服务事项</w:t>
            </w:r>
          </w:p>
        </w:tc>
        <w:tc>
          <w:tcPr>
            <w:tcW w:w="1881" w:type="dxa"/>
            <w:gridSpan w:val="2"/>
            <w:tcBorders>
              <w:top w:val="nil"/>
              <w:left w:val="nil"/>
              <w:bottom w:val="single" w:color="auto" w:sz="8" w:space="0"/>
              <w:right w:val="single" w:color="auto" w:sz="8" w:space="0"/>
            </w:tcBorders>
            <w:noWrap/>
            <w:tcMar>
              <w:left w:w="108" w:type="dxa"/>
              <w:right w:w="108" w:type="dxa"/>
            </w:tcMar>
            <w:vAlign w:val="center"/>
          </w:tcPr>
          <w:p>
            <w:pPr>
              <w:widowControl/>
              <w:spacing w:after="180"/>
              <w:jc w:val="left"/>
              <w:rPr>
                <w:rFonts w:hint="eastAsia" w:eastAsia="宋体"/>
                <w:lang w:val="en-US" w:eastAsia="zh-CN"/>
              </w:rPr>
            </w:pPr>
            <w:r>
              <w:rPr>
                <w:rFonts w:hint="eastAsia" w:ascii="宋体" w:hAnsi="宋体" w:cs="宋体"/>
                <w:kern w:val="0"/>
                <w:sz w:val="20"/>
                <w:szCs w:val="20"/>
                <w:lang w:bidi="ar"/>
              </w:rPr>
              <w:t>　</w:t>
            </w:r>
            <w:r>
              <w:rPr>
                <w:rFonts w:hint="eastAsia" w:ascii="宋体" w:hAnsi="宋体" w:cs="宋体"/>
                <w:kern w:val="0"/>
                <w:sz w:val="20"/>
                <w:szCs w:val="20"/>
                <w:lang w:val="en-US" w:eastAsia="zh-CN" w:bidi="ar"/>
              </w:rPr>
              <w:t>0</w:t>
            </w:r>
          </w:p>
        </w:tc>
        <w:tc>
          <w:tcPr>
            <w:tcW w:w="1265" w:type="dxa"/>
            <w:tcBorders>
              <w:top w:val="nil"/>
              <w:left w:val="nil"/>
              <w:bottom w:val="single" w:color="auto" w:sz="8" w:space="0"/>
              <w:right w:val="single" w:color="auto" w:sz="8" w:space="0"/>
            </w:tcBorders>
            <w:noWrap/>
            <w:tcMar>
              <w:left w:w="108" w:type="dxa"/>
              <w:right w:w="108" w:type="dxa"/>
            </w:tcMar>
            <w:vAlign w:val="center"/>
          </w:tcPr>
          <w:p>
            <w:pPr>
              <w:widowControl/>
              <w:spacing w:after="180"/>
              <w:jc w:val="left"/>
              <w:rPr>
                <w:rFonts w:hint="eastAsia" w:eastAsia="宋体"/>
                <w:lang w:val="en-US" w:eastAsia="zh-CN"/>
              </w:rPr>
            </w:pPr>
            <w:r>
              <w:rPr>
                <w:rFonts w:hint="eastAsia" w:ascii="宋体" w:hAnsi="宋体" w:cs="宋体"/>
                <w:kern w:val="0"/>
                <w:sz w:val="20"/>
                <w:szCs w:val="20"/>
                <w:lang w:bidi="ar"/>
              </w:rPr>
              <w:t>　</w:t>
            </w:r>
            <w:r>
              <w:rPr>
                <w:rFonts w:hint="eastAsia" w:ascii="宋体" w:hAnsi="宋体" w:cs="宋体"/>
                <w:kern w:val="0"/>
                <w:sz w:val="20"/>
                <w:szCs w:val="20"/>
                <w:lang w:val="en-US" w:eastAsia="zh-CN" w:bidi="ar"/>
              </w:rPr>
              <w:t>0</w:t>
            </w:r>
          </w:p>
        </w:tc>
        <w:tc>
          <w:tcPr>
            <w:tcW w:w="1881" w:type="dxa"/>
            <w:tcBorders>
              <w:top w:val="nil"/>
              <w:left w:val="nil"/>
              <w:bottom w:val="single" w:color="auto" w:sz="8" w:space="0"/>
              <w:right w:val="single" w:color="auto" w:sz="8" w:space="0"/>
            </w:tcBorders>
            <w:noWrap/>
            <w:tcMar>
              <w:left w:w="108" w:type="dxa"/>
              <w:right w:w="108" w:type="dxa"/>
            </w:tcMar>
            <w:vAlign w:val="center"/>
          </w:tcPr>
          <w:p>
            <w:pPr>
              <w:widowControl/>
              <w:spacing w:after="180"/>
              <w:jc w:val="left"/>
              <w:rPr>
                <w:rFonts w:hint="eastAsia" w:eastAsia="宋体"/>
                <w:lang w:val="en-US" w:eastAsia="zh-CN"/>
              </w:rPr>
            </w:pPr>
            <w:r>
              <w:rPr>
                <w:rFonts w:hint="eastAsia" w:ascii="宋体" w:hAnsi="宋体" w:cs="宋体"/>
                <w:kern w:val="0"/>
                <w:sz w:val="20"/>
                <w:szCs w:val="20"/>
                <w:lang w:bidi="ar"/>
              </w:rPr>
              <w:t>　</w:t>
            </w:r>
            <w:r>
              <w:rPr>
                <w:rFonts w:hint="eastAsia" w:ascii="宋体" w:hAnsi="宋体" w:cs="宋体"/>
                <w:kern w:val="0"/>
                <w:sz w:val="20"/>
                <w:szCs w:val="20"/>
                <w:lang w:val="en-US" w:eastAsia="zh-CN" w:bidi="ar"/>
              </w:rPr>
              <w:t>0</w:t>
            </w:r>
          </w:p>
        </w:tc>
      </w:tr>
      <w:tr>
        <w:tblPrEx>
          <w:tblCellMar>
            <w:top w:w="0" w:type="dxa"/>
            <w:left w:w="0" w:type="dxa"/>
            <w:bottom w:w="0" w:type="dxa"/>
            <w:right w:w="0" w:type="dxa"/>
          </w:tblCellMar>
        </w:tblPrEx>
        <w:trPr>
          <w:trHeight w:val="406" w:hRule="atLeast"/>
          <w:jc w:val="center"/>
        </w:trPr>
        <w:tc>
          <w:tcPr>
            <w:tcW w:w="8140" w:type="dxa"/>
            <w:gridSpan w:val="5"/>
            <w:tcBorders>
              <w:top w:val="nil"/>
              <w:left w:val="single" w:color="auto" w:sz="8" w:space="0"/>
              <w:bottom w:val="single" w:color="auto" w:sz="8" w:space="0"/>
              <w:right w:val="single" w:color="auto" w:sz="8" w:space="0"/>
            </w:tcBorders>
            <w:shd w:val="clear" w:color="auto" w:fill="C6D9F1"/>
            <w:noWrap/>
            <w:tcMar>
              <w:left w:w="108" w:type="dxa"/>
              <w:right w:w="108" w:type="dxa"/>
            </w:tcMar>
            <w:vAlign w:val="center"/>
          </w:tcPr>
          <w:p>
            <w:pPr>
              <w:widowControl/>
              <w:spacing w:after="180"/>
              <w:jc w:val="center"/>
            </w:pPr>
            <w:r>
              <w:rPr>
                <w:rFonts w:hint="eastAsia" w:ascii="宋体" w:hAnsi="宋体" w:cs="宋体"/>
                <w:kern w:val="0"/>
                <w:sz w:val="20"/>
                <w:szCs w:val="20"/>
                <w:lang w:bidi="ar"/>
              </w:rPr>
              <w:t>第二十条第（六）项</w:t>
            </w:r>
          </w:p>
        </w:tc>
      </w:tr>
      <w:tr>
        <w:tblPrEx>
          <w:tblCellMar>
            <w:top w:w="0" w:type="dxa"/>
            <w:left w:w="0" w:type="dxa"/>
            <w:bottom w:w="0" w:type="dxa"/>
            <w:right w:w="0" w:type="dxa"/>
          </w:tblCellMar>
        </w:tblPrEx>
        <w:trPr>
          <w:trHeight w:val="634"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widowControl/>
              <w:spacing w:after="180"/>
              <w:jc w:val="center"/>
            </w:pPr>
            <w:r>
              <w:rPr>
                <w:rFonts w:hint="eastAsia" w:ascii="宋体" w:hAnsi="宋体" w:cs="宋体"/>
                <w:kern w:val="0"/>
                <w:sz w:val="20"/>
                <w:szCs w:val="20"/>
                <w:lang w:bidi="ar"/>
              </w:rPr>
              <w:t>信息内容</w:t>
            </w:r>
          </w:p>
        </w:tc>
        <w:tc>
          <w:tcPr>
            <w:tcW w:w="1875" w:type="dxa"/>
            <w:tcBorders>
              <w:top w:val="single" w:color="auto" w:sz="8" w:space="0"/>
              <w:left w:val="nil"/>
              <w:bottom w:val="single" w:color="auto" w:sz="8" w:space="0"/>
              <w:right w:val="single" w:color="auto" w:sz="8" w:space="0"/>
            </w:tcBorders>
            <w:noWrap/>
            <w:tcMar>
              <w:left w:w="108" w:type="dxa"/>
              <w:right w:w="108" w:type="dxa"/>
            </w:tcMar>
            <w:vAlign w:val="center"/>
          </w:tcPr>
          <w:p>
            <w:pPr>
              <w:widowControl/>
              <w:spacing w:after="180"/>
              <w:jc w:val="center"/>
            </w:pPr>
            <w:r>
              <w:rPr>
                <w:rFonts w:hint="eastAsia" w:ascii="宋体" w:hAnsi="宋体" w:cs="宋体"/>
                <w:kern w:val="0"/>
                <w:sz w:val="20"/>
                <w:szCs w:val="20"/>
                <w:lang w:bidi="ar"/>
              </w:rPr>
              <w:t>上一年项目数量</w:t>
            </w:r>
          </w:p>
        </w:tc>
        <w:tc>
          <w:tcPr>
            <w:tcW w:w="1271" w:type="dxa"/>
            <w:gridSpan w:val="2"/>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hint="eastAsia" w:ascii="宋体" w:hAnsi="宋体" w:cs="宋体"/>
                <w:kern w:val="0"/>
                <w:sz w:val="20"/>
                <w:szCs w:val="20"/>
                <w:lang w:bidi="ar"/>
              </w:rPr>
              <w:t>本年增/减</w:t>
            </w:r>
          </w:p>
        </w:tc>
        <w:tc>
          <w:tcPr>
            <w:tcW w:w="1881" w:type="dxa"/>
            <w:tcBorders>
              <w:top w:val="nil"/>
              <w:left w:val="nil"/>
              <w:bottom w:val="single" w:color="auto" w:sz="8" w:space="0"/>
              <w:right w:val="single" w:color="auto" w:sz="8" w:space="0"/>
            </w:tcBorders>
            <w:noWrap/>
            <w:tcMar>
              <w:left w:w="108" w:type="dxa"/>
              <w:right w:w="108" w:type="dxa"/>
            </w:tcMar>
            <w:vAlign w:val="center"/>
          </w:tcPr>
          <w:p>
            <w:pPr>
              <w:widowControl/>
              <w:spacing w:after="180"/>
              <w:jc w:val="center"/>
            </w:pPr>
            <w:r>
              <w:rPr>
                <w:rFonts w:hint="eastAsia" w:ascii="宋体" w:hAnsi="宋体" w:cs="宋体"/>
                <w:kern w:val="0"/>
                <w:sz w:val="20"/>
                <w:szCs w:val="20"/>
                <w:lang w:bidi="ar"/>
              </w:rPr>
              <w:t>处理决定数量</w:t>
            </w:r>
          </w:p>
        </w:tc>
      </w:tr>
      <w:tr>
        <w:tblPrEx>
          <w:tblCellMar>
            <w:top w:w="0" w:type="dxa"/>
            <w:left w:w="0" w:type="dxa"/>
            <w:bottom w:w="0" w:type="dxa"/>
            <w:right w:w="0" w:type="dxa"/>
          </w:tblCellMar>
        </w:tblPrEx>
        <w:trPr>
          <w:trHeight w:val="430"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widowControl/>
              <w:spacing w:after="180"/>
              <w:jc w:val="left"/>
            </w:pPr>
            <w:r>
              <w:rPr>
                <w:rFonts w:hint="eastAsia" w:ascii="宋体" w:hAnsi="宋体" w:cs="宋体"/>
                <w:kern w:val="0"/>
                <w:sz w:val="20"/>
                <w:szCs w:val="20"/>
                <w:lang w:bidi="ar"/>
              </w:rPr>
              <w:t>行政处罚</w:t>
            </w:r>
          </w:p>
        </w:tc>
        <w:tc>
          <w:tcPr>
            <w:tcW w:w="1881" w:type="dxa"/>
            <w:gridSpan w:val="2"/>
            <w:tcBorders>
              <w:top w:val="nil"/>
              <w:left w:val="nil"/>
              <w:bottom w:val="single" w:color="auto" w:sz="8" w:space="0"/>
              <w:right w:val="single" w:color="auto" w:sz="8" w:space="0"/>
            </w:tcBorders>
            <w:noWrap/>
            <w:tcMar>
              <w:left w:w="108" w:type="dxa"/>
              <w:right w:w="108" w:type="dxa"/>
            </w:tcMar>
            <w:vAlign w:val="center"/>
          </w:tcPr>
          <w:p>
            <w:pPr>
              <w:widowControl/>
              <w:spacing w:after="180"/>
              <w:jc w:val="left"/>
              <w:rPr>
                <w:rFonts w:hint="eastAsia" w:eastAsia="宋体"/>
                <w:lang w:val="en-US" w:eastAsia="zh-CN"/>
              </w:rPr>
            </w:pPr>
            <w:r>
              <w:rPr>
                <w:rFonts w:hint="eastAsia" w:ascii="宋体" w:hAnsi="宋体" w:cs="宋体"/>
                <w:kern w:val="0"/>
                <w:sz w:val="20"/>
                <w:szCs w:val="20"/>
                <w:lang w:bidi="ar"/>
              </w:rPr>
              <w:t>　</w:t>
            </w:r>
            <w:r>
              <w:rPr>
                <w:rFonts w:hint="eastAsia" w:ascii="宋体" w:hAnsi="宋体" w:cs="宋体"/>
                <w:kern w:val="0"/>
                <w:sz w:val="20"/>
                <w:szCs w:val="20"/>
                <w:lang w:val="en-US" w:eastAsia="zh-CN" w:bidi="ar"/>
              </w:rPr>
              <w:t>4</w:t>
            </w:r>
          </w:p>
        </w:tc>
        <w:tc>
          <w:tcPr>
            <w:tcW w:w="1265" w:type="dxa"/>
            <w:tcBorders>
              <w:top w:val="nil"/>
              <w:left w:val="nil"/>
              <w:bottom w:val="single" w:color="auto" w:sz="8" w:space="0"/>
              <w:right w:val="single" w:color="auto" w:sz="8" w:space="0"/>
            </w:tcBorders>
            <w:noWrap/>
            <w:tcMar>
              <w:left w:w="108" w:type="dxa"/>
              <w:right w:w="108" w:type="dxa"/>
            </w:tcMar>
            <w:vAlign w:val="center"/>
          </w:tcPr>
          <w:p>
            <w:pPr>
              <w:widowControl/>
              <w:spacing w:after="180"/>
              <w:jc w:val="left"/>
              <w:rPr>
                <w:rFonts w:hint="default" w:eastAsia="宋体"/>
                <w:lang w:val="en-US" w:eastAsia="zh-CN"/>
              </w:rPr>
            </w:pPr>
            <w:r>
              <w:rPr>
                <w:rFonts w:hint="eastAsia" w:ascii="宋体" w:hAnsi="宋体" w:cs="宋体"/>
                <w:kern w:val="0"/>
                <w:sz w:val="20"/>
                <w:szCs w:val="20"/>
                <w:lang w:bidi="ar"/>
              </w:rPr>
              <w:t>　</w:t>
            </w:r>
            <w:r>
              <w:rPr>
                <w:rFonts w:hint="eastAsia" w:ascii="宋体" w:hAnsi="宋体" w:cs="宋体"/>
                <w:kern w:val="0"/>
                <w:sz w:val="20"/>
                <w:szCs w:val="20"/>
                <w:lang w:val="en-US" w:eastAsia="zh-CN" w:bidi="ar"/>
              </w:rPr>
              <w:t>58</w:t>
            </w:r>
          </w:p>
        </w:tc>
        <w:tc>
          <w:tcPr>
            <w:tcW w:w="1881" w:type="dxa"/>
            <w:tcBorders>
              <w:top w:val="nil"/>
              <w:left w:val="nil"/>
              <w:bottom w:val="single" w:color="auto" w:sz="8" w:space="0"/>
              <w:right w:val="single" w:color="auto" w:sz="8" w:space="0"/>
            </w:tcBorders>
            <w:noWrap/>
            <w:tcMar>
              <w:left w:w="108" w:type="dxa"/>
              <w:right w:w="108" w:type="dxa"/>
            </w:tcMar>
            <w:vAlign w:val="center"/>
          </w:tcPr>
          <w:p>
            <w:pPr>
              <w:widowControl/>
              <w:spacing w:after="180"/>
              <w:jc w:val="left"/>
              <w:rPr>
                <w:rFonts w:hint="default" w:eastAsia="宋体"/>
                <w:lang w:val="en-US" w:eastAsia="zh-CN"/>
              </w:rPr>
            </w:pPr>
            <w:r>
              <w:rPr>
                <w:rFonts w:hint="eastAsia" w:ascii="宋体" w:hAnsi="宋体" w:cs="宋体"/>
                <w:kern w:val="0"/>
                <w:sz w:val="20"/>
                <w:szCs w:val="20"/>
                <w:lang w:bidi="ar"/>
              </w:rPr>
              <w:t>　</w:t>
            </w:r>
            <w:r>
              <w:rPr>
                <w:rFonts w:hint="eastAsia" w:ascii="宋体" w:hAnsi="宋体" w:cs="宋体"/>
                <w:kern w:val="0"/>
                <w:sz w:val="20"/>
                <w:szCs w:val="20"/>
                <w:lang w:val="en-US" w:eastAsia="zh-CN" w:bidi="ar"/>
              </w:rPr>
              <w:t>62</w:t>
            </w:r>
          </w:p>
        </w:tc>
      </w:tr>
      <w:tr>
        <w:tblPrEx>
          <w:tblCellMar>
            <w:top w:w="0" w:type="dxa"/>
            <w:left w:w="0" w:type="dxa"/>
            <w:bottom w:w="0" w:type="dxa"/>
            <w:right w:w="0" w:type="dxa"/>
          </w:tblCellMar>
        </w:tblPrEx>
        <w:trPr>
          <w:trHeight w:val="409"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widowControl/>
              <w:spacing w:after="180"/>
              <w:jc w:val="left"/>
            </w:pPr>
            <w:r>
              <w:rPr>
                <w:rFonts w:hint="eastAsia" w:ascii="宋体" w:hAnsi="宋体" w:cs="宋体"/>
                <w:kern w:val="0"/>
                <w:sz w:val="20"/>
                <w:szCs w:val="20"/>
                <w:lang w:bidi="ar"/>
              </w:rPr>
              <w:t>行政强制</w:t>
            </w:r>
          </w:p>
        </w:tc>
        <w:tc>
          <w:tcPr>
            <w:tcW w:w="1881" w:type="dxa"/>
            <w:gridSpan w:val="2"/>
            <w:tcBorders>
              <w:top w:val="nil"/>
              <w:left w:val="nil"/>
              <w:bottom w:val="single" w:color="auto" w:sz="8" w:space="0"/>
              <w:right w:val="single" w:color="auto" w:sz="8" w:space="0"/>
            </w:tcBorders>
            <w:noWrap/>
            <w:tcMar>
              <w:left w:w="108" w:type="dxa"/>
              <w:right w:w="108" w:type="dxa"/>
            </w:tcMar>
            <w:vAlign w:val="center"/>
          </w:tcPr>
          <w:p>
            <w:pPr>
              <w:widowControl/>
              <w:spacing w:after="180"/>
              <w:jc w:val="left"/>
              <w:rPr>
                <w:rFonts w:hint="eastAsia" w:eastAsia="宋体"/>
                <w:lang w:val="en-US" w:eastAsia="zh-CN"/>
              </w:rPr>
            </w:pPr>
            <w:r>
              <w:rPr>
                <w:rFonts w:hint="eastAsia" w:ascii="宋体" w:hAnsi="宋体" w:cs="宋体"/>
                <w:kern w:val="0"/>
                <w:sz w:val="20"/>
                <w:szCs w:val="20"/>
                <w:lang w:bidi="ar"/>
              </w:rPr>
              <w:t>　</w:t>
            </w:r>
            <w:r>
              <w:rPr>
                <w:rFonts w:hint="eastAsia" w:ascii="宋体" w:hAnsi="宋体" w:cs="宋体"/>
                <w:kern w:val="0"/>
                <w:sz w:val="20"/>
                <w:szCs w:val="20"/>
                <w:lang w:val="en-US" w:eastAsia="zh-CN" w:bidi="ar"/>
              </w:rPr>
              <w:t>0</w:t>
            </w:r>
          </w:p>
        </w:tc>
        <w:tc>
          <w:tcPr>
            <w:tcW w:w="1265" w:type="dxa"/>
            <w:tcBorders>
              <w:top w:val="nil"/>
              <w:left w:val="nil"/>
              <w:bottom w:val="single" w:color="auto" w:sz="8" w:space="0"/>
              <w:right w:val="single" w:color="auto" w:sz="8" w:space="0"/>
            </w:tcBorders>
            <w:noWrap/>
            <w:tcMar>
              <w:left w:w="108" w:type="dxa"/>
              <w:right w:w="108" w:type="dxa"/>
            </w:tcMar>
            <w:vAlign w:val="center"/>
          </w:tcPr>
          <w:p>
            <w:pPr>
              <w:widowControl/>
              <w:spacing w:after="180"/>
              <w:jc w:val="left"/>
              <w:rPr>
                <w:rFonts w:hint="eastAsia" w:eastAsia="宋体"/>
                <w:lang w:val="en-US" w:eastAsia="zh-CN"/>
              </w:rPr>
            </w:pPr>
            <w:r>
              <w:rPr>
                <w:rFonts w:hint="eastAsia" w:ascii="宋体" w:hAnsi="宋体" w:cs="宋体"/>
                <w:kern w:val="0"/>
                <w:sz w:val="20"/>
                <w:szCs w:val="20"/>
                <w:lang w:bidi="ar"/>
              </w:rPr>
              <w:t>　</w:t>
            </w:r>
            <w:r>
              <w:rPr>
                <w:rFonts w:hint="eastAsia" w:ascii="宋体" w:hAnsi="宋体" w:cs="宋体"/>
                <w:kern w:val="0"/>
                <w:sz w:val="20"/>
                <w:szCs w:val="20"/>
                <w:lang w:val="en-US" w:eastAsia="zh-CN" w:bidi="ar"/>
              </w:rPr>
              <w:t>2</w:t>
            </w:r>
          </w:p>
        </w:tc>
        <w:tc>
          <w:tcPr>
            <w:tcW w:w="1881" w:type="dxa"/>
            <w:tcBorders>
              <w:top w:val="nil"/>
              <w:left w:val="nil"/>
              <w:bottom w:val="single" w:color="auto" w:sz="8" w:space="0"/>
              <w:right w:val="single" w:color="auto" w:sz="8" w:space="0"/>
            </w:tcBorders>
            <w:noWrap/>
            <w:tcMar>
              <w:left w:w="108" w:type="dxa"/>
              <w:right w:w="108" w:type="dxa"/>
            </w:tcMar>
            <w:vAlign w:val="center"/>
          </w:tcPr>
          <w:p>
            <w:pPr>
              <w:widowControl/>
              <w:spacing w:after="180"/>
              <w:jc w:val="left"/>
              <w:rPr>
                <w:rFonts w:hint="eastAsia" w:eastAsia="宋体"/>
                <w:lang w:val="en-US" w:eastAsia="zh-CN"/>
              </w:rPr>
            </w:pPr>
            <w:r>
              <w:rPr>
                <w:rFonts w:hint="eastAsia" w:ascii="宋体" w:hAnsi="宋体" w:cs="宋体"/>
                <w:kern w:val="0"/>
                <w:sz w:val="20"/>
                <w:szCs w:val="20"/>
                <w:lang w:bidi="ar"/>
              </w:rPr>
              <w:t>　</w:t>
            </w:r>
            <w:r>
              <w:rPr>
                <w:rFonts w:hint="eastAsia" w:ascii="宋体" w:hAnsi="宋体" w:cs="宋体"/>
                <w:kern w:val="0"/>
                <w:sz w:val="20"/>
                <w:szCs w:val="20"/>
                <w:lang w:val="en-US" w:eastAsia="zh-CN" w:bidi="ar"/>
              </w:rPr>
              <w:t>2</w:t>
            </w:r>
          </w:p>
        </w:tc>
      </w:tr>
      <w:tr>
        <w:tblPrEx>
          <w:tblCellMar>
            <w:top w:w="0" w:type="dxa"/>
            <w:left w:w="0" w:type="dxa"/>
            <w:bottom w:w="0" w:type="dxa"/>
            <w:right w:w="0" w:type="dxa"/>
          </w:tblCellMar>
        </w:tblPrEx>
        <w:trPr>
          <w:trHeight w:val="474" w:hRule="atLeast"/>
          <w:jc w:val="center"/>
        </w:trPr>
        <w:tc>
          <w:tcPr>
            <w:tcW w:w="8140" w:type="dxa"/>
            <w:gridSpan w:val="5"/>
            <w:tcBorders>
              <w:top w:val="nil"/>
              <w:left w:val="single" w:color="auto" w:sz="8" w:space="0"/>
              <w:bottom w:val="single" w:color="auto" w:sz="8" w:space="0"/>
              <w:right w:val="single" w:color="auto" w:sz="8" w:space="0"/>
            </w:tcBorders>
            <w:shd w:val="clear" w:color="auto" w:fill="C6D9F1"/>
            <w:noWrap/>
            <w:tcMar>
              <w:left w:w="108" w:type="dxa"/>
              <w:right w:w="108" w:type="dxa"/>
            </w:tcMar>
            <w:vAlign w:val="center"/>
          </w:tcPr>
          <w:p>
            <w:pPr>
              <w:widowControl/>
              <w:spacing w:after="180"/>
              <w:jc w:val="center"/>
            </w:pPr>
            <w:r>
              <w:rPr>
                <w:rFonts w:hint="eastAsia" w:ascii="宋体" w:hAnsi="宋体" w:cs="宋体"/>
                <w:kern w:val="0"/>
                <w:sz w:val="20"/>
                <w:szCs w:val="20"/>
                <w:lang w:bidi="ar"/>
              </w:rPr>
              <w:t>第二十条第（八）项</w:t>
            </w:r>
          </w:p>
        </w:tc>
      </w:tr>
      <w:tr>
        <w:tblPrEx>
          <w:tblCellMar>
            <w:top w:w="0" w:type="dxa"/>
            <w:left w:w="0" w:type="dxa"/>
            <w:bottom w:w="0" w:type="dxa"/>
            <w:right w:w="0" w:type="dxa"/>
          </w:tblCellMar>
        </w:tblPrEx>
        <w:trPr>
          <w:trHeight w:val="270"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widowControl/>
              <w:spacing w:after="180"/>
              <w:jc w:val="center"/>
            </w:pPr>
            <w:r>
              <w:rPr>
                <w:rFonts w:hint="eastAsia" w:ascii="宋体" w:hAnsi="宋体" w:cs="宋体"/>
                <w:kern w:val="0"/>
                <w:sz w:val="20"/>
                <w:szCs w:val="20"/>
                <w:lang w:bidi="ar"/>
              </w:rPr>
              <w:t>信息内容</w:t>
            </w:r>
          </w:p>
        </w:tc>
        <w:tc>
          <w:tcPr>
            <w:tcW w:w="1881" w:type="dxa"/>
            <w:gridSpan w:val="2"/>
            <w:tcBorders>
              <w:top w:val="nil"/>
              <w:left w:val="nil"/>
              <w:bottom w:val="single" w:color="auto" w:sz="8" w:space="0"/>
              <w:right w:val="single" w:color="auto" w:sz="8" w:space="0"/>
            </w:tcBorders>
            <w:noWrap/>
            <w:tcMar>
              <w:left w:w="108" w:type="dxa"/>
              <w:right w:w="108" w:type="dxa"/>
            </w:tcMar>
            <w:vAlign w:val="center"/>
          </w:tcPr>
          <w:p>
            <w:pPr>
              <w:widowControl/>
              <w:spacing w:after="180"/>
              <w:jc w:val="left"/>
            </w:pPr>
            <w:r>
              <w:rPr>
                <w:rFonts w:hint="eastAsia" w:ascii="宋体" w:hAnsi="宋体" w:cs="宋体"/>
                <w:kern w:val="0"/>
                <w:sz w:val="20"/>
                <w:szCs w:val="20"/>
                <w:lang w:bidi="ar"/>
              </w:rPr>
              <w:t>上一年项目数量</w:t>
            </w:r>
          </w:p>
        </w:tc>
        <w:tc>
          <w:tcPr>
            <w:tcW w:w="3146" w:type="dxa"/>
            <w:gridSpan w:val="2"/>
            <w:tcBorders>
              <w:top w:val="single" w:color="auto" w:sz="8" w:space="0"/>
              <w:left w:val="nil"/>
              <w:bottom w:val="single" w:color="auto" w:sz="8" w:space="0"/>
              <w:right w:val="single" w:color="000000" w:sz="8" w:space="0"/>
            </w:tcBorders>
            <w:noWrap/>
            <w:tcMar>
              <w:left w:w="108" w:type="dxa"/>
              <w:right w:w="108" w:type="dxa"/>
            </w:tcMar>
            <w:vAlign w:val="center"/>
          </w:tcPr>
          <w:p>
            <w:pPr>
              <w:widowControl/>
              <w:spacing w:after="180"/>
              <w:jc w:val="center"/>
            </w:pPr>
            <w:r>
              <w:rPr>
                <w:rFonts w:hint="eastAsia" w:ascii="宋体" w:hAnsi="宋体" w:cs="宋体"/>
                <w:kern w:val="0"/>
                <w:sz w:val="20"/>
                <w:szCs w:val="20"/>
                <w:lang w:bidi="ar"/>
              </w:rPr>
              <w:t>本年增/减</w:t>
            </w:r>
          </w:p>
        </w:tc>
      </w:tr>
      <w:tr>
        <w:tblPrEx>
          <w:tblCellMar>
            <w:top w:w="0" w:type="dxa"/>
            <w:left w:w="0" w:type="dxa"/>
            <w:bottom w:w="0" w:type="dxa"/>
            <w:right w:w="0" w:type="dxa"/>
          </w:tblCellMar>
        </w:tblPrEx>
        <w:trPr>
          <w:trHeight w:val="551"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widowControl/>
              <w:spacing w:after="180"/>
              <w:jc w:val="left"/>
            </w:pPr>
            <w:r>
              <w:rPr>
                <w:rFonts w:hint="eastAsia" w:ascii="宋体" w:hAnsi="宋体" w:cs="宋体"/>
                <w:kern w:val="0"/>
                <w:sz w:val="20"/>
                <w:szCs w:val="20"/>
                <w:lang w:bidi="ar"/>
              </w:rPr>
              <w:t>行政事业性收费</w:t>
            </w:r>
          </w:p>
        </w:tc>
        <w:tc>
          <w:tcPr>
            <w:tcW w:w="1881" w:type="dxa"/>
            <w:gridSpan w:val="2"/>
            <w:tcBorders>
              <w:top w:val="nil"/>
              <w:left w:val="nil"/>
              <w:bottom w:val="single" w:color="auto" w:sz="8" w:space="0"/>
              <w:right w:val="single" w:color="auto" w:sz="8" w:space="0"/>
            </w:tcBorders>
            <w:noWrap/>
            <w:tcMar>
              <w:left w:w="108" w:type="dxa"/>
              <w:right w:w="108" w:type="dxa"/>
            </w:tcMar>
            <w:vAlign w:val="center"/>
          </w:tcPr>
          <w:p>
            <w:pPr>
              <w:widowControl/>
              <w:spacing w:after="180"/>
              <w:jc w:val="left"/>
              <w:rPr>
                <w:rFonts w:hint="eastAsia" w:eastAsia="宋体"/>
                <w:lang w:val="en-US" w:eastAsia="zh-CN"/>
              </w:rPr>
            </w:pPr>
            <w:r>
              <w:rPr>
                <w:rFonts w:hint="eastAsia" w:ascii="宋体" w:hAnsi="宋体" w:cs="宋体"/>
                <w:kern w:val="0"/>
                <w:sz w:val="20"/>
                <w:szCs w:val="20"/>
                <w:lang w:bidi="ar"/>
              </w:rPr>
              <w:t>　</w:t>
            </w:r>
            <w:r>
              <w:rPr>
                <w:rFonts w:hint="eastAsia" w:ascii="宋体" w:hAnsi="宋体" w:cs="宋体"/>
                <w:kern w:val="0"/>
                <w:sz w:val="20"/>
                <w:szCs w:val="20"/>
                <w:lang w:val="en-US" w:eastAsia="zh-CN" w:bidi="ar"/>
              </w:rPr>
              <w:t>0</w:t>
            </w:r>
          </w:p>
        </w:tc>
        <w:tc>
          <w:tcPr>
            <w:tcW w:w="3146" w:type="dxa"/>
            <w:gridSpan w:val="2"/>
            <w:tcBorders>
              <w:top w:val="nil"/>
              <w:left w:val="nil"/>
              <w:bottom w:val="single" w:color="auto" w:sz="8" w:space="0"/>
              <w:right w:val="single" w:color="000000" w:sz="8" w:space="0"/>
            </w:tcBorders>
            <w:noWrap/>
            <w:tcMar>
              <w:left w:w="108" w:type="dxa"/>
              <w:right w:w="108" w:type="dxa"/>
            </w:tcMar>
            <w:vAlign w:val="center"/>
          </w:tcPr>
          <w:p>
            <w:pPr>
              <w:widowControl/>
              <w:spacing w:after="180"/>
              <w:jc w:val="center"/>
              <w:rPr>
                <w:rFonts w:hint="eastAsia" w:eastAsia="宋体"/>
                <w:lang w:val="en-US" w:eastAsia="zh-CN"/>
              </w:rPr>
            </w:pPr>
            <w:r>
              <w:rPr>
                <w:rFonts w:hint="eastAsia" w:ascii="宋体" w:hAnsi="宋体" w:cs="宋体"/>
                <w:kern w:val="0"/>
                <w:sz w:val="20"/>
                <w:szCs w:val="20"/>
                <w:lang w:bidi="ar"/>
              </w:rPr>
              <w:t> </w:t>
            </w:r>
            <w:r>
              <w:rPr>
                <w:rFonts w:hint="eastAsia" w:ascii="宋体" w:hAnsi="宋体" w:cs="宋体"/>
                <w:kern w:val="0"/>
                <w:sz w:val="20"/>
                <w:szCs w:val="20"/>
                <w:lang w:val="en-US" w:eastAsia="zh-CN" w:bidi="ar"/>
              </w:rPr>
              <w:t>0</w:t>
            </w:r>
          </w:p>
        </w:tc>
      </w:tr>
      <w:tr>
        <w:tblPrEx>
          <w:tblCellMar>
            <w:top w:w="0" w:type="dxa"/>
            <w:left w:w="0" w:type="dxa"/>
            <w:bottom w:w="0" w:type="dxa"/>
            <w:right w:w="0" w:type="dxa"/>
          </w:tblCellMar>
        </w:tblPrEx>
        <w:trPr>
          <w:trHeight w:val="476" w:hRule="atLeast"/>
          <w:jc w:val="center"/>
        </w:trPr>
        <w:tc>
          <w:tcPr>
            <w:tcW w:w="8140" w:type="dxa"/>
            <w:gridSpan w:val="5"/>
            <w:tcBorders>
              <w:top w:val="nil"/>
              <w:left w:val="single" w:color="auto" w:sz="8" w:space="0"/>
              <w:bottom w:val="single" w:color="auto" w:sz="8" w:space="0"/>
              <w:right w:val="single" w:color="auto" w:sz="8" w:space="0"/>
            </w:tcBorders>
            <w:shd w:val="clear" w:color="auto" w:fill="C6D9F1"/>
            <w:noWrap/>
            <w:tcMar>
              <w:left w:w="108" w:type="dxa"/>
              <w:right w:w="108" w:type="dxa"/>
            </w:tcMar>
            <w:vAlign w:val="center"/>
          </w:tcPr>
          <w:p>
            <w:pPr>
              <w:widowControl/>
              <w:spacing w:after="180"/>
              <w:jc w:val="center"/>
            </w:pPr>
            <w:r>
              <w:rPr>
                <w:rFonts w:hint="eastAsia" w:ascii="宋体" w:hAnsi="宋体" w:cs="宋体"/>
                <w:kern w:val="0"/>
                <w:sz w:val="20"/>
                <w:szCs w:val="20"/>
                <w:lang w:bidi="ar"/>
              </w:rPr>
              <w:t>第二十条第（九）项</w:t>
            </w:r>
          </w:p>
        </w:tc>
      </w:tr>
      <w:tr>
        <w:tblPrEx>
          <w:tblCellMar>
            <w:top w:w="0" w:type="dxa"/>
            <w:left w:w="0" w:type="dxa"/>
            <w:bottom w:w="0" w:type="dxa"/>
            <w:right w:w="0" w:type="dxa"/>
          </w:tblCellMar>
        </w:tblPrEx>
        <w:trPr>
          <w:trHeight w:val="585"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widowControl/>
              <w:spacing w:after="180"/>
              <w:jc w:val="center"/>
            </w:pPr>
            <w:r>
              <w:rPr>
                <w:rFonts w:hint="eastAsia" w:ascii="宋体" w:hAnsi="宋体" w:cs="宋体"/>
                <w:kern w:val="0"/>
                <w:sz w:val="20"/>
                <w:szCs w:val="20"/>
                <w:lang w:bidi="ar"/>
              </w:rPr>
              <w:t>信息内容</w:t>
            </w:r>
          </w:p>
        </w:tc>
        <w:tc>
          <w:tcPr>
            <w:tcW w:w="1881" w:type="dxa"/>
            <w:gridSpan w:val="2"/>
            <w:tcBorders>
              <w:top w:val="nil"/>
              <w:left w:val="nil"/>
              <w:bottom w:val="single" w:color="auto" w:sz="8" w:space="0"/>
              <w:right w:val="single" w:color="auto" w:sz="8" w:space="0"/>
            </w:tcBorders>
            <w:noWrap/>
            <w:tcMar>
              <w:left w:w="108" w:type="dxa"/>
              <w:right w:w="108" w:type="dxa"/>
            </w:tcMar>
            <w:vAlign w:val="center"/>
          </w:tcPr>
          <w:p>
            <w:pPr>
              <w:widowControl/>
              <w:spacing w:after="180"/>
              <w:jc w:val="center"/>
            </w:pPr>
            <w:r>
              <w:rPr>
                <w:rFonts w:hint="eastAsia" w:ascii="宋体" w:hAnsi="宋体" w:cs="宋体"/>
                <w:kern w:val="0"/>
                <w:sz w:val="20"/>
                <w:szCs w:val="20"/>
                <w:lang w:bidi="ar"/>
              </w:rPr>
              <w:t>采购项目数量</w:t>
            </w:r>
          </w:p>
        </w:tc>
        <w:tc>
          <w:tcPr>
            <w:tcW w:w="3146" w:type="dxa"/>
            <w:gridSpan w:val="2"/>
            <w:tcBorders>
              <w:top w:val="single" w:color="auto" w:sz="8" w:space="0"/>
              <w:left w:val="nil"/>
              <w:bottom w:val="single" w:color="auto" w:sz="8" w:space="0"/>
              <w:right w:val="single" w:color="000000" w:sz="8" w:space="0"/>
            </w:tcBorders>
            <w:noWrap/>
            <w:tcMar>
              <w:left w:w="108" w:type="dxa"/>
              <w:right w:w="108" w:type="dxa"/>
            </w:tcMar>
            <w:vAlign w:val="center"/>
          </w:tcPr>
          <w:p>
            <w:pPr>
              <w:widowControl/>
              <w:spacing w:after="180"/>
              <w:jc w:val="center"/>
            </w:pPr>
            <w:r>
              <w:rPr>
                <w:rFonts w:hint="eastAsia" w:ascii="宋体" w:hAnsi="宋体" w:cs="宋体"/>
                <w:kern w:val="0"/>
                <w:sz w:val="20"/>
                <w:szCs w:val="20"/>
                <w:lang w:bidi="ar"/>
              </w:rPr>
              <w:t>采购总金额</w:t>
            </w:r>
          </w:p>
        </w:tc>
      </w:tr>
      <w:tr>
        <w:tblPrEx>
          <w:tblCellMar>
            <w:top w:w="0" w:type="dxa"/>
            <w:left w:w="0" w:type="dxa"/>
            <w:bottom w:w="0" w:type="dxa"/>
            <w:right w:w="0" w:type="dxa"/>
          </w:tblCellMar>
        </w:tblPrEx>
        <w:trPr>
          <w:trHeight w:val="539"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widowControl/>
              <w:spacing w:after="180"/>
              <w:jc w:val="left"/>
            </w:pPr>
            <w:r>
              <w:rPr>
                <w:rFonts w:hint="eastAsia" w:ascii="宋体" w:hAnsi="宋体" w:cs="宋体"/>
                <w:kern w:val="0"/>
                <w:sz w:val="20"/>
                <w:szCs w:val="20"/>
                <w:lang w:bidi="ar"/>
              </w:rPr>
              <w:t>政府集中采购</w:t>
            </w:r>
          </w:p>
        </w:tc>
        <w:tc>
          <w:tcPr>
            <w:tcW w:w="1881" w:type="dxa"/>
            <w:gridSpan w:val="2"/>
            <w:tcBorders>
              <w:top w:val="nil"/>
              <w:left w:val="nil"/>
              <w:bottom w:val="single" w:color="auto" w:sz="8" w:space="0"/>
              <w:right w:val="single" w:color="auto" w:sz="8" w:space="0"/>
            </w:tcBorders>
            <w:noWrap/>
            <w:tcMar>
              <w:left w:w="108" w:type="dxa"/>
              <w:right w:w="108" w:type="dxa"/>
            </w:tcMar>
            <w:vAlign w:val="center"/>
          </w:tcPr>
          <w:p>
            <w:pPr>
              <w:widowControl/>
              <w:spacing w:after="180"/>
              <w:jc w:val="left"/>
              <w:rPr>
                <w:rFonts w:hint="eastAsia" w:eastAsia="宋体"/>
                <w:lang w:val="en-US" w:eastAsia="zh-CN"/>
              </w:rPr>
            </w:pPr>
            <w:r>
              <w:rPr>
                <w:rFonts w:hint="eastAsia" w:ascii="宋体" w:hAnsi="宋体" w:cs="宋体"/>
                <w:kern w:val="0"/>
                <w:sz w:val="20"/>
                <w:szCs w:val="20"/>
                <w:lang w:bidi="ar"/>
              </w:rPr>
              <w:t>　</w:t>
            </w:r>
            <w:r>
              <w:rPr>
                <w:rFonts w:hint="eastAsia" w:ascii="宋体" w:hAnsi="宋体" w:cs="宋体"/>
                <w:kern w:val="0"/>
                <w:sz w:val="20"/>
                <w:szCs w:val="20"/>
                <w:lang w:val="en-US" w:eastAsia="zh-CN" w:bidi="ar"/>
              </w:rPr>
              <w:t>2</w:t>
            </w:r>
          </w:p>
        </w:tc>
        <w:tc>
          <w:tcPr>
            <w:tcW w:w="3146" w:type="dxa"/>
            <w:gridSpan w:val="2"/>
            <w:tcBorders>
              <w:top w:val="nil"/>
              <w:left w:val="nil"/>
              <w:bottom w:val="single" w:color="auto" w:sz="8" w:space="0"/>
              <w:right w:val="single" w:color="000000" w:sz="8" w:space="0"/>
            </w:tcBorders>
            <w:noWrap/>
            <w:tcMar>
              <w:left w:w="108" w:type="dxa"/>
              <w:right w:w="108" w:type="dxa"/>
            </w:tcMar>
            <w:vAlign w:val="center"/>
          </w:tcPr>
          <w:p>
            <w:pPr>
              <w:jc w:val="center"/>
              <w:rPr>
                <w:rFonts w:hint="default" w:ascii="宋体" w:eastAsia="宋体"/>
                <w:sz w:val="24"/>
                <w:lang w:val="en-US" w:eastAsia="zh-CN"/>
              </w:rPr>
            </w:pPr>
            <w:r>
              <w:rPr>
                <w:rFonts w:hint="eastAsia" w:ascii="宋体"/>
                <w:sz w:val="24"/>
                <w:lang w:val="en-US" w:eastAsia="zh-CN"/>
              </w:rPr>
              <w:t>553万元</w:t>
            </w:r>
          </w:p>
        </w:tc>
      </w:tr>
    </w:tbl>
    <w:p>
      <w:pPr>
        <w:pStyle w:val="2"/>
        <w:widowControl/>
        <w:shd w:val="clear" w:color="auto" w:fill="FFFFFF"/>
        <w:spacing w:before="0" w:beforeAutospacing="0" w:after="0" w:afterAutospacing="0"/>
        <w:ind w:firstLine="420"/>
        <w:jc w:val="both"/>
        <w:rPr>
          <w:rFonts w:hint="eastAsia" w:ascii="宋体" w:hAnsi="宋体" w:cs="宋体"/>
        </w:rPr>
      </w:pPr>
    </w:p>
    <w:p>
      <w:pPr>
        <w:keepNext w:val="0"/>
        <w:keepLines w:val="0"/>
        <w:pageBreakBefore w:val="0"/>
        <w:widowControl/>
        <w:suppressLineNumbers w:val="0"/>
        <w:kinsoku/>
        <w:wordWrap/>
        <w:overflowPunct/>
        <w:topLinePunct w:val="0"/>
        <w:autoSpaceDE/>
        <w:autoSpaceDN/>
        <w:bidi w:val="0"/>
        <w:adjustRightInd/>
        <w:snapToGrid/>
        <w:spacing w:line="540" w:lineRule="exact"/>
        <w:ind w:firstLine="643" w:firstLineChars="200"/>
        <w:jc w:val="left"/>
        <w:textAlignment w:val="auto"/>
        <w:rPr>
          <w:rFonts w:hint="eastAsia" w:ascii="Times New Roman" w:hAnsi="Times New Roman" w:eastAsia="方正仿宋简体" w:cs="Times New Roman"/>
          <w:b/>
          <w:bCs/>
          <w:kern w:val="0"/>
          <w:sz w:val="32"/>
          <w:szCs w:val="32"/>
          <w:lang w:val="en-US" w:eastAsia="zh-CN" w:bidi="ar"/>
        </w:rPr>
      </w:pPr>
      <w:r>
        <w:rPr>
          <w:rFonts w:hint="eastAsia" w:ascii="Times New Roman" w:hAnsi="Times New Roman" w:eastAsia="方正仿宋简体" w:cs="Times New Roman"/>
          <w:b/>
          <w:bCs/>
          <w:kern w:val="0"/>
          <w:sz w:val="32"/>
          <w:szCs w:val="32"/>
          <w:lang w:val="en-US" w:eastAsia="zh-CN" w:bidi="ar"/>
        </w:rPr>
        <w:t>三、收到和处理政府信息公开申请情况</w:t>
      </w:r>
    </w:p>
    <w:tbl>
      <w:tblPr>
        <w:tblStyle w:val="3"/>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616"/>
        <w:gridCol w:w="854"/>
        <w:gridCol w:w="2086"/>
        <w:gridCol w:w="813"/>
        <w:gridCol w:w="755"/>
        <w:gridCol w:w="755"/>
        <w:gridCol w:w="813"/>
        <w:gridCol w:w="973"/>
        <w:gridCol w:w="711"/>
        <w:gridCol w:w="695"/>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479" w:type="dxa"/>
            <w:gridSpan w:val="3"/>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after="180"/>
              <w:jc w:val="center"/>
            </w:pPr>
            <w:r>
              <w:rPr>
                <w:rFonts w:hint="eastAsia" w:ascii="宋体" w:hAnsi="宋体" w:cs="宋体"/>
                <w:kern w:val="0"/>
                <w:sz w:val="20"/>
                <w:szCs w:val="20"/>
                <w:lang w:bidi="ar"/>
              </w:rPr>
              <w:t>（本列数据的勾稽关系为：第一项加第二项之和，等于第三项加第四项之和）</w:t>
            </w:r>
          </w:p>
        </w:tc>
        <w:tc>
          <w:tcPr>
            <w:tcW w:w="5592" w:type="dxa"/>
            <w:gridSpan w:val="7"/>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hint="eastAsia" w:ascii="宋体" w:hAnsi="宋体" w:cs="宋体"/>
                <w:kern w:val="0"/>
                <w:sz w:val="20"/>
                <w:szCs w:val="20"/>
                <w:lang w:bidi="ar"/>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479" w:type="dxa"/>
            <w:gridSpan w:val="3"/>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rPr>
            </w:pPr>
          </w:p>
        </w:tc>
        <w:tc>
          <w:tcPr>
            <w:tcW w:w="825" w:type="dxa"/>
            <w:vMerge w:val="restart"/>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hint="eastAsia" w:ascii="宋体" w:hAnsi="宋体" w:cs="宋体"/>
                <w:kern w:val="0"/>
                <w:sz w:val="20"/>
                <w:szCs w:val="20"/>
                <w:lang w:bidi="ar"/>
              </w:rPr>
              <w:t>自然人</w:t>
            </w:r>
          </w:p>
        </w:tc>
        <w:tc>
          <w:tcPr>
            <w:tcW w:w="4065"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hint="eastAsia" w:ascii="宋体" w:hAnsi="宋体" w:cs="宋体"/>
                <w:kern w:val="0"/>
                <w:sz w:val="20"/>
                <w:szCs w:val="20"/>
                <w:lang w:bidi="ar"/>
              </w:rPr>
              <w:t>法人或其他组织</w:t>
            </w:r>
          </w:p>
        </w:tc>
        <w:tc>
          <w:tcPr>
            <w:tcW w:w="702"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hint="eastAsia" w:ascii="宋体" w:hAnsi="宋体" w:cs="宋体"/>
                <w:kern w:val="0"/>
                <w:sz w:val="20"/>
                <w:szCs w:val="20"/>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479" w:type="dxa"/>
            <w:gridSpan w:val="3"/>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rPr>
            </w:pPr>
          </w:p>
        </w:tc>
        <w:tc>
          <w:tcPr>
            <w:tcW w:w="825" w:type="dxa"/>
            <w:vMerge w:val="continue"/>
            <w:tcBorders>
              <w:top w:val="nil"/>
              <w:left w:val="nil"/>
              <w:bottom w:val="single" w:color="auto" w:sz="8" w:space="0"/>
              <w:right w:val="single" w:color="auto" w:sz="8" w:space="0"/>
            </w:tcBorders>
            <w:noWrap w:val="0"/>
            <w:tcMar>
              <w:left w:w="108" w:type="dxa"/>
              <w:right w:w="108" w:type="dxa"/>
            </w:tcMar>
            <w:vAlign w:val="center"/>
          </w:tcPr>
          <w:p>
            <w:pPr>
              <w:rPr>
                <w:rFonts w:hint="eastAsia" w:ascii="宋体"/>
                <w:sz w:val="24"/>
              </w:rPr>
            </w:pPr>
          </w:p>
        </w:tc>
        <w:tc>
          <w:tcPr>
            <w:tcW w:w="76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hint="eastAsia" w:ascii="宋体" w:hAnsi="宋体" w:cs="宋体"/>
                <w:kern w:val="0"/>
                <w:sz w:val="20"/>
                <w:szCs w:val="20"/>
                <w:lang w:bidi="ar"/>
              </w:rPr>
              <w:t>商业企业</w:t>
            </w:r>
          </w:p>
        </w:tc>
        <w:tc>
          <w:tcPr>
            <w:tcW w:w="76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hint="eastAsia" w:ascii="宋体" w:hAnsi="宋体" w:cs="宋体"/>
                <w:kern w:val="0"/>
                <w:sz w:val="20"/>
                <w:szCs w:val="20"/>
                <w:lang w:bidi="ar"/>
              </w:rPr>
              <w:t>科研机构</w:t>
            </w:r>
          </w:p>
        </w:tc>
        <w:tc>
          <w:tcPr>
            <w:tcW w:w="82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hint="eastAsia" w:ascii="宋体" w:hAnsi="宋体" w:cs="宋体"/>
                <w:kern w:val="0"/>
                <w:sz w:val="20"/>
                <w:szCs w:val="20"/>
                <w:lang w:bidi="ar"/>
              </w:rPr>
              <w:t>社会公益组织</w:t>
            </w:r>
          </w:p>
        </w:tc>
        <w:tc>
          <w:tcPr>
            <w:tcW w:w="990"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hint="eastAsia" w:ascii="宋体" w:hAnsi="宋体" w:cs="宋体"/>
                <w:kern w:val="0"/>
                <w:sz w:val="20"/>
                <w:szCs w:val="20"/>
                <w:lang w:bidi="ar"/>
              </w:rPr>
              <w:t>法律服务机构</w:t>
            </w:r>
          </w:p>
        </w:tc>
        <w:tc>
          <w:tcPr>
            <w:tcW w:w="720"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hint="eastAsia" w:ascii="宋体" w:hAnsi="宋体" w:cs="宋体"/>
                <w:kern w:val="0"/>
                <w:sz w:val="20"/>
                <w:szCs w:val="20"/>
                <w:lang w:bidi="ar"/>
              </w:rPr>
              <w:t>其他</w:t>
            </w:r>
          </w:p>
        </w:tc>
        <w:tc>
          <w:tcPr>
            <w:tcW w:w="702"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rPr>
                <w:rFonts w:hint="eastAsia" w:ascii="宋体"/>
                <w:sz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479" w:type="dxa"/>
            <w:gridSpan w:val="3"/>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after="180"/>
              <w:jc w:val="left"/>
            </w:pPr>
            <w:r>
              <w:rPr>
                <w:rFonts w:hint="eastAsia" w:ascii="宋体" w:hAnsi="宋体" w:cs="宋体"/>
                <w:kern w:val="0"/>
                <w:sz w:val="20"/>
                <w:szCs w:val="20"/>
                <w:lang w:bidi="ar"/>
              </w:rPr>
              <w:t>一、本年新收政府信息公开申请数量</w:t>
            </w:r>
          </w:p>
        </w:tc>
        <w:tc>
          <w:tcPr>
            <w:tcW w:w="82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76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76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82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990"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720"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702"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479" w:type="dxa"/>
            <w:gridSpan w:val="3"/>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after="180"/>
              <w:jc w:val="left"/>
            </w:pPr>
            <w:r>
              <w:rPr>
                <w:rFonts w:hint="eastAsia" w:ascii="宋体" w:hAnsi="宋体" w:cs="宋体"/>
                <w:kern w:val="0"/>
                <w:sz w:val="20"/>
                <w:szCs w:val="20"/>
                <w:lang w:bidi="ar"/>
              </w:rPr>
              <w:t>二、上年结转政府信息公开申请数量</w:t>
            </w:r>
          </w:p>
        </w:tc>
        <w:tc>
          <w:tcPr>
            <w:tcW w:w="82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76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76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82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990"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720"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702"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4"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after="180"/>
              <w:jc w:val="center"/>
            </w:pPr>
            <w:r>
              <w:rPr>
                <w:rFonts w:hint="eastAsia" w:ascii="宋体" w:hAnsi="宋体" w:cs="宋体"/>
                <w:kern w:val="0"/>
                <w:sz w:val="20"/>
                <w:szCs w:val="20"/>
                <w:lang w:bidi="ar"/>
              </w:rPr>
              <w:t>三、本年度办理结果</w:t>
            </w:r>
          </w:p>
        </w:tc>
        <w:tc>
          <w:tcPr>
            <w:tcW w:w="2985" w:type="dxa"/>
            <w:gridSpan w:val="2"/>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left"/>
            </w:pPr>
            <w:r>
              <w:rPr>
                <w:rFonts w:ascii="楷体" w:hAnsi="楷体" w:eastAsia="楷体" w:cs="楷体"/>
                <w:kern w:val="0"/>
                <w:sz w:val="20"/>
                <w:szCs w:val="20"/>
                <w:lang w:bidi="ar"/>
              </w:rPr>
              <w:t>（一）予以公开</w:t>
            </w:r>
          </w:p>
        </w:tc>
        <w:tc>
          <w:tcPr>
            <w:tcW w:w="82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76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76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82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990"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720"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702"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hint="eastAsia" w:cs="Calibri"/>
                <w:kern w:val="0"/>
                <w:sz w:val="20"/>
                <w:szCs w:val="20"/>
                <w:lang w:val="en-US" w:eastAsia="zh-CN" w:bidi="ar"/>
              </w:rPr>
              <w:t>0</w:t>
            </w:r>
            <w:r>
              <w:rPr>
                <w:rFonts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4"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rPr>
            </w:pPr>
          </w:p>
        </w:tc>
        <w:tc>
          <w:tcPr>
            <w:tcW w:w="2985" w:type="dxa"/>
            <w:gridSpan w:val="2"/>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left"/>
            </w:pPr>
            <w:r>
              <w:rPr>
                <w:rFonts w:hint="eastAsia" w:ascii="楷体" w:hAnsi="楷体" w:eastAsia="楷体" w:cs="楷体"/>
                <w:kern w:val="0"/>
                <w:sz w:val="20"/>
                <w:szCs w:val="20"/>
                <w:lang w:bidi="ar"/>
              </w:rPr>
              <w:t>（二）部分公开（区分处理的，只计这一情形，不计其他情形）</w:t>
            </w:r>
          </w:p>
        </w:tc>
        <w:tc>
          <w:tcPr>
            <w:tcW w:w="82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76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76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82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990"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720"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702"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4"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rPr>
            </w:pPr>
          </w:p>
        </w:tc>
        <w:tc>
          <w:tcPr>
            <w:tcW w:w="855" w:type="dxa"/>
            <w:vMerge w:val="restart"/>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left"/>
            </w:pPr>
            <w:r>
              <w:rPr>
                <w:rFonts w:hint="eastAsia" w:ascii="楷体" w:hAnsi="楷体" w:eastAsia="楷体" w:cs="楷体"/>
                <w:kern w:val="0"/>
                <w:sz w:val="20"/>
                <w:szCs w:val="20"/>
                <w:lang w:bidi="ar"/>
              </w:rPr>
              <w:t>（三）不予公开</w:t>
            </w:r>
          </w:p>
        </w:tc>
        <w:tc>
          <w:tcPr>
            <w:tcW w:w="2130"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left"/>
            </w:pPr>
            <w:r>
              <w:rPr>
                <w:rFonts w:hint="eastAsia" w:ascii="楷体" w:hAnsi="楷体" w:eastAsia="楷体" w:cs="楷体"/>
                <w:kern w:val="0"/>
                <w:sz w:val="20"/>
                <w:szCs w:val="20"/>
                <w:lang w:bidi="ar"/>
              </w:rPr>
              <w:t>1.属于国家秘密</w:t>
            </w:r>
          </w:p>
        </w:tc>
        <w:tc>
          <w:tcPr>
            <w:tcW w:w="82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76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76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82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990"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720"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702"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eastAsia="宋体"/>
                <w:lang w:eastAsia="zh-CN"/>
              </w:rPr>
            </w:pPr>
            <w:r>
              <w:rPr>
                <w:rFonts w:hint="eastAsia"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4"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rPr>
            </w:pPr>
          </w:p>
        </w:tc>
        <w:tc>
          <w:tcPr>
            <w:tcW w:w="855" w:type="dxa"/>
            <w:vMerge w:val="continue"/>
            <w:tcBorders>
              <w:top w:val="nil"/>
              <w:left w:val="nil"/>
              <w:bottom w:val="single" w:color="auto" w:sz="8" w:space="0"/>
              <w:right w:val="single" w:color="auto" w:sz="8" w:space="0"/>
            </w:tcBorders>
            <w:noWrap w:val="0"/>
            <w:tcMar>
              <w:left w:w="108" w:type="dxa"/>
              <w:right w:w="108" w:type="dxa"/>
            </w:tcMar>
            <w:vAlign w:val="center"/>
          </w:tcPr>
          <w:p>
            <w:pPr>
              <w:rPr>
                <w:rFonts w:hint="eastAsia" w:ascii="宋体"/>
                <w:sz w:val="24"/>
              </w:rPr>
            </w:pPr>
          </w:p>
        </w:tc>
        <w:tc>
          <w:tcPr>
            <w:tcW w:w="2130"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left"/>
            </w:pPr>
            <w:r>
              <w:rPr>
                <w:rFonts w:hint="eastAsia" w:ascii="楷体" w:hAnsi="楷体" w:eastAsia="楷体" w:cs="楷体"/>
                <w:kern w:val="0"/>
                <w:sz w:val="20"/>
                <w:szCs w:val="20"/>
                <w:lang w:bidi="ar"/>
              </w:rPr>
              <w:t>2.其他法律行政法规禁止公开</w:t>
            </w:r>
          </w:p>
        </w:tc>
        <w:tc>
          <w:tcPr>
            <w:tcW w:w="82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76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76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82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990"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720"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702"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4"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rPr>
            </w:pPr>
          </w:p>
        </w:tc>
        <w:tc>
          <w:tcPr>
            <w:tcW w:w="855" w:type="dxa"/>
            <w:vMerge w:val="continue"/>
            <w:tcBorders>
              <w:top w:val="nil"/>
              <w:left w:val="nil"/>
              <w:bottom w:val="single" w:color="auto" w:sz="8" w:space="0"/>
              <w:right w:val="single" w:color="auto" w:sz="8" w:space="0"/>
            </w:tcBorders>
            <w:noWrap w:val="0"/>
            <w:tcMar>
              <w:left w:w="108" w:type="dxa"/>
              <w:right w:w="108" w:type="dxa"/>
            </w:tcMar>
            <w:vAlign w:val="center"/>
          </w:tcPr>
          <w:p>
            <w:pPr>
              <w:rPr>
                <w:rFonts w:hint="eastAsia" w:ascii="宋体"/>
                <w:sz w:val="24"/>
              </w:rPr>
            </w:pPr>
          </w:p>
        </w:tc>
        <w:tc>
          <w:tcPr>
            <w:tcW w:w="2130"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left"/>
            </w:pPr>
            <w:r>
              <w:rPr>
                <w:rFonts w:hint="eastAsia" w:ascii="楷体" w:hAnsi="楷体" w:eastAsia="楷体" w:cs="楷体"/>
                <w:kern w:val="0"/>
                <w:sz w:val="20"/>
                <w:szCs w:val="20"/>
                <w:lang w:bidi="ar"/>
              </w:rPr>
              <w:t>3.危及“三安全一稳定”</w:t>
            </w:r>
          </w:p>
        </w:tc>
        <w:tc>
          <w:tcPr>
            <w:tcW w:w="82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76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76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82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990"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720"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702"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hint="eastAsia" w:cs="Calibri"/>
                <w:kern w:val="0"/>
                <w:sz w:val="20"/>
                <w:szCs w:val="20"/>
                <w:lang w:val="en-US" w:eastAsia="zh-CN" w:bidi="ar"/>
              </w:rPr>
              <w:t>0</w:t>
            </w:r>
            <w:r>
              <w:rPr>
                <w:rFonts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4"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rPr>
            </w:pPr>
          </w:p>
        </w:tc>
        <w:tc>
          <w:tcPr>
            <w:tcW w:w="855" w:type="dxa"/>
            <w:vMerge w:val="continue"/>
            <w:tcBorders>
              <w:top w:val="nil"/>
              <w:left w:val="nil"/>
              <w:bottom w:val="single" w:color="auto" w:sz="8" w:space="0"/>
              <w:right w:val="single" w:color="auto" w:sz="8" w:space="0"/>
            </w:tcBorders>
            <w:noWrap w:val="0"/>
            <w:tcMar>
              <w:left w:w="108" w:type="dxa"/>
              <w:right w:w="108" w:type="dxa"/>
            </w:tcMar>
            <w:vAlign w:val="center"/>
          </w:tcPr>
          <w:p>
            <w:pPr>
              <w:rPr>
                <w:rFonts w:hint="eastAsia" w:ascii="宋体"/>
                <w:sz w:val="24"/>
              </w:rPr>
            </w:pPr>
          </w:p>
        </w:tc>
        <w:tc>
          <w:tcPr>
            <w:tcW w:w="2130"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left"/>
            </w:pPr>
            <w:r>
              <w:rPr>
                <w:rFonts w:hint="eastAsia" w:ascii="楷体" w:hAnsi="楷体" w:eastAsia="楷体" w:cs="楷体"/>
                <w:kern w:val="0"/>
                <w:sz w:val="20"/>
                <w:szCs w:val="20"/>
                <w:lang w:bidi="ar"/>
              </w:rPr>
              <w:t>4.保护第三方合法权益</w:t>
            </w:r>
          </w:p>
        </w:tc>
        <w:tc>
          <w:tcPr>
            <w:tcW w:w="82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76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76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82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990"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720"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702"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hint="eastAsia" w:cs="Calibri"/>
                <w:kern w:val="0"/>
                <w:sz w:val="20"/>
                <w:szCs w:val="20"/>
                <w:lang w:val="en-US" w:eastAsia="zh-CN" w:bidi="ar"/>
              </w:rPr>
              <w:t>0</w:t>
            </w:r>
            <w:r>
              <w:rPr>
                <w:rFonts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4"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rPr>
            </w:pPr>
          </w:p>
        </w:tc>
        <w:tc>
          <w:tcPr>
            <w:tcW w:w="855" w:type="dxa"/>
            <w:vMerge w:val="continue"/>
            <w:tcBorders>
              <w:top w:val="nil"/>
              <w:left w:val="nil"/>
              <w:bottom w:val="single" w:color="auto" w:sz="8" w:space="0"/>
              <w:right w:val="single" w:color="auto" w:sz="8" w:space="0"/>
            </w:tcBorders>
            <w:noWrap w:val="0"/>
            <w:tcMar>
              <w:left w:w="108" w:type="dxa"/>
              <w:right w:w="108" w:type="dxa"/>
            </w:tcMar>
            <w:vAlign w:val="center"/>
          </w:tcPr>
          <w:p>
            <w:pPr>
              <w:rPr>
                <w:rFonts w:hint="eastAsia" w:ascii="宋体"/>
                <w:sz w:val="24"/>
              </w:rPr>
            </w:pPr>
          </w:p>
        </w:tc>
        <w:tc>
          <w:tcPr>
            <w:tcW w:w="2130"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left"/>
            </w:pPr>
            <w:r>
              <w:rPr>
                <w:rFonts w:hint="eastAsia" w:ascii="楷体" w:hAnsi="楷体" w:eastAsia="楷体" w:cs="楷体"/>
                <w:kern w:val="0"/>
                <w:sz w:val="20"/>
                <w:szCs w:val="20"/>
                <w:lang w:bidi="ar"/>
              </w:rPr>
              <w:t>5.属于三类内部事务信息</w:t>
            </w:r>
          </w:p>
        </w:tc>
        <w:tc>
          <w:tcPr>
            <w:tcW w:w="82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76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76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82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990"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720"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702"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hint="eastAsia" w:cs="Calibri"/>
                <w:kern w:val="0"/>
                <w:sz w:val="20"/>
                <w:szCs w:val="20"/>
                <w:lang w:val="en-US" w:eastAsia="zh-CN" w:bidi="ar"/>
              </w:rPr>
              <w:t>0</w:t>
            </w:r>
            <w:r>
              <w:rPr>
                <w:rFonts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4"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rPr>
            </w:pPr>
          </w:p>
        </w:tc>
        <w:tc>
          <w:tcPr>
            <w:tcW w:w="855" w:type="dxa"/>
            <w:vMerge w:val="continue"/>
            <w:tcBorders>
              <w:top w:val="nil"/>
              <w:left w:val="nil"/>
              <w:bottom w:val="single" w:color="auto" w:sz="8" w:space="0"/>
              <w:right w:val="single" w:color="auto" w:sz="8" w:space="0"/>
            </w:tcBorders>
            <w:noWrap w:val="0"/>
            <w:tcMar>
              <w:left w:w="108" w:type="dxa"/>
              <w:right w:w="108" w:type="dxa"/>
            </w:tcMar>
            <w:vAlign w:val="center"/>
          </w:tcPr>
          <w:p>
            <w:pPr>
              <w:rPr>
                <w:rFonts w:hint="eastAsia" w:ascii="宋体"/>
                <w:sz w:val="24"/>
              </w:rPr>
            </w:pPr>
          </w:p>
        </w:tc>
        <w:tc>
          <w:tcPr>
            <w:tcW w:w="2130"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left"/>
            </w:pPr>
            <w:r>
              <w:rPr>
                <w:rFonts w:hint="eastAsia" w:ascii="楷体" w:hAnsi="楷体" w:eastAsia="楷体" w:cs="楷体"/>
                <w:kern w:val="0"/>
                <w:sz w:val="20"/>
                <w:szCs w:val="20"/>
                <w:lang w:bidi="ar"/>
              </w:rPr>
              <w:t>6.属于四类过程性信息</w:t>
            </w:r>
          </w:p>
        </w:tc>
        <w:tc>
          <w:tcPr>
            <w:tcW w:w="82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76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76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82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990"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720"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702"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hint="eastAsia" w:cs="Calibri"/>
                <w:kern w:val="0"/>
                <w:sz w:val="20"/>
                <w:szCs w:val="20"/>
                <w:lang w:val="en-US" w:eastAsia="zh-CN" w:bidi="ar"/>
              </w:rPr>
              <w:t>0</w:t>
            </w:r>
            <w:r>
              <w:rPr>
                <w:rFonts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4"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rPr>
            </w:pPr>
          </w:p>
        </w:tc>
        <w:tc>
          <w:tcPr>
            <w:tcW w:w="855" w:type="dxa"/>
            <w:vMerge w:val="continue"/>
            <w:tcBorders>
              <w:top w:val="nil"/>
              <w:left w:val="nil"/>
              <w:bottom w:val="single" w:color="auto" w:sz="8" w:space="0"/>
              <w:right w:val="single" w:color="auto" w:sz="8" w:space="0"/>
            </w:tcBorders>
            <w:noWrap w:val="0"/>
            <w:tcMar>
              <w:left w:w="108" w:type="dxa"/>
              <w:right w:w="108" w:type="dxa"/>
            </w:tcMar>
            <w:vAlign w:val="center"/>
          </w:tcPr>
          <w:p>
            <w:pPr>
              <w:rPr>
                <w:rFonts w:hint="eastAsia" w:ascii="宋体"/>
                <w:sz w:val="24"/>
              </w:rPr>
            </w:pPr>
          </w:p>
        </w:tc>
        <w:tc>
          <w:tcPr>
            <w:tcW w:w="2130"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left"/>
            </w:pPr>
            <w:r>
              <w:rPr>
                <w:rFonts w:hint="eastAsia" w:ascii="楷体" w:hAnsi="楷体" w:eastAsia="楷体" w:cs="楷体"/>
                <w:kern w:val="0"/>
                <w:sz w:val="20"/>
                <w:szCs w:val="20"/>
                <w:lang w:bidi="ar"/>
              </w:rPr>
              <w:t>7.属于行政执法案卷</w:t>
            </w:r>
          </w:p>
        </w:tc>
        <w:tc>
          <w:tcPr>
            <w:tcW w:w="82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76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76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82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990"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720"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702"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4"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rPr>
            </w:pPr>
          </w:p>
        </w:tc>
        <w:tc>
          <w:tcPr>
            <w:tcW w:w="855" w:type="dxa"/>
            <w:vMerge w:val="continue"/>
            <w:tcBorders>
              <w:top w:val="nil"/>
              <w:left w:val="nil"/>
              <w:bottom w:val="single" w:color="auto" w:sz="8" w:space="0"/>
              <w:right w:val="single" w:color="auto" w:sz="8" w:space="0"/>
            </w:tcBorders>
            <w:noWrap w:val="0"/>
            <w:tcMar>
              <w:left w:w="108" w:type="dxa"/>
              <w:right w:w="108" w:type="dxa"/>
            </w:tcMar>
            <w:vAlign w:val="center"/>
          </w:tcPr>
          <w:p>
            <w:pPr>
              <w:rPr>
                <w:rFonts w:hint="eastAsia" w:ascii="宋体"/>
                <w:sz w:val="24"/>
              </w:rPr>
            </w:pPr>
          </w:p>
        </w:tc>
        <w:tc>
          <w:tcPr>
            <w:tcW w:w="2130"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left"/>
            </w:pPr>
            <w:r>
              <w:rPr>
                <w:rFonts w:hint="eastAsia" w:ascii="楷体" w:hAnsi="楷体" w:eastAsia="楷体" w:cs="楷体"/>
                <w:kern w:val="0"/>
                <w:sz w:val="20"/>
                <w:szCs w:val="20"/>
                <w:lang w:bidi="ar"/>
              </w:rPr>
              <w:t>8.属于行政查询事项</w:t>
            </w:r>
          </w:p>
        </w:tc>
        <w:tc>
          <w:tcPr>
            <w:tcW w:w="82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76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76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82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990"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720"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702"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hint="eastAsia" w:cs="Calibri"/>
                <w:kern w:val="0"/>
                <w:sz w:val="20"/>
                <w:szCs w:val="20"/>
                <w:lang w:val="en-US" w:eastAsia="zh-CN" w:bidi="ar"/>
              </w:rPr>
              <w:t>0</w:t>
            </w:r>
            <w:r>
              <w:rPr>
                <w:rFonts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4"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rPr>
            </w:pPr>
          </w:p>
        </w:tc>
        <w:tc>
          <w:tcPr>
            <w:tcW w:w="855" w:type="dxa"/>
            <w:vMerge w:val="restart"/>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left"/>
            </w:pPr>
            <w:r>
              <w:rPr>
                <w:rFonts w:hint="eastAsia" w:ascii="楷体" w:hAnsi="楷体" w:eastAsia="楷体" w:cs="楷体"/>
                <w:kern w:val="0"/>
                <w:sz w:val="20"/>
                <w:szCs w:val="20"/>
                <w:lang w:bidi="ar"/>
              </w:rPr>
              <w:t>（四）无法提供</w:t>
            </w:r>
          </w:p>
        </w:tc>
        <w:tc>
          <w:tcPr>
            <w:tcW w:w="2130"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left"/>
            </w:pPr>
            <w:r>
              <w:rPr>
                <w:rFonts w:hint="eastAsia" w:ascii="楷体" w:hAnsi="楷体" w:eastAsia="楷体" w:cs="楷体"/>
                <w:kern w:val="0"/>
                <w:sz w:val="20"/>
                <w:szCs w:val="20"/>
                <w:lang w:bidi="ar"/>
              </w:rPr>
              <w:t>1.本机关不掌握相关政府信息</w:t>
            </w:r>
          </w:p>
        </w:tc>
        <w:tc>
          <w:tcPr>
            <w:tcW w:w="82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76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76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82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990"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720"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702"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4"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rPr>
            </w:pPr>
          </w:p>
        </w:tc>
        <w:tc>
          <w:tcPr>
            <w:tcW w:w="855" w:type="dxa"/>
            <w:vMerge w:val="continue"/>
            <w:tcBorders>
              <w:top w:val="nil"/>
              <w:left w:val="nil"/>
              <w:bottom w:val="single" w:color="auto" w:sz="8" w:space="0"/>
              <w:right w:val="single" w:color="auto" w:sz="8" w:space="0"/>
            </w:tcBorders>
            <w:noWrap w:val="0"/>
            <w:tcMar>
              <w:left w:w="108" w:type="dxa"/>
              <w:right w:w="108" w:type="dxa"/>
            </w:tcMar>
            <w:vAlign w:val="center"/>
          </w:tcPr>
          <w:p>
            <w:pPr>
              <w:rPr>
                <w:rFonts w:hint="eastAsia" w:ascii="宋体"/>
                <w:sz w:val="24"/>
              </w:rPr>
            </w:pPr>
          </w:p>
        </w:tc>
        <w:tc>
          <w:tcPr>
            <w:tcW w:w="2130"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left"/>
            </w:pPr>
            <w:r>
              <w:rPr>
                <w:rFonts w:hint="eastAsia" w:ascii="楷体" w:hAnsi="楷体" w:eastAsia="楷体" w:cs="楷体"/>
                <w:kern w:val="0"/>
                <w:sz w:val="20"/>
                <w:szCs w:val="20"/>
                <w:lang w:bidi="ar"/>
              </w:rPr>
              <w:t>2.没有现成信息需要另行制作</w:t>
            </w:r>
          </w:p>
        </w:tc>
        <w:tc>
          <w:tcPr>
            <w:tcW w:w="82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76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76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82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990"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720"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702"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4"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rPr>
            </w:pPr>
          </w:p>
        </w:tc>
        <w:tc>
          <w:tcPr>
            <w:tcW w:w="855" w:type="dxa"/>
            <w:vMerge w:val="continue"/>
            <w:tcBorders>
              <w:top w:val="nil"/>
              <w:left w:val="nil"/>
              <w:bottom w:val="single" w:color="auto" w:sz="8" w:space="0"/>
              <w:right w:val="single" w:color="auto" w:sz="8" w:space="0"/>
            </w:tcBorders>
            <w:noWrap w:val="0"/>
            <w:tcMar>
              <w:left w:w="108" w:type="dxa"/>
              <w:right w:w="108" w:type="dxa"/>
            </w:tcMar>
            <w:vAlign w:val="center"/>
          </w:tcPr>
          <w:p>
            <w:pPr>
              <w:rPr>
                <w:rFonts w:hint="eastAsia" w:ascii="宋体"/>
                <w:sz w:val="24"/>
              </w:rPr>
            </w:pPr>
          </w:p>
        </w:tc>
        <w:tc>
          <w:tcPr>
            <w:tcW w:w="2130"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left"/>
            </w:pPr>
            <w:r>
              <w:rPr>
                <w:rFonts w:hint="eastAsia" w:ascii="楷体" w:hAnsi="楷体" w:eastAsia="楷体" w:cs="楷体"/>
                <w:kern w:val="0"/>
                <w:sz w:val="20"/>
                <w:szCs w:val="20"/>
                <w:lang w:bidi="ar"/>
              </w:rPr>
              <w:t>3.补正后申请内容仍不明确</w:t>
            </w:r>
          </w:p>
        </w:tc>
        <w:tc>
          <w:tcPr>
            <w:tcW w:w="82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76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76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82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990"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720"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702"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hint="eastAsia" w:cs="Calibri"/>
                <w:kern w:val="0"/>
                <w:sz w:val="20"/>
                <w:szCs w:val="20"/>
                <w:lang w:val="en-US" w:eastAsia="zh-CN" w:bidi="ar"/>
              </w:rPr>
              <w:t>0</w:t>
            </w:r>
            <w:r>
              <w:rPr>
                <w:rFonts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4"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rPr>
            </w:pPr>
          </w:p>
        </w:tc>
        <w:tc>
          <w:tcPr>
            <w:tcW w:w="855" w:type="dxa"/>
            <w:vMerge w:val="restart"/>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left"/>
            </w:pPr>
            <w:r>
              <w:rPr>
                <w:rFonts w:hint="eastAsia" w:ascii="楷体" w:hAnsi="楷体" w:eastAsia="楷体" w:cs="楷体"/>
                <w:kern w:val="0"/>
                <w:sz w:val="20"/>
                <w:szCs w:val="20"/>
                <w:lang w:bidi="ar"/>
              </w:rPr>
              <w:t>（五）不予处理</w:t>
            </w:r>
          </w:p>
        </w:tc>
        <w:tc>
          <w:tcPr>
            <w:tcW w:w="2130"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left"/>
            </w:pPr>
            <w:r>
              <w:rPr>
                <w:rFonts w:hint="eastAsia" w:ascii="楷体" w:hAnsi="楷体" w:eastAsia="楷体" w:cs="楷体"/>
                <w:kern w:val="0"/>
                <w:sz w:val="20"/>
                <w:szCs w:val="20"/>
                <w:lang w:bidi="ar"/>
              </w:rPr>
              <w:t>1.信访举报投诉类申请</w:t>
            </w:r>
          </w:p>
        </w:tc>
        <w:tc>
          <w:tcPr>
            <w:tcW w:w="82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76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76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82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990"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720"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702"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hint="eastAsia" w:cs="Calibri"/>
                <w:kern w:val="0"/>
                <w:sz w:val="20"/>
                <w:szCs w:val="20"/>
                <w:lang w:val="en-US" w:eastAsia="zh-CN" w:bidi="ar"/>
              </w:rPr>
              <w:t>0</w:t>
            </w:r>
            <w:r>
              <w:rPr>
                <w:rFonts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4"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rPr>
            </w:pPr>
          </w:p>
        </w:tc>
        <w:tc>
          <w:tcPr>
            <w:tcW w:w="855" w:type="dxa"/>
            <w:vMerge w:val="continue"/>
            <w:tcBorders>
              <w:top w:val="nil"/>
              <w:left w:val="nil"/>
              <w:bottom w:val="single" w:color="auto" w:sz="8" w:space="0"/>
              <w:right w:val="single" w:color="auto" w:sz="8" w:space="0"/>
            </w:tcBorders>
            <w:noWrap w:val="0"/>
            <w:tcMar>
              <w:left w:w="108" w:type="dxa"/>
              <w:right w:w="108" w:type="dxa"/>
            </w:tcMar>
            <w:vAlign w:val="center"/>
          </w:tcPr>
          <w:p>
            <w:pPr>
              <w:rPr>
                <w:rFonts w:hint="eastAsia" w:ascii="宋体"/>
                <w:sz w:val="24"/>
              </w:rPr>
            </w:pPr>
          </w:p>
        </w:tc>
        <w:tc>
          <w:tcPr>
            <w:tcW w:w="2130"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left"/>
            </w:pPr>
            <w:r>
              <w:rPr>
                <w:rFonts w:hint="eastAsia" w:ascii="楷体" w:hAnsi="楷体" w:eastAsia="楷体" w:cs="楷体"/>
                <w:kern w:val="0"/>
                <w:sz w:val="20"/>
                <w:szCs w:val="20"/>
                <w:lang w:bidi="ar"/>
              </w:rPr>
              <w:t>2.重复申请</w:t>
            </w:r>
          </w:p>
        </w:tc>
        <w:tc>
          <w:tcPr>
            <w:tcW w:w="82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76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76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82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990"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720"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702"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hint="eastAsia" w:cs="Calibri"/>
                <w:kern w:val="0"/>
                <w:sz w:val="20"/>
                <w:szCs w:val="20"/>
                <w:lang w:val="en-US" w:eastAsia="zh-CN" w:bidi="ar"/>
              </w:rPr>
              <w:t>0</w:t>
            </w:r>
            <w:r>
              <w:rPr>
                <w:rFonts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4"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rPr>
            </w:pPr>
          </w:p>
        </w:tc>
        <w:tc>
          <w:tcPr>
            <w:tcW w:w="855" w:type="dxa"/>
            <w:vMerge w:val="continue"/>
            <w:tcBorders>
              <w:top w:val="nil"/>
              <w:left w:val="nil"/>
              <w:bottom w:val="single" w:color="auto" w:sz="8" w:space="0"/>
              <w:right w:val="single" w:color="auto" w:sz="8" w:space="0"/>
            </w:tcBorders>
            <w:noWrap w:val="0"/>
            <w:tcMar>
              <w:left w:w="108" w:type="dxa"/>
              <w:right w:w="108" w:type="dxa"/>
            </w:tcMar>
            <w:vAlign w:val="center"/>
          </w:tcPr>
          <w:p>
            <w:pPr>
              <w:rPr>
                <w:rFonts w:hint="eastAsia" w:ascii="宋体"/>
                <w:sz w:val="24"/>
              </w:rPr>
            </w:pPr>
          </w:p>
        </w:tc>
        <w:tc>
          <w:tcPr>
            <w:tcW w:w="2130"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left"/>
            </w:pPr>
            <w:r>
              <w:rPr>
                <w:rFonts w:hint="eastAsia" w:ascii="楷体" w:hAnsi="楷体" w:eastAsia="楷体" w:cs="楷体"/>
                <w:kern w:val="0"/>
                <w:sz w:val="20"/>
                <w:szCs w:val="20"/>
                <w:lang w:bidi="ar"/>
              </w:rPr>
              <w:t>3.要求提供公开出版物</w:t>
            </w:r>
          </w:p>
        </w:tc>
        <w:tc>
          <w:tcPr>
            <w:tcW w:w="82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76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76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82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990"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720"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702"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hint="eastAsia" w:cs="Calibri"/>
                <w:kern w:val="0"/>
                <w:sz w:val="20"/>
                <w:szCs w:val="20"/>
                <w:lang w:val="en-US" w:eastAsia="zh-CN" w:bidi="ar"/>
              </w:rPr>
              <w:t>0</w:t>
            </w:r>
            <w:r>
              <w:rPr>
                <w:rFonts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4"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rPr>
            </w:pPr>
          </w:p>
        </w:tc>
        <w:tc>
          <w:tcPr>
            <w:tcW w:w="855" w:type="dxa"/>
            <w:vMerge w:val="continue"/>
            <w:tcBorders>
              <w:top w:val="nil"/>
              <w:left w:val="nil"/>
              <w:bottom w:val="single" w:color="auto" w:sz="8" w:space="0"/>
              <w:right w:val="single" w:color="auto" w:sz="8" w:space="0"/>
            </w:tcBorders>
            <w:noWrap w:val="0"/>
            <w:tcMar>
              <w:left w:w="108" w:type="dxa"/>
              <w:right w:w="108" w:type="dxa"/>
            </w:tcMar>
            <w:vAlign w:val="center"/>
          </w:tcPr>
          <w:p>
            <w:pPr>
              <w:rPr>
                <w:rFonts w:hint="eastAsia" w:ascii="宋体"/>
                <w:sz w:val="24"/>
              </w:rPr>
            </w:pPr>
          </w:p>
        </w:tc>
        <w:tc>
          <w:tcPr>
            <w:tcW w:w="2130"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left"/>
            </w:pPr>
            <w:r>
              <w:rPr>
                <w:rFonts w:hint="eastAsia" w:ascii="楷体" w:hAnsi="楷体" w:eastAsia="楷体" w:cs="楷体"/>
                <w:kern w:val="0"/>
                <w:sz w:val="20"/>
                <w:szCs w:val="20"/>
                <w:lang w:bidi="ar"/>
              </w:rPr>
              <w:t>4.无正当理由大量反复申请</w:t>
            </w:r>
          </w:p>
        </w:tc>
        <w:tc>
          <w:tcPr>
            <w:tcW w:w="82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76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76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82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990"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720"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702"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hint="eastAsia" w:cs="Calibri"/>
                <w:kern w:val="0"/>
                <w:sz w:val="20"/>
                <w:szCs w:val="20"/>
                <w:lang w:val="en-US" w:eastAsia="zh-CN" w:bidi="ar"/>
              </w:rPr>
              <w:t>0</w:t>
            </w:r>
            <w:r>
              <w:rPr>
                <w:rFonts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4"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rPr>
            </w:pPr>
          </w:p>
        </w:tc>
        <w:tc>
          <w:tcPr>
            <w:tcW w:w="855" w:type="dxa"/>
            <w:vMerge w:val="continue"/>
            <w:tcBorders>
              <w:top w:val="nil"/>
              <w:left w:val="nil"/>
              <w:bottom w:val="single" w:color="auto" w:sz="8" w:space="0"/>
              <w:right w:val="single" w:color="auto" w:sz="8" w:space="0"/>
            </w:tcBorders>
            <w:noWrap w:val="0"/>
            <w:tcMar>
              <w:left w:w="108" w:type="dxa"/>
              <w:right w:w="108" w:type="dxa"/>
            </w:tcMar>
            <w:vAlign w:val="center"/>
          </w:tcPr>
          <w:p>
            <w:pPr>
              <w:rPr>
                <w:rFonts w:hint="eastAsia" w:ascii="宋体"/>
                <w:sz w:val="24"/>
              </w:rPr>
            </w:pPr>
          </w:p>
        </w:tc>
        <w:tc>
          <w:tcPr>
            <w:tcW w:w="2130"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left"/>
            </w:pPr>
            <w:r>
              <w:rPr>
                <w:rFonts w:hint="eastAsia" w:ascii="楷体" w:hAnsi="楷体" w:eastAsia="楷体" w:cs="楷体"/>
                <w:kern w:val="0"/>
                <w:sz w:val="20"/>
                <w:szCs w:val="20"/>
                <w:lang w:bidi="ar"/>
              </w:rPr>
              <w:t>5.要求行政机关确认或重新出具已获取信息</w:t>
            </w:r>
          </w:p>
        </w:tc>
        <w:tc>
          <w:tcPr>
            <w:tcW w:w="82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76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76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82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990"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720"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702"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hint="eastAsia" w:cs="Calibri"/>
                <w:kern w:val="0"/>
                <w:sz w:val="20"/>
                <w:szCs w:val="20"/>
                <w:lang w:val="en-US" w:eastAsia="zh-CN" w:bidi="ar"/>
              </w:rPr>
              <w:t>0</w:t>
            </w:r>
            <w:r>
              <w:rPr>
                <w:rFonts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4"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rPr>
            </w:pPr>
          </w:p>
        </w:tc>
        <w:tc>
          <w:tcPr>
            <w:tcW w:w="2985" w:type="dxa"/>
            <w:gridSpan w:val="2"/>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left"/>
            </w:pPr>
            <w:r>
              <w:rPr>
                <w:rFonts w:hint="eastAsia" w:ascii="楷体" w:hAnsi="楷体" w:eastAsia="楷体" w:cs="楷体"/>
                <w:kern w:val="0"/>
                <w:sz w:val="20"/>
                <w:szCs w:val="20"/>
                <w:lang w:bidi="ar"/>
              </w:rPr>
              <w:t>（六）其他处理</w:t>
            </w:r>
          </w:p>
        </w:tc>
        <w:tc>
          <w:tcPr>
            <w:tcW w:w="82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76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76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82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990"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720"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702"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hint="eastAsia" w:cs="Calibri"/>
                <w:kern w:val="0"/>
                <w:sz w:val="20"/>
                <w:szCs w:val="20"/>
                <w:lang w:val="en-US" w:eastAsia="zh-CN" w:bidi="ar"/>
              </w:rPr>
              <w:t>0</w:t>
            </w:r>
            <w:r>
              <w:rPr>
                <w:rFonts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4"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rPr>
            </w:pPr>
          </w:p>
        </w:tc>
        <w:tc>
          <w:tcPr>
            <w:tcW w:w="2985" w:type="dxa"/>
            <w:gridSpan w:val="2"/>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left"/>
            </w:pPr>
            <w:r>
              <w:rPr>
                <w:rFonts w:hint="eastAsia" w:ascii="楷体" w:hAnsi="楷体" w:eastAsia="楷体" w:cs="楷体"/>
                <w:kern w:val="0"/>
                <w:sz w:val="20"/>
                <w:szCs w:val="20"/>
                <w:lang w:bidi="ar"/>
              </w:rPr>
              <w:t>（七）总计</w:t>
            </w:r>
          </w:p>
        </w:tc>
        <w:tc>
          <w:tcPr>
            <w:tcW w:w="82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76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76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82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990"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720"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702"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hint="eastAsia" w:cs="Calibri"/>
                <w:kern w:val="0"/>
                <w:sz w:val="20"/>
                <w:szCs w:val="20"/>
                <w:lang w:val="en-US" w:eastAsia="zh-CN" w:bidi="ar"/>
              </w:rPr>
              <w:t>0</w:t>
            </w:r>
            <w:r>
              <w:rPr>
                <w:rFonts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479" w:type="dxa"/>
            <w:gridSpan w:val="3"/>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after="180"/>
              <w:jc w:val="left"/>
            </w:pPr>
            <w:r>
              <w:rPr>
                <w:rFonts w:hint="eastAsia" w:ascii="宋体" w:hAnsi="宋体" w:cs="宋体"/>
                <w:kern w:val="0"/>
                <w:sz w:val="20"/>
                <w:szCs w:val="20"/>
                <w:lang w:bidi="ar"/>
              </w:rPr>
              <w:t>四、结转下年度继续办理</w:t>
            </w:r>
          </w:p>
        </w:tc>
        <w:tc>
          <w:tcPr>
            <w:tcW w:w="82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76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76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82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990"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720"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cs="Calibri"/>
                <w:kern w:val="0"/>
                <w:sz w:val="20"/>
                <w:szCs w:val="20"/>
                <w:lang w:bidi="ar"/>
              </w:rPr>
              <w:t> </w:t>
            </w:r>
          </w:p>
        </w:tc>
        <w:tc>
          <w:tcPr>
            <w:tcW w:w="702" w:type="dxa"/>
            <w:tcBorders>
              <w:top w:val="nil"/>
              <w:left w:val="nil"/>
              <w:bottom w:val="single" w:color="auto" w:sz="8" w:space="0"/>
              <w:right w:val="single" w:color="auto" w:sz="8" w:space="0"/>
            </w:tcBorders>
            <w:noWrap w:val="0"/>
            <w:tcMar>
              <w:left w:w="108" w:type="dxa"/>
              <w:right w:w="108" w:type="dxa"/>
            </w:tcMar>
            <w:vAlign w:val="center"/>
          </w:tcPr>
          <w:p>
            <w:pPr>
              <w:rPr>
                <w:rFonts w:hint="eastAsia" w:ascii="宋体" w:eastAsia="宋体"/>
                <w:sz w:val="24"/>
                <w:lang w:val="en-US" w:eastAsia="zh-CN"/>
              </w:rPr>
            </w:pPr>
            <w:r>
              <w:rPr>
                <w:rFonts w:hint="eastAsia" w:ascii="宋体"/>
                <w:sz w:val="24"/>
                <w:lang w:val="en-US" w:eastAsia="zh-CN"/>
              </w:rPr>
              <w:t>0</w:t>
            </w:r>
          </w:p>
        </w:tc>
      </w:tr>
    </w:tbl>
    <w:p>
      <w:pPr>
        <w:pStyle w:val="2"/>
        <w:widowControl/>
        <w:shd w:val="clear" w:color="auto" w:fill="FFFFFF"/>
        <w:spacing w:before="0" w:beforeAutospacing="0" w:after="0" w:afterAutospacing="0"/>
        <w:ind w:firstLine="420"/>
        <w:jc w:val="both"/>
        <w:rPr>
          <w:rFonts w:hint="eastAsia" w:ascii="宋体" w:hAnsi="宋体" w:cs="宋体"/>
        </w:rPr>
      </w:pPr>
    </w:p>
    <w:p>
      <w:pPr>
        <w:keepNext w:val="0"/>
        <w:keepLines w:val="0"/>
        <w:pageBreakBefore w:val="0"/>
        <w:widowControl/>
        <w:suppressLineNumbers w:val="0"/>
        <w:kinsoku/>
        <w:wordWrap/>
        <w:overflowPunct/>
        <w:topLinePunct w:val="0"/>
        <w:autoSpaceDE/>
        <w:autoSpaceDN/>
        <w:bidi w:val="0"/>
        <w:adjustRightInd/>
        <w:snapToGrid/>
        <w:spacing w:line="540" w:lineRule="exact"/>
        <w:ind w:firstLine="643" w:firstLineChars="200"/>
        <w:jc w:val="left"/>
        <w:textAlignment w:val="auto"/>
        <w:rPr>
          <w:rFonts w:hint="eastAsia" w:ascii="Times New Roman" w:hAnsi="Times New Roman" w:eastAsia="方正仿宋简体" w:cs="Times New Roman"/>
          <w:b/>
          <w:bCs/>
          <w:kern w:val="0"/>
          <w:sz w:val="32"/>
          <w:szCs w:val="32"/>
          <w:lang w:val="en-US" w:eastAsia="zh-CN" w:bidi="ar"/>
        </w:rPr>
      </w:pPr>
      <w:r>
        <w:rPr>
          <w:rFonts w:hint="eastAsia" w:ascii="Times New Roman" w:hAnsi="Times New Roman" w:eastAsia="方正仿宋简体" w:cs="Times New Roman"/>
          <w:b/>
          <w:bCs/>
          <w:kern w:val="0"/>
          <w:sz w:val="32"/>
          <w:szCs w:val="32"/>
          <w:lang w:val="en-US" w:eastAsia="zh-CN" w:bidi="ar"/>
        </w:rPr>
        <w:t>四、政府信息公开行政复议、行政诉讼情况</w:t>
      </w:r>
    </w:p>
    <w:p>
      <w:pPr>
        <w:pStyle w:val="2"/>
        <w:widowControl/>
        <w:shd w:val="clear" w:color="auto" w:fill="FFFFFF"/>
        <w:spacing w:before="0" w:beforeAutospacing="0" w:after="0" w:afterAutospacing="0"/>
        <w:ind w:firstLine="420"/>
        <w:jc w:val="both"/>
        <w:rPr>
          <w:rFonts w:hint="eastAsia" w:ascii="宋体" w:hAnsi="宋体" w:cs="宋体"/>
        </w:rPr>
      </w:pPr>
    </w:p>
    <w:tbl>
      <w:tblPr>
        <w:tblStyle w:val="3"/>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074"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after="180"/>
              <w:jc w:val="center"/>
            </w:pPr>
            <w:r>
              <w:rPr>
                <w:rFonts w:hint="eastAsia" w:ascii="宋体" w:hAnsi="宋体" w:cs="宋体"/>
                <w:kern w:val="0"/>
                <w:sz w:val="20"/>
                <w:szCs w:val="20"/>
                <w:lang w:bidi="ar"/>
              </w:rPr>
              <w:t>行政复议</w:t>
            </w:r>
          </w:p>
        </w:tc>
        <w:tc>
          <w:tcPr>
            <w:tcW w:w="5997" w:type="dxa"/>
            <w:gridSpan w:val="10"/>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hint="eastAsia" w:ascii="宋体" w:hAnsi="宋体" w:cs="宋体"/>
                <w:kern w:val="0"/>
                <w:sz w:val="20"/>
                <w:szCs w:val="20"/>
                <w:lang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after="180"/>
              <w:jc w:val="center"/>
            </w:pPr>
            <w:r>
              <w:rPr>
                <w:rFonts w:hint="eastAsia" w:ascii="宋体" w:hAnsi="宋体" w:cs="宋体"/>
                <w:kern w:val="0"/>
                <w:sz w:val="20"/>
                <w:szCs w:val="20"/>
                <w:lang w:bidi="ar"/>
              </w:rPr>
              <w:t>结果维持</w:t>
            </w:r>
          </w:p>
        </w:tc>
        <w:tc>
          <w:tcPr>
            <w:tcW w:w="604" w:type="dxa"/>
            <w:vMerge w:val="restart"/>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hint="eastAsia" w:ascii="宋体" w:hAnsi="宋体" w:cs="宋体"/>
                <w:kern w:val="0"/>
                <w:sz w:val="20"/>
                <w:szCs w:val="20"/>
                <w:lang w:bidi="ar"/>
              </w:rPr>
              <w:t>结果纠正</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hint="eastAsia" w:ascii="宋体" w:hAnsi="宋体" w:cs="宋体"/>
                <w:kern w:val="0"/>
                <w:sz w:val="20"/>
                <w:szCs w:val="20"/>
                <w:lang w:bidi="ar"/>
              </w:rPr>
              <w:t>其他结果</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hint="eastAsia" w:ascii="宋体" w:hAnsi="宋体" w:cs="宋体"/>
                <w:kern w:val="0"/>
                <w:sz w:val="20"/>
                <w:szCs w:val="20"/>
                <w:lang w:bidi="ar"/>
              </w:rPr>
              <w:t>尚未审结</w:t>
            </w:r>
          </w:p>
        </w:tc>
        <w:tc>
          <w:tcPr>
            <w:tcW w:w="658"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hint="eastAsia" w:ascii="宋体" w:hAnsi="宋体" w:cs="宋体"/>
                <w:kern w:val="0"/>
                <w:sz w:val="20"/>
                <w:szCs w:val="20"/>
                <w:lang w:bidi="ar"/>
              </w:rPr>
              <w:t>总计</w:t>
            </w:r>
          </w:p>
        </w:tc>
        <w:tc>
          <w:tcPr>
            <w:tcW w:w="2970"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hint="eastAsia" w:ascii="宋体" w:hAnsi="宋体" w:cs="宋体"/>
                <w:kern w:val="0"/>
                <w:sz w:val="20"/>
                <w:szCs w:val="20"/>
                <w:lang w:bidi="ar"/>
              </w:rPr>
              <w:t>未经复议直接起诉</w:t>
            </w:r>
          </w:p>
        </w:tc>
        <w:tc>
          <w:tcPr>
            <w:tcW w:w="3027"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hint="eastAsia" w:ascii="宋体" w:hAnsi="宋体" w:cs="宋体"/>
                <w:kern w:val="0"/>
                <w:sz w:val="20"/>
                <w:szCs w:val="20"/>
                <w:lang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rPr>
            </w:pPr>
          </w:p>
        </w:tc>
        <w:tc>
          <w:tcPr>
            <w:tcW w:w="604" w:type="dxa"/>
            <w:vMerge w:val="continue"/>
            <w:tcBorders>
              <w:top w:val="nil"/>
              <w:left w:val="nil"/>
              <w:bottom w:val="single" w:color="auto" w:sz="8" w:space="0"/>
              <w:right w:val="single" w:color="auto" w:sz="8" w:space="0"/>
            </w:tcBorders>
            <w:noWrap w:val="0"/>
            <w:tcMar>
              <w:left w:w="108" w:type="dxa"/>
              <w:right w:w="108" w:type="dxa"/>
            </w:tcMar>
            <w:vAlign w:val="center"/>
          </w:tcPr>
          <w:p>
            <w:pPr>
              <w:rPr>
                <w:rFonts w:hint="eastAsia" w:ascii="宋体"/>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rPr>
                <w:rFonts w:hint="eastAsia" w:ascii="宋体"/>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rPr>
                <w:rFonts w:hint="eastAsia" w:ascii="宋体"/>
                <w:sz w:val="24"/>
              </w:rPr>
            </w:pPr>
          </w:p>
        </w:tc>
        <w:tc>
          <w:tcPr>
            <w:tcW w:w="658"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rPr>
                <w:rFonts w:hint="eastAsia" w:ascii="宋体"/>
                <w:sz w:val="24"/>
              </w:rPr>
            </w:pPr>
          </w:p>
        </w:tc>
        <w:tc>
          <w:tcPr>
            <w:tcW w:w="550"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hint="eastAsia" w:ascii="宋体" w:hAnsi="宋体" w:cs="宋体"/>
                <w:kern w:val="0"/>
                <w:sz w:val="20"/>
                <w:szCs w:val="20"/>
                <w:lang w:bidi="ar"/>
              </w:rPr>
              <w:t>结果维持</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hint="eastAsia" w:ascii="宋体" w:hAnsi="宋体" w:cs="宋体"/>
                <w:kern w:val="0"/>
                <w:sz w:val="20"/>
                <w:szCs w:val="20"/>
                <w:lang w:bidi="ar"/>
              </w:rPr>
              <w:t>结果纠正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hint="eastAsia" w:ascii="宋体" w:hAnsi="宋体" w:cs="宋体"/>
                <w:kern w:val="0"/>
                <w:sz w:val="20"/>
                <w:szCs w:val="20"/>
                <w:lang w:bidi="ar"/>
              </w:rPr>
              <w:t>其他结果</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hint="eastAsia" w:ascii="宋体" w:hAnsi="宋体" w:cs="宋体"/>
                <w:kern w:val="0"/>
                <w:sz w:val="20"/>
                <w:szCs w:val="20"/>
                <w:lang w:bidi="ar"/>
              </w:rPr>
              <w:t>尚未审结</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hint="eastAsia" w:ascii="宋体" w:hAnsi="宋体" w:cs="宋体"/>
                <w:kern w:val="0"/>
                <w:sz w:val="20"/>
                <w:szCs w:val="20"/>
                <w:lang w:bidi="ar"/>
              </w:rPr>
              <w:t>总计</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hint="eastAsia" w:ascii="宋体" w:hAnsi="宋体" w:cs="宋体"/>
                <w:kern w:val="0"/>
                <w:sz w:val="20"/>
                <w:szCs w:val="20"/>
                <w:lang w:bidi="ar"/>
              </w:rPr>
              <w:t>结果维持</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hint="eastAsia" w:ascii="宋体" w:hAnsi="宋体" w:cs="宋体"/>
                <w:kern w:val="0"/>
                <w:sz w:val="20"/>
                <w:szCs w:val="20"/>
                <w:lang w:bidi="ar"/>
              </w:rPr>
              <w:t>结果纠正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hint="eastAsia" w:ascii="宋体" w:hAnsi="宋体" w:cs="宋体"/>
                <w:kern w:val="0"/>
                <w:sz w:val="20"/>
                <w:szCs w:val="20"/>
                <w:lang w:bidi="ar"/>
              </w:rPr>
              <w:t>其他结果</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hint="eastAsia" w:ascii="宋体" w:hAnsi="宋体" w:cs="宋体"/>
                <w:kern w:val="0"/>
                <w:sz w:val="20"/>
                <w:szCs w:val="20"/>
                <w:lang w:bidi="ar"/>
              </w:rPr>
              <w:t>尚未审结</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hint="eastAsia" w:ascii="宋体" w:hAnsi="宋体" w:cs="宋体"/>
                <w:kern w:val="0"/>
                <w:sz w:val="20"/>
                <w:szCs w:val="20"/>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after="180"/>
              <w:jc w:val="center"/>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hint="eastAsia" w:cs="Calibri"/>
                <w:kern w:val="0"/>
                <w:sz w:val="20"/>
                <w:szCs w:val="20"/>
                <w:lang w:val="en-US" w:eastAsia="zh-CN" w:bidi="ar"/>
              </w:rPr>
              <w:t>0</w:t>
            </w:r>
            <w:r>
              <w:rPr>
                <w:rFonts w:cs="Calibri"/>
                <w:kern w:val="0"/>
                <w:sz w:val="20"/>
                <w:szCs w:val="20"/>
                <w:lang w:bidi="ar"/>
              </w:rPr>
              <w:t> </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hint="eastAsia" w:cs="Calibri"/>
                <w:kern w:val="0"/>
                <w:sz w:val="20"/>
                <w:szCs w:val="20"/>
                <w:lang w:val="en-US" w:eastAsia="zh-CN" w:bidi="ar"/>
              </w:rPr>
              <w:t>0</w:t>
            </w:r>
            <w:r>
              <w:rPr>
                <w:rFonts w:cs="Calibri"/>
                <w:kern w:val="0"/>
                <w:sz w:val="20"/>
                <w:szCs w:val="20"/>
                <w:lang w:bidi="ar"/>
              </w:rPr>
              <w:t> </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c>
          <w:tcPr>
            <w:tcW w:w="658"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hint="eastAsia" w:cs="Calibri"/>
                <w:kern w:val="0"/>
                <w:sz w:val="20"/>
                <w:szCs w:val="20"/>
                <w:lang w:val="en-US" w:eastAsia="zh-CN" w:bidi="ar"/>
              </w:rPr>
              <w:t>0</w:t>
            </w:r>
            <w:r>
              <w:rPr>
                <w:rFonts w:cs="Calibri"/>
                <w:kern w:val="0"/>
                <w:sz w:val="20"/>
                <w:szCs w:val="20"/>
                <w:lang w:bidi="ar"/>
              </w:rPr>
              <w:t> </w:t>
            </w:r>
          </w:p>
        </w:tc>
        <w:tc>
          <w:tcPr>
            <w:tcW w:w="550"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eastAsia="宋体"/>
                <w:lang w:val="en-US" w:eastAsia="zh-CN"/>
              </w:rPr>
            </w:pPr>
            <w:r>
              <w:rPr>
                <w:rFonts w:hint="eastAsia" w:ascii="宋体" w:hAnsi="宋体" w:cs="宋体"/>
                <w:kern w:val="0"/>
                <w:sz w:val="20"/>
                <w:szCs w:val="20"/>
                <w:lang w:bidi="ar"/>
              </w:rPr>
              <w:t> </w:t>
            </w:r>
            <w:r>
              <w:rPr>
                <w:rFonts w:hint="eastAsia" w:ascii="宋体" w:hAnsi="宋体" w:cs="宋体"/>
                <w:kern w:val="0"/>
                <w:sz w:val="20"/>
                <w:szCs w:val="20"/>
                <w:lang w:val="en-US" w:eastAsia="zh-CN" w:bidi="ar"/>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hint="eastAsia" w:ascii="宋体" w:hAnsi="宋体" w:cs="宋体"/>
                <w:kern w:val="0"/>
                <w:sz w:val="20"/>
                <w:szCs w:val="20"/>
                <w:lang w:val="en-US" w:eastAsia="zh-CN" w:bidi="ar"/>
              </w:rPr>
              <w:t>0</w:t>
            </w:r>
            <w:r>
              <w:rPr>
                <w:rFonts w:hint="eastAsia" w:ascii="宋体" w:hAnsi="宋体" w:cs="宋体"/>
                <w:kern w:val="0"/>
                <w:sz w:val="20"/>
                <w:szCs w:val="20"/>
                <w:lang w:bidi="ar"/>
              </w:rPr>
              <w:t> </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eastAsia="宋体"/>
                <w:lang w:val="en-US" w:eastAsia="zh-CN"/>
              </w:rPr>
            </w:pPr>
            <w:r>
              <w:rPr>
                <w:rFonts w:hint="eastAsia" w:ascii="宋体" w:hAnsi="宋体" w:cs="宋体"/>
                <w:kern w:val="0"/>
                <w:sz w:val="20"/>
                <w:szCs w:val="20"/>
                <w:lang w:bidi="ar"/>
              </w:rPr>
              <w:t> </w:t>
            </w:r>
            <w:r>
              <w:rPr>
                <w:rFonts w:hint="eastAsia" w:ascii="宋体" w:hAnsi="宋体" w:cs="宋体"/>
                <w:kern w:val="0"/>
                <w:sz w:val="20"/>
                <w:szCs w:val="20"/>
                <w:lang w:val="en-US" w:eastAsia="zh-CN" w:bidi="ar"/>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hint="eastAsia" w:ascii="宋体" w:hAnsi="宋体" w:cs="宋体"/>
                <w:kern w:val="0"/>
                <w:sz w:val="20"/>
                <w:szCs w:val="20"/>
                <w:lang w:val="en-US" w:eastAsia="zh-CN" w:bidi="ar"/>
              </w:rPr>
              <w:t>0</w:t>
            </w:r>
            <w:r>
              <w:rPr>
                <w:rFonts w:hint="eastAsia" w:ascii="宋体" w:hAnsi="宋体" w:cs="宋体"/>
                <w:kern w:val="0"/>
                <w:sz w:val="20"/>
                <w:szCs w:val="20"/>
                <w:lang w:bidi="ar"/>
              </w:rPr>
              <w:t> </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eastAsia="宋体"/>
                <w:lang w:val="en-US" w:eastAsia="zh-CN"/>
              </w:rPr>
            </w:pPr>
            <w:r>
              <w:rPr>
                <w:rFonts w:hint="eastAsia" w:ascii="宋体" w:hAnsi="宋体" w:cs="宋体"/>
                <w:kern w:val="0"/>
                <w:sz w:val="20"/>
                <w:szCs w:val="20"/>
                <w:lang w:bidi="ar"/>
              </w:rPr>
              <w:t> </w:t>
            </w:r>
            <w:r>
              <w:rPr>
                <w:rFonts w:hint="eastAsia" w:ascii="宋体" w:hAnsi="宋体" w:cs="宋体"/>
                <w:kern w:val="0"/>
                <w:sz w:val="20"/>
                <w:szCs w:val="20"/>
                <w:lang w:val="en-US" w:eastAsia="zh-CN" w:bidi="ar"/>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hint="eastAsia" w:ascii="宋体" w:hAnsi="宋体" w:cs="宋体"/>
                <w:kern w:val="0"/>
                <w:sz w:val="20"/>
                <w:szCs w:val="20"/>
                <w:lang w:val="en-US" w:eastAsia="zh-CN" w:bidi="ar"/>
              </w:rPr>
              <w:t>0</w:t>
            </w:r>
            <w:r>
              <w:rPr>
                <w:rFonts w:hint="eastAsia" w:ascii="宋体" w:hAnsi="宋体" w:cs="宋体"/>
                <w:kern w:val="0"/>
                <w:sz w:val="20"/>
                <w:szCs w:val="20"/>
                <w:lang w:bidi="ar"/>
              </w:rPr>
              <w:t> </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eastAsia="宋体"/>
                <w:lang w:val="en-US" w:eastAsia="zh-CN"/>
              </w:rPr>
            </w:pPr>
            <w:r>
              <w:rPr>
                <w:rFonts w:hint="eastAsia" w:ascii="宋体" w:hAnsi="宋体" w:cs="宋体"/>
                <w:kern w:val="0"/>
                <w:sz w:val="20"/>
                <w:szCs w:val="20"/>
                <w:lang w:bidi="ar"/>
              </w:rPr>
              <w:t> </w:t>
            </w:r>
            <w:r>
              <w:rPr>
                <w:rFonts w:hint="eastAsia" w:ascii="宋体" w:hAnsi="宋体" w:cs="宋体"/>
                <w:kern w:val="0"/>
                <w:sz w:val="20"/>
                <w:szCs w:val="20"/>
                <w:lang w:val="en-US" w:eastAsia="zh-CN" w:bidi="ar"/>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eastAsia="宋体"/>
                <w:lang w:val="en-US" w:eastAsia="zh-CN"/>
              </w:rPr>
            </w:pPr>
            <w:r>
              <w:rPr>
                <w:rFonts w:hint="eastAsia" w:ascii="宋体" w:hAnsi="宋体" w:cs="宋体"/>
                <w:kern w:val="0"/>
                <w:sz w:val="20"/>
                <w:szCs w:val="20"/>
                <w:lang w:bidi="ar"/>
              </w:rPr>
              <w:t> </w:t>
            </w:r>
            <w:r>
              <w:rPr>
                <w:rFonts w:hint="eastAsia" w:ascii="宋体" w:hAnsi="宋体" w:cs="宋体"/>
                <w:kern w:val="0"/>
                <w:sz w:val="20"/>
                <w:szCs w:val="20"/>
                <w:lang w:val="en-US" w:eastAsia="zh-CN" w:bidi="ar"/>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pPr>
            <w:r>
              <w:rPr>
                <w:rFonts w:hint="eastAsia" w:ascii="宋体" w:hAnsi="宋体" w:cs="宋体"/>
                <w:kern w:val="0"/>
                <w:sz w:val="20"/>
                <w:szCs w:val="20"/>
                <w:lang w:val="en-US" w:eastAsia="zh-CN" w:bidi="ar"/>
              </w:rPr>
              <w:t>0</w:t>
            </w:r>
            <w:r>
              <w:rPr>
                <w:rFonts w:hint="eastAsia" w:ascii="宋体" w:hAnsi="宋体" w:cs="宋体"/>
                <w:kern w:val="0"/>
                <w:sz w:val="20"/>
                <w:szCs w:val="20"/>
                <w:lang w:bidi="ar"/>
              </w:rPr>
              <w:t> </w:t>
            </w:r>
          </w:p>
        </w:tc>
        <w:tc>
          <w:tcPr>
            <w:tcW w:w="606" w:type="dxa"/>
            <w:tcBorders>
              <w:top w:val="nil"/>
              <w:left w:val="nil"/>
              <w:bottom w:val="single" w:color="auto" w:sz="8" w:space="0"/>
              <w:right w:val="single" w:color="auto" w:sz="8" w:space="0"/>
            </w:tcBorders>
            <w:noWrap w:val="0"/>
            <w:tcMar>
              <w:left w:w="108" w:type="dxa"/>
              <w:right w:w="108" w:type="dxa"/>
            </w:tcMar>
            <w:vAlign w:val="center"/>
          </w:tcPr>
          <w:p>
            <w:pPr>
              <w:rPr>
                <w:rFonts w:hint="eastAsia" w:ascii="宋体" w:eastAsia="宋体"/>
                <w:sz w:val="24"/>
                <w:lang w:val="en-US" w:eastAsia="zh-CN"/>
              </w:rPr>
            </w:pPr>
            <w:r>
              <w:rPr>
                <w:rFonts w:hint="eastAsia" w:ascii="宋体"/>
                <w:sz w:val="24"/>
                <w:lang w:val="en-US" w:eastAsia="zh-CN"/>
              </w:rPr>
              <w:t>0</w:t>
            </w:r>
          </w:p>
        </w:tc>
      </w:tr>
    </w:tbl>
    <w:p>
      <w:pPr>
        <w:widowControl/>
        <w:shd w:val="clear" w:color="auto" w:fill="FFFFFF"/>
        <w:jc w:val="center"/>
        <w:rPr>
          <w:rFonts w:hint="eastAsia" w:ascii="宋体" w:hAnsi="宋体" w:cs="宋体"/>
          <w:sz w:val="24"/>
        </w:rPr>
      </w:pPr>
    </w:p>
    <w:p>
      <w:pPr>
        <w:keepNext w:val="0"/>
        <w:keepLines w:val="0"/>
        <w:pageBreakBefore w:val="0"/>
        <w:widowControl/>
        <w:suppressLineNumbers w:val="0"/>
        <w:kinsoku/>
        <w:wordWrap/>
        <w:overflowPunct/>
        <w:topLinePunct w:val="0"/>
        <w:autoSpaceDE/>
        <w:autoSpaceDN/>
        <w:bidi w:val="0"/>
        <w:adjustRightInd/>
        <w:snapToGrid/>
        <w:spacing w:line="540" w:lineRule="exact"/>
        <w:ind w:firstLine="643" w:firstLineChars="200"/>
        <w:jc w:val="left"/>
        <w:textAlignment w:val="auto"/>
        <w:rPr>
          <w:rFonts w:hint="eastAsia" w:ascii="Times New Roman" w:hAnsi="Times New Roman" w:eastAsia="方正仿宋简体" w:cs="Times New Roman"/>
          <w:b/>
          <w:bCs/>
          <w:kern w:val="0"/>
          <w:sz w:val="32"/>
          <w:szCs w:val="32"/>
          <w:lang w:val="en-US" w:eastAsia="zh-CN" w:bidi="ar"/>
        </w:rPr>
      </w:pPr>
      <w:r>
        <w:rPr>
          <w:rFonts w:hint="eastAsia" w:ascii="Times New Roman" w:hAnsi="Times New Roman" w:eastAsia="方正仿宋简体" w:cs="Times New Roman"/>
          <w:b/>
          <w:bCs/>
          <w:kern w:val="0"/>
          <w:sz w:val="32"/>
          <w:szCs w:val="32"/>
          <w:lang w:val="en-US" w:eastAsia="zh-CN" w:bidi="ar"/>
        </w:rPr>
        <w:t>五、存在的主要问题及改进情况</w:t>
      </w:r>
    </w:p>
    <w:p>
      <w:pPr>
        <w:pStyle w:val="2"/>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lang w:eastAsia="zh-CN"/>
        </w:rPr>
        <w:t>（</w:t>
      </w:r>
      <w:r>
        <w:rPr>
          <w:rFonts w:hint="default" w:ascii="Times New Roman" w:hAnsi="Times New Roman" w:eastAsia="方正仿宋简体" w:cs="Times New Roman"/>
          <w:sz w:val="32"/>
          <w:szCs w:val="32"/>
          <w:lang w:val="en-US" w:eastAsia="zh-CN"/>
        </w:rPr>
        <w:t>一</w:t>
      </w:r>
      <w:r>
        <w:rPr>
          <w:rFonts w:hint="default" w:ascii="Times New Roman" w:hAnsi="Times New Roman" w:eastAsia="方正仿宋简体" w:cs="Times New Roman"/>
          <w:sz w:val="32"/>
          <w:szCs w:val="32"/>
          <w:lang w:eastAsia="zh-CN"/>
        </w:rPr>
        <w:t>）</w:t>
      </w:r>
      <w:r>
        <w:rPr>
          <w:rFonts w:hint="default" w:ascii="Times New Roman" w:hAnsi="Times New Roman" w:eastAsia="方正仿宋简体" w:cs="Times New Roman"/>
          <w:sz w:val="32"/>
          <w:szCs w:val="32"/>
        </w:rPr>
        <w:t>存在问题</w:t>
      </w:r>
    </w:p>
    <w:p>
      <w:pPr>
        <w:pStyle w:val="2"/>
        <w:keepNext w:val="0"/>
        <w:keepLines w:val="0"/>
        <w:widowControl/>
        <w:suppressLineNumbers w:val="0"/>
        <w:spacing w:before="0" w:beforeAutospacing="0" w:after="0" w:afterAutospacing="0" w:line="420" w:lineRule="atLeast"/>
        <w:ind w:right="0" w:firstLine="640" w:firstLineChars="200"/>
        <w:jc w:val="both"/>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1、</w:t>
      </w:r>
      <w:r>
        <w:rPr>
          <w:rFonts w:hint="default" w:ascii="Times New Roman" w:hAnsi="Times New Roman" w:eastAsia="方正仿宋简体" w:cs="Times New Roman"/>
          <w:kern w:val="0"/>
          <w:sz w:val="32"/>
          <w:szCs w:val="32"/>
          <w:lang w:val="en-US" w:eastAsia="zh-CN" w:bidi="ar"/>
        </w:rPr>
        <w:t>主动公开的广度、深度以及依申请公开的办理能力、服务水平仍需进一步提高。</w:t>
      </w:r>
    </w:p>
    <w:p>
      <w:pPr>
        <w:pStyle w:val="2"/>
        <w:keepNext w:val="0"/>
        <w:keepLines w:val="0"/>
        <w:widowControl/>
        <w:suppressLineNumbers w:val="0"/>
        <w:spacing w:before="0" w:beforeAutospacing="0" w:after="0" w:afterAutospacing="0" w:line="420" w:lineRule="atLeast"/>
        <w:ind w:right="0" w:firstLine="640" w:firstLineChars="200"/>
        <w:jc w:val="both"/>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rPr>
        <w:t>2、</w:t>
      </w:r>
      <w:r>
        <w:rPr>
          <w:rFonts w:hint="default" w:ascii="Times New Roman" w:hAnsi="Times New Roman" w:eastAsia="方正仿宋简体" w:cs="Times New Roman"/>
          <w:i w:val="0"/>
          <w:caps w:val="0"/>
          <w:color w:val="444444"/>
          <w:spacing w:val="0"/>
          <w:sz w:val="32"/>
          <w:szCs w:val="32"/>
          <w:shd w:val="clear" w:fill="FFFFFF"/>
        </w:rPr>
        <w:t>培训及业务交流</w:t>
      </w:r>
      <w:r>
        <w:rPr>
          <w:rFonts w:hint="default" w:ascii="Times New Roman" w:hAnsi="Times New Roman" w:eastAsia="方正仿宋简体" w:cs="Times New Roman"/>
          <w:i w:val="0"/>
          <w:caps w:val="0"/>
          <w:color w:val="444444"/>
          <w:spacing w:val="0"/>
          <w:sz w:val="32"/>
          <w:szCs w:val="32"/>
          <w:shd w:val="clear" w:fill="FFFFFF"/>
          <w:lang w:val="en-US" w:eastAsia="zh-CN"/>
        </w:rPr>
        <w:t>力度不够。</w:t>
      </w:r>
    </w:p>
    <w:p>
      <w:pPr>
        <w:pStyle w:val="2"/>
        <w:keepNext w:val="0"/>
        <w:keepLines w:val="0"/>
        <w:widowControl/>
        <w:suppressLineNumbers w:val="0"/>
        <w:spacing w:before="0" w:beforeAutospacing="0" w:after="0" w:afterAutospacing="0" w:line="420" w:lineRule="atLeast"/>
        <w:ind w:left="0" w:right="0" w:firstLine="420"/>
        <w:jc w:val="both"/>
        <w:rPr>
          <w:rFonts w:hint="default" w:ascii="Times New Roman" w:hAnsi="Times New Roman" w:eastAsia="方正仿宋简体" w:cs="Times New Roman"/>
          <w:i w:val="0"/>
          <w:caps w:val="0"/>
          <w:color w:val="444444"/>
          <w:spacing w:val="0"/>
          <w:sz w:val="32"/>
          <w:szCs w:val="32"/>
          <w:shd w:val="clear" w:fill="FFFFFF"/>
          <w:lang w:val="en-US" w:eastAsia="zh-CN"/>
        </w:rPr>
      </w:pPr>
      <w:r>
        <w:rPr>
          <w:rFonts w:hint="eastAsia" w:ascii="Times New Roman" w:hAnsi="Times New Roman" w:eastAsia="方正仿宋简体" w:cs="Times New Roman"/>
          <w:i w:val="0"/>
          <w:caps w:val="0"/>
          <w:color w:val="444444"/>
          <w:spacing w:val="0"/>
          <w:sz w:val="32"/>
          <w:szCs w:val="32"/>
          <w:shd w:val="clear" w:fill="FFFFFF"/>
          <w:lang w:val="en-US" w:eastAsia="zh-CN"/>
        </w:rPr>
        <w:t>（二）推进措施</w:t>
      </w:r>
    </w:p>
    <w:p>
      <w:pPr>
        <w:pStyle w:val="2"/>
        <w:keepNext w:val="0"/>
        <w:keepLines w:val="0"/>
        <w:widowControl/>
        <w:suppressLineNumbers w:val="0"/>
        <w:spacing w:before="0" w:beforeAutospacing="0" w:after="0" w:afterAutospacing="0" w:line="420" w:lineRule="atLeast"/>
        <w:ind w:right="0" w:firstLine="640" w:firstLineChars="200"/>
        <w:jc w:val="both"/>
        <w:rPr>
          <w:rFonts w:hint="default" w:ascii="Times New Roman" w:hAnsi="Times New Roman" w:eastAsia="方正仿宋简体" w:cs="Times New Roman"/>
          <w:i w:val="0"/>
          <w:caps w:val="0"/>
          <w:color w:val="444444"/>
          <w:spacing w:val="0"/>
          <w:sz w:val="32"/>
          <w:szCs w:val="32"/>
          <w:shd w:val="clear" w:fill="FFFFFF"/>
          <w:lang w:eastAsia="zh-CN"/>
        </w:rPr>
      </w:pPr>
      <w:r>
        <w:rPr>
          <w:rFonts w:hint="default" w:ascii="Times New Roman" w:hAnsi="Times New Roman" w:eastAsia="方正仿宋简体" w:cs="Times New Roman"/>
          <w:i w:val="0"/>
          <w:caps w:val="0"/>
          <w:color w:val="444444"/>
          <w:spacing w:val="0"/>
          <w:sz w:val="32"/>
          <w:szCs w:val="32"/>
          <w:shd w:val="clear" w:fill="FFFFFF"/>
          <w:lang w:eastAsia="zh-CN"/>
        </w:rPr>
        <w:t>一是加强培训及业务交流。针对日常监测和考核中发现的薄弱环节，加大业务培训力度，定期对我街道政务公开工作人员轮训一遍，同时定期开展工作督查，强化工作落实。</w:t>
      </w:r>
    </w:p>
    <w:p>
      <w:pPr>
        <w:pStyle w:val="2"/>
        <w:keepNext w:val="0"/>
        <w:keepLines w:val="0"/>
        <w:widowControl/>
        <w:suppressLineNumbers w:val="0"/>
        <w:spacing w:before="0" w:beforeAutospacing="0" w:after="0" w:afterAutospacing="0" w:line="420" w:lineRule="atLeast"/>
        <w:ind w:right="0" w:firstLine="640" w:firstLineChars="200"/>
        <w:jc w:val="both"/>
        <w:rPr>
          <w:rFonts w:hint="default" w:ascii="Times New Roman" w:hAnsi="Times New Roman" w:eastAsia="方正仿宋简体" w:cs="Times New Roman"/>
          <w:i w:val="0"/>
          <w:caps w:val="0"/>
          <w:color w:val="444444"/>
          <w:spacing w:val="0"/>
          <w:sz w:val="32"/>
          <w:szCs w:val="32"/>
          <w:shd w:val="clear" w:fill="FFFFFF"/>
          <w:lang w:eastAsia="zh-CN"/>
        </w:rPr>
      </w:pPr>
      <w:r>
        <w:rPr>
          <w:rFonts w:hint="default" w:ascii="Times New Roman" w:hAnsi="Times New Roman" w:eastAsia="方正仿宋简体" w:cs="Times New Roman"/>
          <w:i w:val="0"/>
          <w:caps w:val="0"/>
          <w:color w:val="444444"/>
          <w:spacing w:val="0"/>
          <w:sz w:val="32"/>
          <w:szCs w:val="32"/>
          <w:shd w:val="clear" w:fill="FFFFFF"/>
          <w:lang w:eastAsia="zh-CN"/>
        </w:rPr>
        <w:t>二是强化督查考核。把日常考核、季度测评、年度考评等有机结合起来，进一步强化我街道政务信息公开工作。</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43" w:firstLineChars="200"/>
        <w:jc w:val="left"/>
        <w:textAlignment w:val="auto"/>
        <w:rPr>
          <w:rFonts w:hint="eastAsia" w:ascii="Times New Roman" w:hAnsi="Times New Roman" w:eastAsia="方正仿宋简体" w:cs="Times New Roman"/>
          <w:b/>
          <w:bCs/>
          <w:kern w:val="0"/>
          <w:sz w:val="32"/>
          <w:szCs w:val="32"/>
          <w:lang w:val="en-US" w:eastAsia="zh-CN" w:bidi="ar"/>
        </w:rPr>
      </w:pPr>
      <w:r>
        <w:rPr>
          <w:rFonts w:hint="eastAsia" w:ascii="Times New Roman" w:hAnsi="Times New Roman" w:eastAsia="方正仿宋简体" w:cs="Times New Roman"/>
          <w:b/>
          <w:bCs/>
          <w:kern w:val="0"/>
          <w:sz w:val="32"/>
          <w:szCs w:val="32"/>
          <w:lang w:val="en-US" w:eastAsia="zh-CN" w:bidi="ar"/>
        </w:rPr>
        <w:t>六、其他需要报告的事项</w:t>
      </w:r>
    </w:p>
    <w:p>
      <w:pPr>
        <w:pStyle w:val="2"/>
        <w:keepNext w:val="0"/>
        <w:keepLines w:val="0"/>
        <w:widowControl/>
        <w:suppressLineNumbers w:val="0"/>
        <w:spacing w:before="0" w:beforeAutospacing="0" w:after="0" w:afterAutospacing="0" w:line="420" w:lineRule="atLeast"/>
        <w:ind w:right="0" w:firstLine="640" w:firstLineChars="200"/>
        <w:jc w:val="both"/>
        <w:rPr>
          <w:rFonts w:hint="default" w:ascii="Times New Roman" w:hAnsi="Times New Roman" w:eastAsia="方正仿宋简体" w:cs="Times New Roman"/>
          <w:i w:val="0"/>
          <w:caps w:val="0"/>
          <w:color w:val="444444"/>
          <w:spacing w:val="0"/>
          <w:sz w:val="32"/>
          <w:szCs w:val="32"/>
          <w:shd w:val="clear" w:fill="FFFFFF"/>
          <w:lang w:eastAsia="zh-CN"/>
        </w:rPr>
      </w:pPr>
      <w:r>
        <w:rPr>
          <w:rFonts w:hint="default" w:ascii="Times New Roman" w:hAnsi="Times New Roman" w:eastAsia="方正仿宋简体" w:cs="Times New Roman"/>
          <w:i w:val="0"/>
          <w:caps w:val="0"/>
          <w:color w:val="444444"/>
          <w:spacing w:val="0"/>
          <w:sz w:val="32"/>
          <w:szCs w:val="32"/>
          <w:shd w:val="clear" w:fill="FFFFFF"/>
          <w:lang w:eastAsia="zh-CN"/>
        </w:rPr>
        <w:t>无其他需要报告的事项</w:t>
      </w:r>
    </w:p>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方正仿宋简体">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600896"/>
    <w:rsid w:val="10684BE5"/>
    <w:rsid w:val="11110C98"/>
    <w:rsid w:val="13587F35"/>
    <w:rsid w:val="1AA47312"/>
    <w:rsid w:val="1B1A5020"/>
    <w:rsid w:val="1E291DED"/>
    <w:rsid w:val="290B2992"/>
    <w:rsid w:val="34122262"/>
    <w:rsid w:val="3CF85C24"/>
    <w:rsid w:val="43EA36CA"/>
    <w:rsid w:val="43EE43A0"/>
    <w:rsid w:val="59082AA3"/>
    <w:rsid w:val="5F011AC9"/>
    <w:rsid w:val="5F062A45"/>
    <w:rsid w:val="6B0E72EE"/>
    <w:rsid w:val="6E205E67"/>
    <w:rsid w:val="6F9A5699"/>
    <w:rsid w:val="71A1667A"/>
    <w:rsid w:val="7F6008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30</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2021-01-18T00:57:00Z</dcterms:created>
  <dc:creator>111</dc:creator>
  <cp:lastModifiedBy>……</cp:lastModifiedBy>
  <dcterms:modified xsi:type="dcterms:W3CDTF">2021-01-26T02:02:07Z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KSOSaveFontToCloudKey">
    <vt:lpwstr>494631231_btnclosed</vt:lpwstr>
  </property>
</Properties>
</file>