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39DC7">
      <w:pPr>
        <w:keepNext w:val="0"/>
        <w:keepLines w:val="0"/>
        <w:pageBreakBefore w:val="0"/>
        <w:kinsoku/>
        <w:wordWrap/>
        <w:overflowPunct/>
        <w:topLinePunct w:val="0"/>
        <w:autoSpaceDE/>
        <w:autoSpaceDN/>
        <w:bidi w:val="0"/>
        <w:adjustRightInd/>
        <w:snapToGrid/>
        <w:spacing w:line="580" w:lineRule="exact"/>
        <w:ind w:left="0" w:leftChars="0" w:right="0" w:rightChars="0"/>
        <w:rPr>
          <w:rFonts w:ascii="Times New Roman" w:hAnsi="Times New Roman" w:eastAsia="方正仿宋简体"/>
          <w:b/>
          <w:snapToGrid w:val="0"/>
          <w:color w:val="auto"/>
          <w:spacing w:val="0"/>
          <w:sz w:val="32"/>
          <w:szCs w:val="32"/>
        </w:rPr>
      </w:pPr>
    </w:p>
    <w:p w14:paraId="3D2AA888">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0"/>
        <w:rPr>
          <w:rFonts w:hint="eastAsia" w:ascii="Times New Roman" w:hAnsi="Times New Roman" w:eastAsia="方正小标宋简体"/>
          <w:b/>
          <w:snapToGrid w:val="0"/>
          <w:color w:val="auto"/>
          <w:spacing w:val="0"/>
          <w:sz w:val="44"/>
          <w:szCs w:val="44"/>
          <w:lang w:eastAsia="zh-CN"/>
        </w:rPr>
      </w:pPr>
      <w:r>
        <w:rPr>
          <w:rFonts w:hint="eastAsia" w:ascii="Times New Roman" w:hAnsi="Times New Roman" w:eastAsia="方正小标宋简体"/>
          <w:b/>
          <w:snapToGrid w:val="0"/>
          <w:color w:val="auto"/>
          <w:spacing w:val="0"/>
          <w:sz w:val="44"/>
          <w:szCs w:val="44"/>
          <w:lang w:val="en-US" w:eastAsia="zh-CN"/>
        </w:rPr>
        <w:t>济宁高新区</w:t>
      </w:r>
      <w:r>
        <w:rPr>
          <w:rFonts w:hint="eastAsia" w:ascii="Times New Roman" w:hAnsi="Times New Roman" w:eastAsia="方正小标宋简体"/>
          <w:b/>
          <w:snapToGrid w:val="0"/>
          <w:color w:val="auto"/>
          <w:spacing w:val="0"/>
          <w:sz w:val="44"/>
          <w:szCs w:val="44"/>
          <w:lang w:eastAsia="zh-CN"/>
        </w:rPr>
        <w:t>王因街道</w:t>
      </w:r>
      <w:r>
        <w:rPr>
          <w:rFonts w:hint="eastAsia" w:ascii="Times New Roman" w:hAnsi="Times New Roman" w:eastAsia="方正小标宋简体"/>
          <w:b/>
          <w:snapToGrid w:val="0"/>
          <w:color w:val="auto"/>
          <w:spacing w:val="0"/>
          <w:sz w:val="44"/>
          <w:szCs w:val="44"/>
          <w:lang w:val="en-US" w:eastAsia="zh-CN"/>
        </w:rPr>
        <w:t>办事处</w:t>
      </w:r>
      <w:r>
        <w:rPr>
          <w:rFonts w:hint="eastAsia" w:ascii="Times New Roman" w:hAnsi="Times New Roman" w:eastAsia="方正小标宋简体"/>
          <w:b/>
          <w:snapToGrid w:val="0"/>
          <w:color w:val="auto"/>
          <w:spacing w:val="0"/>
          <w:sz w:val="44"/>
          <w:szCs w:val="44"/>
          <w:lang w:eastAsia="zh-CN"/>
        </w:rPr>
        <w:t>2024</w:t>
      </w:r>
      <w:r>
        <w:rPr>
          <w:rFonts w:hint="eastAsia" w:ascii="Times New Roman" w:hAnsi="Times New Roman" w:eastAsia="方正小标宋简体"/>
          <w:b/>
          <w:snapToGrid w:val="0"/>
          <w:color w:val="auto"/>
          <w:spacing w:val="0"/>
          <w:sz w:val="44"/>
          <w:szCs w:val="44"/>
        </w:rPr>
        <w:t>年政府信息公开工作年度报告</w:t>
      </w:r>
    </w:p>
    <w:p w14:paraId="4F35DC2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snapToGrid w:val="0"/>
          <w:color w:val="auto"/>
          <w:spacing w:val="0"/>
          <w:sz w:val="32"/>
          <w:szCs w:val="32"/>
        </w:rPr>
      </w:pPr>
    </w:p>
    <w:p w14:paraId="7DB02544">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jc w:val="both"/>
        <w:rPr>
          <w:rFonts w:ascii="Times New Roman" w:hAnsi="Times New Roman" w:eastAsia="方正仿宋简体"/>
          <w:b/>
          <w:snapToGrid w:val="0"/>
          <w:color w:val="auto"/>
          <w:spacing w:val="0"/>
          <w:sz w:val="32"/>
          <w:szCs w:val="32"/>
        </w:rPr>
      </w:pPr>
      <w:r>
        <w:rPr>
          <w:rFonts w:hint="eastAsia" w:ascii="Times New Roman" w:hAnsi="Times New Roman" w:eastAsia="方正仿宋简体"/>
          <w:b/>
          <w:snapToGrid w:val="0"/>
          <w:color w:val="auto"/>
          <w:spacing w:val="0"/>
          <w:sz w:val="32"/>
          <w:szCs w:val="32"/>
        </w:rPr>
        <w:t>本报告由</w:t>
      </w:r>
      <w:r>
        <w:rPr>
          <w:rFonts w:hint="eastAsia" w:ascii="Times New Roman" w:hAnsi="Times New Roman" w:eastAsia="方正仿宋简体"/>
          <w:b/>
          <w:snapToGrid w:val="0"/>
          <w:color w:val="auto"/>
          <w:spacing w:val="0"/>
          <w:sz w:val="32"/>
          <w:szCs w:val="32"/>
          <w:lang w:eastAsia="zh-CN"/>
        </w:rPr>
        <w:t>王因街道</w:t>
      </w:r>
      <w:r>
        <w:rPr>
          <w:rFonts w:hint="eastAsia" w:ascii="Times New Roman" w:hAnsi="Times New Roman" w:eastAsia="方正仿宋简体"/>
          <w:b/>
          <w:snapToGrid w:val="0"/>
          <w:color w:val="auto"/>
          <w:spacing w:val="0"/>
          <w:sz w:val="32"/>
          <w:szCs w:val="32"/>
        </w:rPr>
        <w:t>按照《中华人民共和国政府信息公开条例》（以下简称《条例》）和《中华人民共和国政府信息公开工作年度报告格式》（国办公开办函〔2021〕30号）要求编制。</w:t>
      </w:r>
    </w:p>
    <w:p w14:paraId="64600108">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jc w:val="both"/>
        <w:rPr>
          <w:rFonts w:hint="eastAsia" w:ascii="Times New Roman" w:hAnsi="Times New Roman" w:eastAsia="方正仿宋简体"/>
          <w:b/>
          <w:snapToGrid w:val="0"/>
          <w:color w:val="auto"/>
          <w:spacing w:val="0"/>
          <w:sz w:val="32"/>
          <w:szCs w:val="32"/>
        </w:rPr>
      </w:pPr>
      <w:r>
        <w:rPr>
          <w:rFonts w:hint="eastAsia" w:ascii="Times New Roman" w:hAnsi="Times New Roman" w:eastAsia="方正仿宋简体"/>
          <w:b/>
          <w:snapToGrid w:val="0"/>
          <w:color w:val="auto"/>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A48E387">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jc w:val="both"/>
        <w:rPr>
          <w:rFonts w:ascii="Times New Roman" w:hAnsi="Times New Roman" w:eastAsia="方正仿宋简体"/>
          <w:b/>
          <w:snapToGrid w:val="0"/>
          <w:color w:val="auto"/>
          <w:spacing w:val="0"/>
          <w:sz w:val="32"/>
          <w:szCs w:val="32"/>
        </w:rPr>
      </w:pPr>
      <w:r>
        <w:rPr>
          <w:rStyle w:val="10"/>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10"/>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10"/>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10"/>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10"/>
          <w:rFonts w:hint="eastAsia" w:ascii="方正仿宋简体" w:hAnsi="方正仿宋简体" w:eastAsia="方正仿宋简体" w:cs="方正仿宋简体"/>
          <w:b/>
          <w:bCs w:val="0"/>
          <w:i w:val="0"/>
          <w:iCs w:val="0"/>
          <w:caps w:val="0"/>
          <w:color w:val="auto"/>
          <w:spacing w:val="0"/>
          <w:kern w:val="2"/>
          <w:sz w:val="32"/>
          <w:szCs w:val="32"/>
          <w:lang w:bidi="ar-SA"/>
        </w:rPr>
        <w:t>年12月31日止。本报告电子版可在“济宁国家高新技术产业开发区”管委会门户网站（http://www.jnhn.gov.cn）查阅或下载。</w:t>
      </w:r>
      <w:r>
        <w:rPr>
          <w:rFonts w:hint="eastAsia" w:ascii="Times New Roman" w:hAnsi="Times New Roman" w:eastAsia="方正仿宋简体"/>
          <w:b/>
          <w:snapToGrid w:val="0"/>
          <w:color w:val="auto"/>
          <w:spacing w:val="0"/>
          <w:sz w:val="32"/>
          <w:szCs w:val="32"/>
        </w:rPr>
        <w:t>如对本报告有疑问，请与王因街道办事处联系（地址：济宁高新区王因街道办事处，联系电话：0537-3</w:t>
      </w:r>
      <w:r>
        <w:rPr>
          <w:rFonts w:hint="eastAsia" w:ascii="Times New Roman" w:hAnsi="Times New Roman" w:eastAsia="方正仿宋简体"/>
          <w:b/>
          <w:snapToGrid w:val="0"/>
          <w:color w:val="auto"/>
          <w:spacing w:val="0"/>
          <w:sz w:val="32"/>
          <w:szCs w:val="32"/>
          <w:lang w:val="en-US" w:eastAsia="zh-CN"/>
        </w:rPr>
        <w:t>862109</w:t>
      </w:r>
      <w:r>
        <w:rPr>
          <w:rFonts w:hint="eastAsia" w:ascii="Times New Roman" w:hAnsi="Times New Roman" w:eastAsia="方正仿宋简体"/>
          <w:b/>
          <w:snapToGrid w:val="0"/>
          <w:color w:val="auto"/>
          <w:spacing w:val="0"/>
          <w:sz w:val="32"/>
          <w:szCs w:val="32"/>
        </w:rPr>
        <w:t>）。</w:t>
      </w:r>
    </w:p>
    <w:p w14:paraId="1DB8AD27">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一、总体情况</w:t>
      </w:r>
    </w:p>
    <w:p w14:paraId="4F46AD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jc w:val="both"/>
        <w:rPr>
          <w:rFonts w:hint="default" w:ascii="Times New Roman" w:hAnsi="Times New Roman" w:eastAsia="方正仿宋简体" w:cs="方正仿宋简体"/>
          <w:b/>
          <w:snapToGrid w:val="0"/>
          <w:color w:val="auto"/>
          <w:spacing w:val="0"/>
          <w:sz w:val="32"/>
          <w:szCs w:val="32"/>
          <w:shd w:val="clear" w:color="auto" w:fill="FFFFFF"/>
          <w:lang w:val="en-US" w:eastAsia="zh-CN"/>
        </w:rPr>
      </w:pPr>
      <w:r>
        <w:rPr>
          <w:rFonts w:hint="eastAsia" w:ascii="Times New Roman" w:hAnsi="Times New Roman" w:eastAsia="方正仿宋简体" w:cs="方正仿宋简体"/>
          <w:b/>
          <w:snapToGrid w:val="0"/>
          <w:color w:val="auto"/>
          <w:spacing w:val="0"/>
          <w:sz w:val="32"/>
          <w:szCs w:val="32"/>
          <w:shd w:val="clear" w:color="auto" w:fill="FFFFFF"/>
          <w:lang w:eastAsia="zh-CN"/>
        </w:rPr>
        <w:t>2024年，</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王因</w:t>
      </w:r>
      <w:r>
        <w:rPr>
          <w:rFonts w:hint="eastAsia" w:ascii="Times New Roman" w:hAnsi="Times New Roman" w:eastAsia="方正仿宋简体" w:cs="方正仿宋简体"/>
          <w:b/>
          <w:snapToGrid w:val="0"/>
          <w:color w:val="auto"/>
          <w:spacing w:val="0"/>
          <w:sz w:val="32"/>
          <w:szCs w:val="32"/>
          <w:shd w:val="clear" w:color="auto" w:fill="FFFFFF"/>
          <w:lang w:eastAsia="zh-CN"/>
        </w:rPr>
        <w:t>街道办事处紧密围绕民众需求，积极落实政府信息公开工作。在政务信息公开方面，遵循公正、公平、合法、便民的原则，着力提高信息公开的时效性、准确性与全面性。</w:t>
      </w:r>
    </w:p>
    <w:p w14:paraId="5E33C3FA">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（一）主动公开情况</w:t>
      </w:r>
    </w:p>
    <w:p w14:paraId="724666F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color w:val="auto"/>
          <w:lang w:eastAsia="zh-CN"/>
        </w:rPr>
      </w:pPr>
      <w:r>
        <w:rPr>
          <w:rFonts w:hint="eastAsia" w:ascii="Times New Roman" w:hAnsi="Times New Roman" w:eastAsia="方正仿宋简体"/>
          <w:b/>
          <w:snapToGrid w:val="0"/>
          <w:color w:val="auto"/>
          <w:spacing w:val="0"/>
          <w:sz w:val="32"/>
          <w:szCs w:val="32"/>
          <w:lang w:eastAsia="zh-CN"/>
        </w:rPr>
        <w:t>2024</w:t>
      </w:r>
      <w:r>
        <w:rPr>
          <w:rFonts w:hint="eastAsia" w:ascii="Times New Roman" w:hAnsi="Times New Roman" w:eastAsia="方正仿宋简体"/>
          <w:b/>
          <w:snapToGrid w:val="0"/>
          <w:color w:val="auto"/>
          <w:spacing w:val="0"/>
          <w:sz w:val="32"/>
          <w:szCs w:val="32"/>
        </w:rPr>
        <w:t>年</w:t>
      </w:r>
      <w:r>
        <w:rPr>
          <w:rFonts w:hint="eastAsia" w:ascii="Times New Roman" w:hAnsi="Times New Roman"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lang w:val="en-US" w:eastAsia="zh-CN"/>
        </w:rPr>
        <w:t>街道</w:t>
      </w:r>
      <w:r>
        <w:rPr>
          <w:rFonts w:hint="eastAsia" w:ascii="Times New Roman" w:hAnsi="Times New Roman" w:eastAsia="方正仿宋简体"/>
          <w:b/>
          <w:snapToGrid w:val="0"/>
          <w:color w:val="auto"/>
          <w:spacing w:val="0"/>
          <w:sz w:val="32"/>
          <w:szCs w:val="32"/>
        </w:rPr>
        <w:t>通过</w:t>
      </w:r>
      <w:r>
        <w:rPr>
          <w:rFonts w:hint="eastAsia" w:ascii="Times New Roman" w:hAnsi="Times New Roman" w:eastAsia="方正仿宋简体"/>
          <w:b/>
          <w:snapToGrid w:val="0"/>
          <w:color w:val="auto"/>
          <w:spacing w:val="0"/>
          <w:sz w:val="32"/>
          <w:szCs w:val="32"/>
          <w:lang w:val="en-US" w:eastAsia="zh-CN"/>
        </w:rPr>
        <w:t>高新区管委会</w:t>
      </w:r>
      <w:r>
        <w:rPr>
          <w:rFonts w:hint="eastAsia" w:ascii="Times New Roman" w:hAnsi="Times New Roman" w:eastAsia="方正仿宋简体"/>
          <w:b/>
          <w:snapToGrid w:val="0"/>
          <w:color w:val="auto"/>
          <w:spacing w:val="0"/>
          <w:sz w:val="32"/>
          <w:szCs w:val="32"/>
        </w:rPr>
        <w:t>官方网站以及办事服务大厅公示栏等多元渠道进行</w:t>
      </w:r>
      <w:r>
        <w:rPr>
          <w:rFonts w:hint="eastAsia" w:ascii="Times New Roman" w:hAnsi="Times New Roman" w:eastAsia="方正仿宋简体"/>
          <w:b/>
          <w:snapToGrid w:val="0"/>
          <w:color w:val="auto"/>
          <w:spacing w:val="0"/>
          <w:sz w:val="32"/>
          <w:szCs w:val="32"/>
          <w:lang w:val="en-US" w:eastAsia="zh-CN"/>
        </w:rPr>
        <w:t>主动</w:t>
      </w:r>
      <w:r>
        <w:rPr>
          <w:rFonts w:hint="eastAsia" w:ascii="Times New Roman" w:hAnsi="Times New Roman" w:eastAsia="方正仿宋简体"/>
          <w:b/>
          <w:snapToGrid w:val="0"/>
          <w:color w:val="auto"/>
          <w:spacing w:val="0"/>
          <w:sz w:val="32"/>
          <w:szCs w:val="32"/>
        </w:rPr>
        <w:t>公开，方便民众及时获取相关信息</w:t>
      </w:r>
      <w:r>
        <w:rPr>
          <w:rFonts w:hint="eastAsia" w:ascii="Times New Roman" w:hAnsi="Times New Roman"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lang w:val="en-US" w:eastAsia="zh-CN"/>
        </w:rPr>
        <w:t>主动</w:t>
      </w:r>
      <w:r>
        <w:rPr>
          <w:rFonts w:hint="eastAsia" w:ascii="Times New Roman" w:hAnsi="Times New Roman" w:eastAsia="方正仿宋简体"/>
          <w:b/>
          <w:snapToGrid w:val="0"/>
          <w:color w:val="auto"/>
          <w:spacing w:val="0"/>
          <w:sz w:val="32"/>
          <w:szCs w:val="32"/>
        </w:rPr>
        <w:t>公开</w:t>
      </w:r>
      <w:r>
        <w:rPr>
          <w:rFonts w:hint="eastAsia" w:ascii="Times New Roman" w:hAnsi="Times New Roman" w:eastAsia="方正仿宋简体"/>
          <w:b/>
          <w:snapToGrid w:val="0"/>
          <w:color w:val="auto"/>
          <w:spacing w:val="0"/>
          <w:sz w:val="32"/>
          <w:szCs w:val="32"/>
          <w:lang w:val="en-US" w:eastAsia="zh-CN"/>
        </w:rPr>
        <w:t>内容</w:t>
      </w:r>
      <w:r>
        <w:rPr>
          <w:rFonts w:hint="eastAsia" w:ascii="Times New Roman" w:hAnsi="Times New Roman" w:eastAsia="方正仿宋简体"/>
          <w:b/>
          <w:snapToGrid w:val="0"/>
          <w:color w:val="auto"/>
          <w:spacing w:val="0"/>
          <w:sz w:val="32"/>
          <w:szCs w:val="32"/>
        </w:rPr>
        <w:t>涵盖</w:t>
      </w:r>
      <w:r>
        <w:rPr>
          <w:rFonts w:hint="eastAsia" w:ascii="Times New Roman" w:hAnsi="Times New Roman" w:eastAsia="方正仿宋简体"/>
          <w:b/>
          <w:snapToGrid w:val="0"/>
          <w:color w:val="auto"/>
          <w:spacing w:val="0"/>
          <w:sz w:val="32"/>
          <w:szCs w:val="32"/>
          <w:lang w:val="en-US" w:eastAsia="zh-CN"/>
        </w:rPr>
        <w:t>了</w:t>
      </w:r>
      <w:r>
        <w:rPr>
          <w:rFonts w:hint="eastAsia" w:ascii="Times New Roman" w:hAnsi="Times New Roman" w:eastAsia="方正仿宋简体"/>
          <w:b/>
          <w:snapToGrid w:val="0"/>
          <w:color w:val="auto"/>
          <w:spacing w:val="0"/>
          <w:sz w:val="32"/>
          <w:szCs w:val="32"/>
        </w:rPr>
        <w:t>街道政策法规、工作动态、民生项目进展等多方面。</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2024年</w:t>
      </w:r>
      <w:r>
        <w:rPr>
          <w:rFonts w:hint="eastAsia" w:ascii="Times New Roman" w:hAnsi="Times New Roman" w:eastAsia="方正仿宋简体" w:cs="方正仿宋简体"/>
          <w:b/>
          <w:snapToGrid w:val="0"/>
          <w:color w:val="auto"/>
          <w:spacing w:val="0"/>
          <w:sz w:val="32"/>
          <w:szCs w:val="32"/>
          <w:shd w:val="clear" w:color="auto" w:fill="FFFFFF"/>
        </w:rPr>
        <w:t>我街道累计在济宁高新区管委会门户网站上主动公开政府信息</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19</w:t>
      </w:r>
      <w:r>
        <w:rPr>
          <w:rFonts w:hint="eastAsia" w:ascii="Times New Roman" w:hAnsi="Times New Roman" w:eastAsia="方正仿宋简体" w:cs="方正仿宋简体"/>
          <w:b/>
          <w:snapToGrid w:val="0"/>
          <w:color w:val="auto"/>
          <w:spacing w:val="0"/>
          <w:sz w:val="32"/>
          <w:szCs w:val="32"/>
          <w:shd w:val="clear" w:color="auto" w:fill="FFFFFF"/>
        </w:rPr>
        <w:t>条，</w:t>
      </w:r>
      <w:r>
        <w:rPr>
          <w:rFonts w:hint="eastAsia" w:ascii="Times New Roman" w:hAnsi="Times New Roman" w:eastAsia="方正仿宋简体" w:cs="方正仿宋简体"/>
          <w:b/>
          <w:snapToGrid w:val="0"/>
          <w:color w:val="auto"/>
          <w:spacing w:val="0"/>
          <w:sz w:val="32"/>
          <w:szCs w:val="32"/>
          <w:shd w:val="clear" w:color="auto" w:fill="FFFFFF"/>
          <w:lang w:val="en-US" w:eastAsia="zh-CN"/>
        </w:rPr>
        <w:t>其中街道办事处文件1条、街道会议2条、部门预算2条、公开招聘3条、公益性活动2条、通知公告3条、应急预案1条、预警信息2条、主动公开基本目录1条、试点领域标准目录1条、政务公开工作推进1条。</w:t>
      </w:r>
    </w:p>
    <w:p w14:paraId="3ABF5372">
      <w:pPr>
        <w:keepNext w:val="0"/>
        <w:keepLines w:val="0"/>
        <w:pageBreakBefore w:val="0"/>
        <w:kinsoku/>
        <w:wordWrap/>
        <w:overflowPunct/>
        <w:topLinePunct w:val="0"/>
        <w:autoSpaceDE/>
        <w:autoSpaceDN/>
        <w:bidi w:val="0"/>
        <w:adjustRightInd/>
        <w:snapToGrid/>
        <w:spacing w:line="580" w:lineRule="exact"/>
        <w:ind w:left="0" w:leftChars="0" w:right="0" w:rightChars="0" w:firstLine="384" w:firstLineChars="200"/>
        <w:rPr>
          <w:rFonts w:ascii="Times New Roman" w:hAnsi="Times New Roman" w:eastAsia="方正楷体简体"/>
          <w:b/>
          <w:snapToGrid w:val="0"/>
          <w:color w:val="auto"/>
          <w:spacing w:val="0"/>
          <w:sz w:val="32"/>
          <w:szCs w:val="32"/>
        </w:rPr>
      </w:pPr>
      <w:r>
        <w:rPr>
          <w:rFonts w:ascii="Times New Roman" w:hAnsi="Times New Roman"/>
          <w:color w:val="auto"/>
        </w:rPr>
        <w:drawing>
          <wp:anchor distT="0" distB="0" distL="114300" distR="114300" simplePos="0" relativeHeight="251659264" behindDoc="0" locked="0" layoutInCell="1" allowOverlap="1">
            <wp:simplePos x="0" y="0"/>
            <wp:positionH relativeFrom="column">
              <wp:posOffset>485775</wp:posOffset>
            </wp:positionH>
            <wp:positionV relativeFrom="page">
              <wp:posOffset>3465195</wp:posOffset>
            </wp:positionV>
            <wp:extent cx="4572000" cy="2743200"/>
            <wp:effectExtent l="4445" t="4445" r="1460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方正楷体简体"/>
          <w:b/>
          <w:snapToGrid w:val="0"/>
          <w:color w:val="auto"/>
          <w:spacing w:val="0"/>
          <w:sz w:val="32"/>
          <w:szCs w:val="32"/>
        </w:rPr>
        <w:t>（二）依申请公开情况</w:t>
      </w:r>
    </w:p>
    <w:p w14:paraId="7472A9C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规范依申请公开的受理、审查、处理、答复等流程。2024年共收到政府信息依申请公开7件，较去年新增6件，均在规定时间内，严格按照相关法律法规及程序进行答复与处理。7件事项申请人均为自然人，申请内容涉及征地拆迁。调查核实后，该信息均不属于本街道信息公开范畴，无法予以提供。</w:t>
      </w:r>
    </w:p>
    <w:p w14:paraId="7AB35AEF">
      <w:pPr>
        <w:pStyle w:val="2"/>
        <w:rPr>
          <w:rFonts w:hint="eastAsia"/>
          <w:lang w:val="en-US" w:eastAsia="zh-CN"/>
        </w:rPr>
      </w:pPr>
    </w:p>
    <w:tbl>
      <w:tblPr>
        <w:tblStyle w:val="8"/>
        <w:tblW w:w="7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0"/>
        <w:gridCol w:w="1950"/>
      </w:tblGrid>
      <w:tr w14:paraId="1BB3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A181">
            <w:pPr>
              <w:keepNext w:val="0"/>
              <w:keepLines w:val="0"/>
              <w:widowControl/>
              <w:suppressLineNumbers w:val="0"/>
              <w:jc w:val="center"/>
              <w:textAlignment w:val="center"/>
              <w:rPr>
                <w:rFonts w:ascii="Times New Roman" w:hAnsi="Times New Roman" w:eastAsia="方正黑体简体" w:cs="方正黑体简体"/>
                <w:i w:val="0"/>
                <w:color w:val="auto"/>
                <w:sz w:val="32"/>
                <w:szCs w:val="32"/>
                <w:u w:val="none"/>
              </w:rPr>
            </w:pPr>
            <w:r>
              <w:rPr>
                <w:rFonts w:hint="eastAsia" w:ascii="Times New Roman" w:hAnsi="Times New Roman" w:eastAsia="方正黑体简体" w:cs="方正黑体简体"/>
                <w:i w:val="0"/>
                <w:color w:val="auto"/>
                <w:kern w:val="0"/>
                <w:sz w:val="32"/>
                <w:szCs w:val="32"/>
                <w:u w:val="none"/>
                <w:lang w:val="en-US" w:eastAsia="zh-CN" w:bidi="ar"/>
              </w:rPr>
              <w:t>王因街道依申请公开处理情况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730">
            <w:pPr>
              <w:keepNext w:val="0"/>
              <w:keepLines w:val="0"/>
              <w:widowControl/>
              <w:suppressLineNumbers w:val="0"/>
              <w:jc w:val="center"/>
              <w:textAlignment w:val="center"/>
              <w:rPr>
                <w:rFonts w:hint="eastAsia" w:ascii="Times New Roman" w:hAnsi="Times New Roman" w:eastAsia="方正黑体简体" w:cs="方正黑体简体"/>
                <w:i w:val="0"/>
                <w:color w:val="auto"/>
                <w:sz w:val="32"/>
                <w:szCs w:val="32"/>
                <w:u w:val="none"/>
              </w:rPr>
            </w:pPr>
            <w:r>
              <w:rPr>
                <w:rFonts w:hint="eastAsia" w:ascii="Times New Roman" w:hAnsi="Times New Roman" w:eastAsia="方正黑体简体" w:cs="方正黑体简体"/>
                <w:i w:val="0"/>
                <w:color w:val="auto"/>
                <w:kern w:val="0"/>
                <w:sz w:val="32"/>
                <w:szCs w:val="32"/>
                <w:u w:val="none"/>
                <w:lang w:val="en-US" w:eastAsia="zh-CN" w:bidi="ar"/>
              </w:rPr>
              <w:t>件数</w:t>
            </w:r>
          </w:p>
        </w:tc>
      </w:tr>
      <w:tr w14:paraId="59D6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22A3">
            <w:pPr>
              <w:keepNext w:val="0"/>
              <w:keepLines w:val="0"/>
              <w:widowControl/>
              <w:suppressLineNumbers w:val="0"/>
              <w:jc w:val="center"/>
              <w:textAlignment w:val="center"/>
              <w:rPr>
                <w:rFonts w:ascii="Times New Roman" w:hAnsi="Times New Roman" w:eastAsia="方正仿宋简体" w:cs="方正仿宋简体"/>
                <w:b/>
                <w:bCs/>
                <w:i w:val="0"/>
                <w:color w:val="auto"/>
                <w:sz w:val="32"/>
                <w:szCs w:val="32"/>
                <w:u w:val="none"/>
              </w:rPr>
            </w:pPr>
            <w:r>
              <w:rPr>
                <w:rFonts w:hint="eastAsia" w:ascii="Times New Roman" w:hAnsi="Times New Roman" w:eastAsia="方正仿宋简体" w:cs="方正仿宋简体"/>
                <w:b/>
                <w:bCs/>
                <w:i w:val="0"/>
                <w:color w:val="auto"/>
                <w:kern w:val="0"/>
                <w:sz w:val="32"/>
                <w:szCs w:val="32"/>
                <w:u w:val="none"/>
                <w:lang w:val="en-US" w:eastAsia="zh-CN" w:bidi="ar"/>
              </w:rPr>
              <w:t>同意公开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0E2B">
            <w:pPr>
              <w:keepNext w:val="0"/>
              <w:keepLines w:val="0"/>
              <w:widowControl/>
              <w:suppressLineNumbers w:val="0"/>
              <w:jc w:val="center"/>
              <w:textAlignment w:val="center"/>
              <w:rPr>
                <w:rFonts w:hint="eastAsia" w:ascii="Times New Roman" w:hAnsi="Times New Roman" w:eastAsia="宋体" w:cs="宋体"/>
                <w:b/>
                <w:bCs/>
                <w:i w:val="0"/>
                <w:color w:val="auto"/>
                <w:sz w:val="32"/>
                <w:szCs w:val="32"/>
                <w:u w:val="none"/>
              </w:rPr>
            </w:pPr>
            <w:r>
              <w:rPr>
                <w:rFonts w:hint="eastAsia" w:ascii="Times New Roman" w:hAnsi="Times New Roman" w:eastAsia="宋体" w:cs="宋体"/>
                <w:b/>
                <w:bCs/>
                <w:i w:val="0"/>
                <w:color w:val="auto"/>
                <w:kern w:val="0"/>
                <w:sz w:val="32"/>
                <w:szCs w:val="32"/>
                <w:u w:val="none"/>
                <w:lang w:val="en-US" w:eastAsia="zh-CN" w:bidi="ar"/>
              </w:rPr>
              <w:t>0</w:t>
            </w:r>
          </w:p>
        </w:tc>
      </w:tr>
      <w:tr w14:paraId="28DA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40F9">
            <w:pPr>
              <w:keepNext w:val="0"/>
              <w:keepLines w:val="0"/>
              <w:widowControl/>
              <w:suppressLineNumbers w:val="0"/>
              <w:jc w:val="center"/>
              <w:textAlignment w:val="center"/>
              <w:rPr>
                <w:rFonts w:hint="eastAsia" w:ascii="Times New Roman" w:hAnsi="Times New Roman" w:eastAsia="方正仿宋简体" w:cs="方正仿宋简体"/>
                <w:b/>
                <w:bCs/>
                <w:i w:val="0"/>
                <w:color w:val="auto"/>
                <w:sz w:val="32"/>
                <w:szCs w:val="32"/>
                <w:u w:val="none"/>
              </w:rPr>
            </w:pPr>
            <w:r>
              <w:rPr>
                <w:rFonts w:hint="eastAsia" w:ascii="Times New Roman" w:hAnsi="Times New Roman" w:eastAsia="方正仿宋简体" w:cs="方正仿宋简体"/>
                <w:b/>
                <w:bCs/>
                <w:i w:val="0"/>
                <w:color w:val="auto"/>
                <w:kern w:val="0"/>
                <w:sz w:val="32"/>
                <w:szCs w:val="32"/>
                <w:u w:val="none"/>
                <w:lang w:val="en-US" w:eastAsia="zh-CN" w:bidi="ar"/>
              </w:rPr>
              <w:t>部分公开</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F3E5">
            <w:pPr>
              <w:keepNext w:val="0"/>
              <w:keepLines w:val="0"/>
              <w:widowControl/>
              <w:suppressLineNumbers w:val="0"/>
              <w:jc w:val="center"/>
              <w:textAlignment w:val="center"/>
              <w:rPr>
                <w:rFonts w:hint="eastAsia" w:ascii="Times New Roman" w:hAnsi="Times New Roman" w:eastAsia="宋体" w:cs="宋体"/>
                <w:b/>
                <w:bCs/>
                <w:i w:val="0"/>
                <w:color w:val="auto"/>
                <w:sz w:val="32"/>
                <w:szCs w:val="32"/>
                <w:u w:val="none"/>
              </w:rPr>
            </w:pPr>
            <w:r>
              <w:rPr>
                <w:rFonts w:hint="eastAsia" w:ascii="Times New Roman" w:hAnsi="Times New Roman" w:eastAsia="宋体" w:cs="宋体"/>
                <w:b/>
                <w:bCs/>
                <w:i w:val="0"/>
                <w:color w:val="auto"/>
                <w:kern w:val="0"/>
                <w:sz w:val="32"/>
                <w:szCs w:val="32"/>
                <w:u w:val="none"/>
                <w:lang w:val="en-US" w:eastAsia="zh-CN" w:bidi="ar"/>
              </w:rPr>
              <w:t>0</w:t>
            </w:r>
          </w:p>
        </w:tc>
      </w:tr>
      <w:tr w14:paraId="4A93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5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2141">
            <w:pPr>
              <w:keepNext w:val="0"/>
              <w:keepLines w:val="0"/>
              <w:widowControl/>
              <w:suppressLineNumbers w:val="0"/>
              <w:jc w:val="center"/>
              <w:textAlignment w:val="center"/>
              <w:rPr>
                <w:rFonts w:hint="eastAsia" w:ascii="Times New Roman" w:hAnsi="Times New Roman" w:eastAsia="方正仿宋简体" w:cs="方正仿宋简体"/>
                <w:b/>
                <w:bCs/>
                <w:i w:val="0"/>
                <w:color w:val="auto"/>
                <w:sz w:val="32"/>
                <w:szCs w:val="32"/>
                <w:u w:val="none"/>
              </w:rPr>
            </w:pPr>
            <w:r>
              <w:rPr>
                <w:rFonts w:hint="eastAsia" w:ascii="Times New Roman" w:hAnsi="Times New Roman" w:eastAsia="方正仿宋简体" w:cs="方正仿宋简体"/>
                <w:b/>
                <w:bCs/>
                <w:i w:val="0"/>
                <w:color w:val="auto"/>
                <w:kern w:val="0"/>
                <w:sz w:val="32"/>
                <w:szCs w:val="32"/>
                <w:u w:val="none"/>
                <w:lang w:val="en-US" w:eastAsia="zh-CN" w:bidi="ar"/>
              </w:rPr>
              <w:t>不予公开（非本机关制作或保存）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0173">
            <w:pPr>
              <w:keepNext w:val="0"/>
              <w:keepLines w:val="0"/>
              <w:widowControl/>
              <w:suppressLineNumbers w:val="0"/>
              <w:jc w:val="center"/>
              <w:textAlignment w:val="center"/>
              <w:rPr>
                <w:rFonts w:hint="eastAsia" w:ascii="Times New Roman" w:hAnsi="Times New Roman" w:eastAsia="宋体" w:cs="宋体"/>
                <w:b/>
                <w:bCs/>
                <w:i w:val="0"/>
                <w:color w:val="auto"/>
                <w:sz w:val="32"/>
                <w:szCs w:val="32"/>
                <w:u w:val="none"/>
              </w:rPr>
            </w:pPr>
            <w:r>
              <w:rPr>
                <w:rFonts w:hint="eastAsia" w:ascii="Times New Roman" w:hAnsi="Times New Roman" w:eastAsia="宋体" w:cs="宋体"/>
                <w:b/>
                <w:bCs/>
                <w:i w:val="0"/>
                <w:color w:val="auto"/>
                <w:kern w:val="0"/>
                <w:sz w:val="32"/>
                <w:szCs w:val="32"/>
                <w:u w:val="none"/>
                <w:lang w:val="en-US" w:eastAsia="zh-CN" w:bidi="ar"/>
              </w:rPr>
              <w:t>7</w:t>
            </w:r>
          </w:p>
        </w:tc>
      </w:tr>
    </w:tbl>
    <w:p w14:paraId="5A206B40">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（三）政府信息管理情况</w:t>
      </w:r>
    </w:p>
    <w:p w14:paraId="79AAA0FB">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街道建立健全了信息收集、审核、发布、保存等各项管理制度。街道各部门在信息产生之初进行审核，确保信息的真实性与合法性。在发布环节，明确专门的信息发布员，进行统筹管理，避免信息错发、重复发布等问题。对信息存档做到安全管理，以备查询需求。</w:t>
      </w:r>
    </w:p>
    <w:p w14:paraId="7D2B92CD">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（四）政府信息公开平台建设情况</w:t>
      </w:r>
    </w:p>
    <w:p w14:paraId="5D69F7CA">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王因街道持续配合好区大数据局进行政务信息维护，同时积极拓展信息公开渠道，利用政务服务大厅、社区宣传栏等场所，为群众提供更加便捷的信息获取方式。</w:t>
      </w:r>
    </w:p>
    <w:p w14:paraId="2459EB48">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snapToGrid w:val="0"/>
          <w:color w:val="auto"/>
          <w:spacing w:val="0"/>
          <w:sz w:val="32"/>
          <w:szCs w:val="32"/>
        </w:rPr>
      </w:pPr>
      <w:r>
        <w:rPr>
          <w:rFonts w:hint="eastAsia" w:ascii="Times New Roman" w:hAnsi="Times New Roman" w:eastAsia="方正楷体简体"/>
          <w:b/>
          <w:snapToGrid w:val="0"/>
          <w:color w:val="auto"/>
          <w:spacing w:val="0"/>
          <w:sz w:val="32"/>
          <w:szCs w:val="32"/>
        </w:rPr>
        <w:t>（五）监督保障情况</w:t>
      </w:r>
    </w:p>
    <w:p w14:paraId="3FEE148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pPr>
      <w:r>
        <w:rPr>
          <w:rFonts w:hint="eastAsia" w:ascii="Times New Roman" w:hAnsi="Times New Roman" w:eastAsia="方正仿宋简体" w:cs="方正仿宋简体"/>
          <w:b/>
          <w:snapToGrid w:val="0"/>
          <w:color w:val="auto"/>
          <w:spacing w:val="0"/>
          <w:kern w:val="0"/>
          <w:sz w:val="32"/>
          <w:szCs w:val="32"/>
          <w:shd w:val="clear" w:color="auto" w:fill="FFFFFF"/>
          <w:lang w:val="en-US" w:eastAsia="zh-CN" w:bidi="ar"/>
        </w:rPr>
        <w:t>王因街道强化内部监督，街道信息公开负责人定期对信息公开工作进行检查与评议。同时加强外部监督，主动接受民众与社会舆论的监督，设立信息公开意见箱，及时处理公众对信息公开工作的反馈意见。</w:t>
      </w:r>
    </w:p>
    <w:p w14:paraId="128125D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二、主动公开政府信息情况</w:t>
      </w:r>
    </w:p>
    <w:tbl>
      <w:tblPr>
        <w:tblStyle w:val="8"/>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2DA6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27DD16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第二十条第（一）项</w:t>
            </w:r>
          </w:p>
        </w:tc>
      </w:tr>
      <w:tr w14:paraId="0B6C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21C777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2133" w:type="dxa"/>
            <w:shd w:val="clear" w:color="auto" w:fill="auto"/>
            <w:noWrap w:val="0"/>
            <w:tcMar>
              <w:left w:w="57" w:type="dxa"/>
              <w:right w:w="57" w:type="dxa"/>
            </w:tcMar>
            <w:vAlign w:val="center"/>
          </w:tcPr>
          <w:p w14:paraId="7A184D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本年制发件数</w:t>
            </w:r>
          </w:p>
        </w:tc>
        <w:tc>
          <w:tcPr>
            <w:tcW w:w="2216" w:type="dxa"/>
            <w:shd w:val="clear" w:color="auto" w:fill="auto"/>
            <w:noWrap w:val="0"/>
            <w:tcMar>
              <w:left w:w="57" w:type="dxa"/>
              <w:right w:w="57" w:type="dxa"/>
            </w:tcMar>
            <w:vAlign w:val="center"/>
          </w:tcPr>
          <w:p w14:paraId="4384CFA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本年废止件数</w:t>
            </w:r>
          </w:p>
        </w:tc>
        <w:tc>
          <w:tcPr>
            <w:tcW w:w="1989" w:type="dxa"/>
            <w:shd w:val="clear" w:color="auto" w:fill="auto"/>
            <w:noWrap w:val="0"/>
            <w:tcMar>
              <w:left w:w="57" w:type="dxa"/>
              <w:right w:w="57" w:type="dxa"/>
            </w:tcMar>
            <w:vAlign w:val="center"/>
          </w:tcPr>
          <w:p w14:paraId="3D5A29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现行有效件数</w:t>
            </w:r>
          </w:p>
        </w:tc>
      </w:tr>
      <w:tr w14:paraId="231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68965E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规章</w:t>
            </w:r>
          </w:p>
        </w:tc>
        <w:tc>
          <w:tcPr>
            <w:tcW w:w="2133" w:type="dxa"/>
            <w:shd w:val="clear" w:color="auto" w:fill="auto"/>
            <w:noWrap w:val="0"/>
            <w:tcMar>
              <w:left w:w="57" w:type="dxa"/>
              <w:right w:w="57" w:type="dxa"/>
            </w:tcMar>
            <w:vAlign w:val="center"/>
          </w:tcPr>
          <w:p w14:paraId="313181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2216" w:type="dxa"/>
            <w:shd w:val="clear" w:color="auto" w:fill="auto"/>
            <w:noWrap w:val="0"/>
            <w:tcMar>
              <w:left w:w="57" w:type="dxa"/>
              <w:right w:w="57" w:type="dxa"/>
            </w:tcMar>
            <w:vAlign w:val="center"/>
          </w:tcPr>
          <w:p w14:paraId="03E740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1989" w:type="dxa"/>
            <w:shd w:val="clear" w:color="auto" w:fill="auto"/>
            <w:noWrap w:val="0"/>
            <w:tcMar>
              <w:left w:w="57" w:type="dxa"/>
              <w:right w:w="57" w:type="dxa"/>
            </w:tcMar>
            <w:vAlign w:val="center"/>
          </w:tcPr>
          <w:p w14:paraId="6776487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Calibri"/>
                <w:b/>
                <w:snapToGrid w:val="0"/>
                <w:color w:val="auto"/>
                <w:spacing w:val="0"/>
                <w:sz w:val="24"/>
                <w:lang w:val="en-US" w:eastAsia="zh-CN" w:bidi="ar"/>
              </w:rPr>
              <w:t>0</w:t>
            </w:r>
          </w:p>
        </w:tc>
      </w:tr>
      <w:tr w14:paraId="424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6EDD28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行政规范性文件</w:t>
            </w:r>
          </w:p>
        </w:tc>
        <w:tc>
          <w:tcPr>
            <w:tcW w:w="2133" w:type="dxa"/>
            <w:shd w:val="clear" w:color="auto" w:fill="auto"/>
            <w:noWrap w:val="0"/>
            <w:tcMar>
              <w:left w:w="57" w:type="dxa"/>
              <w:right w:w="57" w:type="dxa"/>
            </w:tcMar>
            <w:vAlign w:val="center"/>
          </w:tcPr>
          <w:p w14:paraId="7C923B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2216" w:type="dxa"/>
            <w:shd w:val="clear" w:color="auto" w:fill="auto"/>
            <w:noWrap w:val="0"/>
            <w:tcMar>
              <w:left w:w="57" w:type="dxa"/>
              <w:right w:w="57" w:type="dxa"/>
            </w:tcMar>
            <w:vAlign w:val="center"/>
          </w:tcPr>
          <w:p w14:paraId="66B03D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c>
          <w:tcPr>
            <w:tcW w:w="1989" w:type="dxa"/>
            <w:shd w:val="clear" w:color="auto" w:fill="auto"/>
            <w:noWrap w:val="0"/>
            <w:tcMar>
              <w:left w:w="57" w:type="dxa"/>
              <w:right w:w="57" w:type="dxa"/>
            </w:tcMar>
            <w:vAlign w:val="center"/>
          </w:tcPr>
          <w:p w14:paraId="0AE1D9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Calibri"/>
                <w:b/>
                <w:snapToGrid w:val="0"/>
                <w:color w:val="auto"/>
                <w:spacing w:val="0"/>
                <w:sz w:val="24"/>
                <w:lang w:val="en-US" w:eastAsia="zh-CN" w:bidi="ar"/>
              </w:rPr>
              <w:t>0</w:t>
            </w:r>
          </w:p>
        </w:tc>
      </w:tr>
      <w:tr w14:paraId="687F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748987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第二十条第（五）项</w:t>
            </w:r>
          </w:p>
        </w:tc>
      </w:tr>
      <w:tr w14:paraId="6756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2C53B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6338" w:type="dxa"/>
            <w:gridSpan w:val="3"/>
            <w:shd w:val="clear" w:color="auto" w:fill="auto"/>
            <w:noWrap w:val="0"/>
            <w:tcMar>
              <w:left w:w="57" w:type="dxa"/>
              <w:right w:w="57" w:type="dxa"/>
            </w:tcMar>
            <w:vAlign w:val="center"/>
          </w:tcPr>
          <w:p w14:paraId="388748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本年处理决定数量</w:t>
            </w:r>
          </w:p>
        </w:tc>
      </w:tr>
      <w:tr w14:paraId="5BC3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C8F4B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行政许可</w:t>
            </w:r>
          </w:p>
        </w:tc>
        <w:tc>
          <w:tcPr>
            <w:tcW w:w="6338" w:type="dxa"/>
            <w:gridSpan w:val="3"/>
            <w:shd w:val="clear" w:color="auto" w:fill="auto"/>
            <w:noWrap w:val="0"/>
            <w:tcMar>
              <w:left w:w="57" w:type="dxa"/>
              <w:right w:w="57" w:type="dxa"/>
            </w:tcMar>
            <w:vAlign w:val="center"/>
          </w:tcPr>
          <w:p w14:paraId="047498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eastAsia="zh-CN"/>
              </w:rPr>
            </w:pPr>
            <w:r>
              <w:rPr>
                <w:rFonts w:hint="eastAsia" w:ascii="Times New Roman" w:hAnsi="Times New Roman" w:eastAsia="方正仿宋简体" w:cs="Calibri"/>
                <w:b/>
                <w:snapToGrid w:val="0"/>
                <w:color w:val="auto"/>
                <w:spacing w:val="0"/>
                <w:sz w:val="24"/>
                <w:lang w:val="en-US" w:eastAsia="zh-CN" w:bidi="ar"/>
              </w:rPr>
              <w:t>0</w:t>
            </w:r>
          </w:p>
        </w:tc>
      </w:tr>
      <w:tr w14:paraId="0DCE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26663B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第二十条第（六）项</w:t>
            </w:r>
          </w:p>
        </w:tc>
      </w:tr>
      <w:tr w14:paraId="537E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3C5BF3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6338" w:type="dxa"/>
            <w:gridSpan w:val="3"/>
            <w:shd w:val="clear" w:color="auto" w:fill="auto"/>
            <w:noWrap w:val="0"/>
            <w:tcMar>
              <w:left w:w="57" w:type="dxa"/>
              <w:right w:w="57" w:type="dxa"/>
            </w:tcMar>
            <w:vAlign w:val="center"/>
          </w:tcPr>
          <w:p w14:paraId="126030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本年处理决定数量</w:t>
            </w:r>
          </w:p>
        </w:tc>
      </w:tr>
      <w:tr w14:paraId="7403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26432D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行政处罚</w:t>
            </w:r>
          </w:p>
        </w:tc>
        <w:tc>
          <w:tcPr>
            <w:tcW w:w="6338" w:type="dxa"/>
            <w:gridSpan w:val="3"/>
            <w:shd w:val="clear" w:color="auto" w:fill="auto"/>
            <w:noWrap w:val="0"/>
            <w:tcMar>
              <w:left w:w="57" w:type="dxa"/>
              <w:right w:w="57" w:type="dxa"/>
            </w:tcMar>
            <w:vAlign w:val="center"/>
          </w:tcPr>
          <w:p w14:paraId="670626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r>
      <w:tr w14:paraId="5184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36D8FF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行政强制</w:t>
            </w:r>
          </w:p>
        </w:tc>
        <w:tc>
          <w:tcPr>
            <w:tcW w:w="6338" w:type="dxa"/>
            <w:gridSpan w:val="3"/>
            <w:shd w:val="clear" w:color="auto" w:fill="auto"/>
            <w:noWrap w:val="0"/>
            <w:tcMar>
              <w:left w:w="57" w:type="dxa"/>
              <w:right w:w="57" w:type="dxa"/>
            </w:tcMar>
            <w:vAlign w:val="center"/>
          </w:tcPr>
          <w:p w14:paraId="273966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cs="宋体"/>
                <w:b/>
                <w:snapToGrid w:val="0"/>
                <w:color w:val="auto"/>
                <w:spacing w:val="0"/>
                <w:sz w:val="24"/>
                <w:lang w:val="en-US" w:eastAsia="zh-CN" w:bidi="ar"/>
              </w:rPr>
              <w:t>0</w:t>
            </w:r>
          </w:p>
        </w:tc>
      </w:tr>
      <w:tr w14:paraId="0C91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14:paraId="0B56C0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黑体简体" w:cs="宋体"/>
                <w:b/>
                <w:snapToGrid w:val="0"/>
                <w:color w:val="auto"/>
                <w:spacing w:val="0"/>
                <w:sz w:val="24"/>
                <w:lang w:bidi="ar"/>
              </w:rPr>
              <w:t>第二十条第（八）项</w:t>
            </w:r>
          </w:p>
        </w:tc>
      </w:tr>
      <w:tr w14:paraId="706C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74A41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信息内容</w:t>
            </w:r>
          </w:p>
        </w:tc>
        <w:tc>
          <w:tcPr>
            <w:tcW w:w="6338" w:type="dxa"/>
            <w:gridSpan w:val="3"/>
            <w:shd w:val="clear" w:color="auto" w:fill="auto"/>
            <w:noWrap w:val="0"/>
            <w:tcMar>
              <w:left w:w="57" w:type="dxa"/>
              <w:right w:w="57" w:type="dxa"/>
            </w:tcMar>
            <w:vAlign w:val="center"/>
          </w:tcPr>
          <w:p w14:paraId="51B6AA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本年收费金额（单位：万元）</w:t>
            </w:r>
          </w:p>
        </w:tc>
      </w:tr>
      <w:tr w14:paraId="55E6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14:paraId="5C12E5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snapToGrid w:val="0"/>
                <w:color w:val="auto"/>
                <w:spacing w:val="0"/>
                <w:sz w:val="24"/>
              </w:rPr>
            </w:pPr>
            <w:r>
              <w:rPr>
                <w:rFonts w:hint="eastAsia" w:ascii="Times New Roman" w:hAnsi="Times New Roman" w:eastAsia="方正仿宋简体" w:cs="宋体"/>
                <w:b/>
                <w:snapToGrid w:val="0"/>
                <w:color w:val="auto"/>
                <w:spacing w:val="0"/>
                <w:sz w:val="24"/>
                <w:lang w:bidi="ar"/>
              </w:rPr>
              <w:t>行政事业性收费</w:t>
            </w:r>
          </w:p>
        </w:tc>
        <w:tc>
          <w:tcPr>
            <w:tcW w:w="6338" w:type="dxa"/>
            <w:gridSpan w:val="3"/>
            <w:shd w:val="clear" w:color="auto" w:fill="auto"/>
            <w:noWrap w:val="0"/>
            <w:tcMar>
              <w:left w:w="57" w:type="dxa"/>
              <w:right w:w="57" w:type="dxa"/>
            </w:tcMar>
            <w:vAlign w:val="center"/>
          </w:tcPr>
          <w:p w14:paraId="21185BD7">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4"/>
                <w:lang w:val="en-US" w:eastAsia="zh-CN"/>
              </w:rPr>
            </w:pPr>
            <w:r>
              <w:rPr>
                <w:rFonts w:hint="eastAsia" w:ascii="Times New Roman" w:hAnsi="Times New Roman" w:eastAsia="方正仿宋简体"/>
                <w:b/>
                <w:snapToGrid w:val="0"/>
                <w:color w:val="auto"/>
                <w:spacing w:val="0"/>
                <w:sz w:val="24"/>
                <w:lang w:val="en-US" w:eastAsia="zh-CN"/>
              </w:rPr>
              <w:t>0</w:t>
            </w:r>
          </w:p>
        </w:tc>
      </w:tr>
    </w:tbl>
    <w:p w14:paraId="098FE5B3">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黑体简体"/>
          <w:b/>
          <w:snapToGrid w:val="0"/>
          <w:color w:val="auto"/>
          <w:spacing w:val="0"/>
          <w:sz w:val="32"/>
          <w:szCs w:val="32"/>
          <w:lang w:eastAsia="zh-CN"/>
        </w:rPr>
      </w:pPr>
      <w:r>
        <w:rPr>
          <w:rFonts w:hint="eastAsia" w:ascii="Times New Roman" w:hAnsi="Times New Roman" w:eastAsia="方正黑体简体"/>
          <w:b/>
          <w:snapToGrid w:val="0"/>
          <w:color w:val="auto"/>
          <w:spacing w:val="0"/>
          <w:sz w:val="32"/>
          <w:szCs w:val="32"/>
        </w:rPr>
        <w:t>三、收到和处理政府信息公开申请情况</w:t>
      </w: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23AE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27D75E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楷体"/>
                <w:b/>
                <w:snapToGrid w:val="0"/>
                <w:color w:val="auto"/>
                <w:spacing w:val="0"/>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1015264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申请人情况</w:t>
            </w:r>
          </w:p>
        </w:tc>
      </w:tr>
      <w:tr w14:paraId="3085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E350ACF">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p>
        </w:tc>
        <w:tc>
          <w:tcPr>
            <w:tcW w:w="791" w:type="dxa"/>
            <w:vMerge w:val="restart"/>
            <w:noWrap w:val="0"/>
            <w:tcMar>
              <w:left w:w="57" w:type="dxa"/>
              <w:right w:w="57" w:type="dxa"/>
            </w:tcMar>
            <w:vAlign w:val="center"/>
          </w:tcPr>
          <w:p w14:paraId="582774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自然人</w:t>
            </w:r>
          </w:p>
        </w:tc>
        <w:tc>
          <w:tcPr>
            <w:tcW w:w="2917" w:type="dxa"/>
            <w:gridSpan w:val="5"/>
            <w:noWrap w:val="0"/>
            <w:tcMar>
              <w:left w:w="108" w:type="dxa"/>
              <w:right w:w="108" w:type="dxa"/>
            </w:tcMar>
            <w:vAlign w:val="center"/>
          </w:tcPr>
          <w:p w14:paraId="47E5BB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法人或其他组织</w:t>
            </w:r>
          </w:p>
        </w:tc>
        <w:tc>
          <w:tcPr>
            <w:tcW w:w="521" w:type="dxa"/>
            <w:vMerge w:val="restart"/>
            <w:noWrap w:val="0"/>
            <w:tcMar>
              <w:left w:w="108" w:type="dxa"/>
              <w:right w:w="108" w:type="dxa"/>
            </w:tcMar>
            <w:vAlign w:val="center"/>
          </w:tcPr>
          <w:p w14:paraId="446871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总计</w:t>
            </w:r>
          </w:p>
        </w:tc>
      </w:tr>
      <w:tr w14:paraId="5E5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26025D57">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791" w:type="dxa"/>
            <w:vMerge w:val="continue"/>
            <w:noWrap w:val="0"/>
            <w:tcMar>
              <w:left w:w="57" w:type="dxa"/>
              <w:right w:w="57" w:type="dxa"/>
            </w:tcMar>
            <w:vAlign w:val="center"/>
          </w:tcPr>
          <w:p w14:paraId="6769D72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599" w:type="dxa"/>
            <w:noWrap w:val="0"/>
            <w:tcMar>
              <w:left w:w="108" w:type="dxa"/>
              <w:right w:w="108" w:type="dxa"/>
            </w:tcMar>
            <w:vAlign w:val="center"/>
          </w:tcPr>
          <w:p w14:paraId="33EE09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商业</w:t>
            </w:r>
          </w:p>
          <w:p w14:paraId="41BD0F1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企业</w:t>
            </w:r>
          </w:p>
        </w:tc>
        <w:tc>
          <w:tcPr>
            <w:tcW w:w="590" w:type="dxa"/>
            <w:noWrap w:val="0"/>
            <w:tcMar>
              <w:left w:w="108" w:type="dxa"/>
              <w:right w:w="108" w:type="dxa"/>
            </w:tcMar>
            <w:vAlign w:val="center"/>
          </w:tcPr>
          <w:p w14:paraId="545E975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科研</w:t>
            </w:r>
          </w:p>
          <w:p w14:paraId="07896F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机构</w:t>
            </w:r>
          </w:p>
        </w:tc>
        <w:tc>
          <w:tcPr>
            <w:tcW w:w="598" w:type="dxa"/>
            <w:noWrap w:val="0"/>
            <w:tcMar>
              <w:left w:w="108" w:type="dxa"/>
              <w:right w:w="108" w:type="dxa"/>
            </w:tcMar>
            <w:vAlign w:val="center"/>
          </w:tcPr>
          <w:p w14:paraId="6F49CE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社会公益组织</w:t>
            </w:r>
          </w:p>
        </w:tc>
        <w:tc>
          <w:tcPr>
            <w:tcW w:w="571" w:type="dxa"/>
            <w:noWrap w:val="0"/>
            <w:tcMar>
              <w:left w:w="108" w:type="dxa"/>
              <w:right w:w="108" w:type="dxa"/>
            </w:tcMar>
            <w:vAlign w:val="center"/>
          </w:tcPr>
          <w:p w14:paraId="72663E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法律服务机构</w:t>
            </w:r>
          </w:p>
        </w:tc>
        <w:tc>
          <w:tcPr>
            <w:tcW w:w="559" w:type="dxa"/>
            <w:noWrap w:val="0"/>
            <w:tcMar>
              <w:left w:w="108" w:type="dxa"/>
              <w:right w:w="108" w:type="dxa"/>
            </w:tcMar>
            <w:vAlign w:val="center"/>
          </w:tcPr>
          <w:p w14:paraId="78249C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snapToGrid w:val="0"/>
                <w:color w:val="auto"/>
                <w:spacing w:val="0"/>
                <w:sz w:val="21"/>
                <w:szCs w:val="21"/>
              </w:rPr>
            </w:pPr>
            <w:r>
              <w:rPr>
                <w:rFonts w:hint="eastAsia" w:ascii="Times New Roman" w:hAnsi="Times New Roman" w:eastAsia="方正黑体简体" w:cs="宋体"/>
                <w:b/>
                <w:snapToGrid w:val="0"/>
                <w:color w:val="auto"/>
                <w:spacing w:val="0"/>
                <w:sz w:val="21"/>
                <w:szCs w:val="21"/>
                <w:lang w:bidi="ar"/>
              </w:rPr>
              <w:t>其他</w:t>
            </w:r>
          </w:p>
        </w:tc>
        <w:tc>
          <w:tcPr>
            <w:tcW w:w="521" w:type="dxa"/>
            <w:vMerge w:val="continue"/>
            <w:noWrap w:val="0"/>
            <w:tcMar>
              <w:left w:w="108" w:type="dxa"/>
              <w:right w:w="108" w:type="dxa"/>
            </w:tcMar>
            <w:vAlign w:val="center"/>
          </w:tcPr>
          <w:p w14:paraId="5CE0BD5C">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r>
      <w:tr w14:paraId="2BC5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3F3643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一、本年新收政府信息公开申请数量</w:t>
            </w:r>
          </w:p>
        </w:tc>
        <w:tc>
          <w:tcPr>
            <w:tcW w:w="791" w:type="dxa"/>
            <w:noWrap w:val="0"/>
            <w:tcMar>
              <w:left w:w="57" w:type="dxa"/>
              <w:right w:w="57" w:type="dxa"/>
            </w:tcMar>
            <w:vAlign w:val="center"/>
          </w:tcPr>
          <w:p w14:paraId="42A631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val="en-US" w:eastAsia="zh-CN" w:bidi="ar"/>
              </w:rPr>
              <w:t>7</w:t>
            </w:r>
          </w:p>
        </w:tc>
        <w:tc>
          <w:tcPr>
            <w:tcW w:w="599" w:type="dxa"/>
            <w:noWrap w:val="0"/>
            <w:tcMar>
              <w:left w:w="57" w:type="dxa"/>
              <w:right w:w="57" w:type="dxa"/>
            </w:tcMar>
            <w:vAlign w:val="center"/>
          </w:tcPr>
          <w:p w14:paraId="317ABF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52F86C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0E91E92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0A768A8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295C65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4E18EFD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val="en-US" w:eastAsia="zh-CN" w:bidi="ar"/>
              </w:rPr>
              <w:t>7</w:t>
            </w:r>
          </w:p>
        </w:tc>
      </w:tr>
      <w:tr w14:paraId="326C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5AF03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二、上年结转政府信息公开申请数量</w:t>
            </w:r>
          </w:p>
        </w:tc>
        <w:tc>
          <w:tcPr>
            <w:tcW w:w="791" w:type="dxa"/>
            <w:noWrap w:val="0"/>
            <w:tcMar>
              <w:left w:w="57" w:type="dxa"/>
              <w:right w:w="57" w:type="dxa"/>
            </w:tcMar>
            <w:vAlign w:val="center"/>
          </w:tcPr>
          <w:p w14:paraId="3F9636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743622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3F04AC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3C719FF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566207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3EE30ED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1529EF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76F6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B6CED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三、本年度办理结果</w:t>
            </w:r>
          </w:p>
        </w:tc>
        <w:tc>
          <w:tcPr>
            <w:tcW w:w="3820" w:type="dxa"/>
            <w:gridSpan w:val="2"/>
            <w:noWrap w:val="0"/>
            <w:tcMar>
              <w:left w:w="57" w:type="dxa"/>
              <w:right w:w="57" w:type="dxa"/>
            </w:tcMar>
            <w:vAlign w:val="center"/>
          </w:tcPr>
          <w:p w14:paraId="77890E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（一）予以公开</w:t>
            </w:r>
          </w:p>
        </w:tc>
        <w:tc>
          <w:tcPr>
            <w:tcW w:w="791" w:type="dxa"/>
            <w:noWrap w:val="0"/>
            <w:tcMar>
              <w:left w:w="57" w:type="dxa"/>
              <w:right w:w="57" w:type="dxa"/>
            </w:tcMar>
            <w:vAlign w:val="center"/>
          </w:tcPr>
          <w:p w14:paraId="512C14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7F5C74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1FA940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38D2B1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1963CD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4E4507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051DA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3B5C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7389C37D">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3820" w:type="dxa"/>
            <w:gridSpan w:val="2"/>
            <w:noWrap w:val="0"/>
            <w:tcMar>
              <w:left w:w="57" w:type="dxa"/>
              <w:right w:w="57" w:type="dxa"/>
            </w:tcMar>
            <w:vAlign w:val="center"/>
          </w:tcPr>
          <w:p w14:paraId="1C6F0C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（二）部分公开</w:t>
            </w:r>
            <w:r>
              <w:rPr>
                <w:rFonts w:hint="eastAsia" w:ascii="Times New Roman" w:hAnsi="Times New Roman" w:eastAsia="方正仿宋简体" w:cs="楷体"/>
                <w:b/>
                <w:snapToGrid w:val="0"/>
                <w:color w:val="auto"/>
                <w:spacing w:val="0"/>
                <w:sz w:val="21"/>
                <w:szCs w:val="21"/>
                <w:lang w:bidi="ar"/>
              </w:rPr>
              <w:t>（区分处理的，只计这一情形，不计其他情形）</w:t>
            </w:r>
          </w:p>
        </w:tc>
        <w:tc>
          <w:tcPr>
            <w:tcW w:w="791" w:type="dxa"/>
            <w:noWrap w:val="0"/>
            <w:tcMar>
              <w:left w:w="57" w:type="dxa"/>
              <w:right w:w="57" w:type="dxa"/>
            </w:tcMar>
            <w:vAlign w:val="center"/>
          </w:tcPr>
          <w:p w14:paraId="4FDCB7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4F7338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79C252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0A2808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5727FC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71C238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6788CE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141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83EDF9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123A9A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（三）不予公开</w:t>
            </w:r>
          </w:p>
        </w:tc>
        <w:tc>
          <w:tcPr>
            <w:tcW w:w="2878" w:type="dxa"/>
            <w:noWrap w:val="0"/>
            <w:tcMar>
              <w:left w:w="57" w:type="dxa"/>
              <w:right w:w="57" w:type="dxa"/>
            </w:tcMar>
            <w:vAlign w:val="top"/>
          </w:tcPr>
          <w:p w14:paraId="1968355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1.属于国家秘密</w:t>
            </w:r>
          </w:p>
        </w:tc>
        <w:tc>
          <w:tcPr>
            <w:tcW w:w="791" w:type="dxa"/>
            <w:noWrap w:val="0"/>
            <w:tcMar>
              <w:left w:w="57" w:type="dxa"/>
              <w:right w:w="57" w:type="dxa"/>
            </w:tcMar>
            <w:vAlign w:val="top"/>
          </w:tcPr>
          <w:p w14:paraId="331E07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F6370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68A501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F563B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72E7E8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299272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F7B05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26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0F5F73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1467870B">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7084FB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2.其他法律行政法规禁止公开</w:t>
            </w:r>
          </w:p>
        </w:tc>
        <w:tc>
          <w:tcPr>
            <w:tcW w:w="791" w:type="dxa"/>
            <w:noWrap w:val="0"/>
            <w:tcMar>
              <w:left w:w="57" w:type="dxa"/>
              <w:right w:w="57" w:type="dxa"/>
            </w:tcMar>
            <w:vAlign w:val="top"/>
          </w:tcPr>
          <w:p w14:paraId="568E33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4FB80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4DC6B5E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3627B2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6F6DAB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2F6B1D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6E2A9BA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A2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2A5CF80">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3E74FC0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65930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3.危及“三安全一稳定”</w:t>
            </w:r>
          </w:p>
        </w:tc>
        <w:tc>
          <w:tcPr>
            <w:tcW w:w="791" w:type="dxa"/>
            <w:noWrap w:val="0"/>
            <w:tcMar>
              <w:left w:w="57" w:type="dxa"/>
              <w:right w:w="57" w:type="dxa"/>
            </w:tcMar>
            <w:vAlign w:val="top"/>
          </w:tcPr>
          <w:p w14:paraId="101E7E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08601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E2A18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528FF8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69181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7A095B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0D24C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4B1D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DD40401">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4F0C680">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7F52A2E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4.保护第三方合法权益</w:t>
            </w:r>
          </w:p>
        </w:tc>
        <w:tc>
          <w:tcPr>
            <w:tcW w:w="791" w:type="dxa"/>
            <w:noWrap w:val="0"/>
            <w:tcMar>
              <w:left w:w="57" w:type="dxa"/>
              <w:right w:w="57" w:type="dxa"/>
            </w:tcMar>
            <w:vAlign w:val="top"/>
          </w:tcPr>
          <w:p w14:paraId="7AAA3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94C9E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5B1782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4DE1F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63647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1DD754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76F4359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726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794BD1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2060DD3">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4FE872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5.属于三类内部事务信息</w:t>
            </w:r>
          </w:p>
        </w:tc>
        <w:tc>
          <w:tcPr>
            <w:tcW w:w="791" w:type="dxa"/>
            <w:noWrap w:val="0"/>
            <w:tcMar>
              <w:left w:w="57" w:type="dxa"/>
              <w:right w:w="57" w:type="dxa"/>
            </w:tcMar>
            <w:vAlign w:val="top"/>
          </w:tcPr>
          <w:p w14:paraId="7F7C93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7D01F91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D02F6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7D31ED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0AD8BF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3C3847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2C5F1F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99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DDE49B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290805E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2B5AD6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6.属于四类过程性信息</w:t>
            </w:r>
          </w:p>
        </w:tc>
        <w:tc>
          <w:tcPr>
            <w:tcW w:w="791" w:type="dxa"/>
            <w:noWrap w:val="0"/>
            <w:tcMar>
              <w:left w:w="57" w:type="dxa"/>
              <w:right w:w="57" w:type="dxa"/>
            </w:tcMar>
            <w:vAlign w:val="top"/>
          </w:tcPr>
          <w:p w14:paraId="618F536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18F0359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7FFE58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673A2E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08D8707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0E3B92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448C4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8D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B88F1C5">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06657B6">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5811EF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7.属于行政执法案卷</w:t>
            </w:r>
          </w:p>
        </w:tc>
        <w:tc>
          <w:tcPr>
            <w:tcW w:w="791" w:type="dxa"/>
            <w:noWrap w:val="0"/>
            <w:tcMar>
              <w:left w:w="57" w:type="dxa"/>
              <w:right w:w="57" w:type="dxa"/>
            </w:tcMar>
            <w:vAlign w:val="top"/>
          </w:tcPr>
          <w:p w14:paraId="1D627A3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4CE304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74164A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38DDB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645B15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6AB826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B219A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1EA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AA16E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7848B3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92B88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8.属于行政查询事项</w:t>
            </w:r>
          </w:p>
        </w:tc>
        <w:tc>
          <w:tcPr>
            <w:tcW w:w="791" w:type="dxa"/>
            <w:noWrap w:val="0"/>
            <w:tcMar>
              <w:left w:w="57" w:type="dxa"/>
              <w:right w:w="57" w:type="dxa"/>
            </w:tcMar>
            <w:vAlign w:val="top"/>
          </w:tcPr>
          <w:p w14:paraId="5340D4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38EDA2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CC724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6BBAF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4DAA29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0DC80B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1D2034F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2071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78E77B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1CA423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（四）无法提供</w:t>
            </w:r>
          </w:p>
        </w:tc>
        <w:tc>
          <w:tcPr>
            <w:tcW w:w="2878" w:type="dxa"/>
            <w:noWrap w:val="0"/>
            <w:tcMar>
              <w:left w:w="57" w:type="dxa"/>
              <w:right w:w="57" w:type="dxa"/>
            </w:tcMar>
            <w:vAlign w:val="top"/>
          </w:tcPr>
          <w:p w14:paraId="7C0E9C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1.本机关不掌握相关政府信息</w:t>
            </w:r>
          </w:p>
        </w:tc>
        <w:tc>
          <w:tcPr>
            <w:tcW w:w="791" w:type="dxa"/>
            <w:noWrap w:val="0"/>
            <w:tcMar>
              <w:left w:w="57" w:type="dxa"/>
              <w:right w:w="57" w:type="dxa"/>
            </w:tcMar>
            <w:vAlign w:val="top"/>
          </w:tcPr>
          <w:p w14:paraId="1AC4A37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val="en-US" w:eastAsia="zh-CN" w:bidi="ar"/>
              </w:rPr>
              <w:t>7</w:t>
            </w:r>
          </w:p>
        </w:tc>
        <w:tc>
          <w:tcPr>
            <w:tcW w:w="599" w:type="dxa"/>
            <w:noWrap w:val="0"/>
            <w:tcMar>
              <w:left w:w="57" w:type="dxa"/>
              <w:right w:w="57" w:type="dxa"/>
            </w:tcMar>
            <w:vAlign w:val="top"/>
          </w:tcPr>
          <w:p w14:paraId="340B33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19C92C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021B044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EA2B0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5590A8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607936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val="en-US" w:eastAsia="zh-CN" w:bidi="ar"/>
              </w:rPr>
              <w:t>7</w:t>
            </w:r>
          </w:p>
        </w:tc>
      </w:tr>
      <w:tr w14:paraId="0260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1F453A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DD041C1">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CA88F8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2.没有现成信息需要另行制作</w:t>
            </w:r>
          </w:p>
        </w:tc>
        <w:tc>
          <w:tcPr>
            <w:tcW w:w="791" w:type="dxa"/>
            <w:noWrap w:val="0"/>
            <w:tcMar>
              <w:left w:w="57" w:type="dxa"/>
              <w:right w:w="57" w:type="dxa"/>
            </w:tcMar>
            <w:vAlign w:val="top"/>
          </w:tcPr>
          <w:p w14:paraId="769D94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D5164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6A7646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266E17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0CC9D1C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3396EE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4C83C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449A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80F0B8B">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6FA9DCF6">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0B57D9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3.补正后申请内容仍不明确</w:t>
            </w:r>
          </w:p>
        </w:tc>
        <w:tc>
          <w:tcPr>
            <w:tcW w:w="791" w:type="dxa"/>
            <w:noWrap w:val="0"/>
            <w:tcMar>
              <w:left w:w="57" w:type="dxa"/>
              <w:right w:w="57" w:type="dxa"/>
            </w:tcMar>
            <w:vAlign w:val="top"/>
          </w:tcPr>
          <w:p w14:paraId="165BBE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14319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5BE17C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E68DA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123ECC4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2D7E1BD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47D0B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8DC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000DBBBA">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263935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（五）不予处理</w:t>
            </w:r>
          </w:p>
        </w:tc>
        <w:tc>
          <w:tcPr>
            <w:tcW w:w="2878" w:type="dxa"/>
            <w:noWrap w:val="0"/>
            <w:tcMar>
              <w:left w:w="57" w:type="dxa"/>
              <w:right w:w="57" w:type="dxa"/>
            </w:tcMar>
            <w:vAlign w:val="top"/>
          </w:tcPr>
          <w:p w14:paraId="26099A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1.信访举报投诉类申请</w:t>
            </w:r>
          </w:p>
        </w:tc>
        <w:tc>
          <w:tcPr>
            <w:tcW w:w="791" w:type="dxa"/>
            <w:noWrap w:val="0"/>
            <w:tcMar>
              <w:left w:w="57" w:type="dxa"/>
              <w:right w:w="57" w:type="dxa"/>
            </w:tcMar>
            <w:vAlign w:val="top"/>
          </w:tcPr>
          <w:p w14:paraId="276D78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003FDA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00FD13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34198D4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470189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53BA73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4E819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1D8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8DB4E4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2FBA9E4D">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401DB3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2.重复申请</w:t>
            </w:r>
          </w:p>
        </w:tc>
        <w:tc>
          <w:tcPr>
            <w:tcW w:w="791" w:type="dxa"/>
            <w:noWrap w:val="0"/>
            <w:tcMar>
              <w:left w:w="57" w:type="dxa"/>
              <w:right w:w="57" w:type="dxa"/>
            </w:tcMar>
            <w:vAlign w:val="top"/>
          </w:tcPr>
          <w:p w14:paraId="2B4117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640A49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438E41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21B543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4E95F1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395A03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E6D97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EDD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54C42D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7466AA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177242D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3.要求提供公开出版物</w:t>
            </w:r>
          </w:p>
        </w:tc>
        <w:tc>
          <w:tcPr>
            <w:tcW w:w="791" w:type="dxa"/>
            <w:noWrap w:val="0"/>
            <w:tcMar>
              <w:left w:w="57" w:type="dxa"/>
              <w:right w:w="57" w:type="dxa"/>
            </w:tcMar>
            <w:vAlign w:val="top"/>
          </w:tcPr>
          <w:p w14:paraId="79E1F84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1C42F32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56A2BB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4BDA20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56CB1F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412487B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E1DFF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C39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6385F5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7CC54150">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top"/>
          </w:tcPr>
          <w:p w14:paraId="4F5CAF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4.无正当理由大量反复申请</w:t>
            </w:r>
          </w:p>
        </w:tc>
        <w:tc>
          <w:tcPr>
            <w:tcW w:w="791" w:type="dxa"/>
            <w:noWrap w:val="0"/>
            <w:tcMar>
              <w:left w:w="57" w:type="dxa"/>
              <w:right w:w="57" w:type="dxa"/>
            </w:tcMar>
            <w:vAlign w:val="top"/>
          </w:tcPr>
          <w:p w14:paraId="6FFEB6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4BFA71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079E78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6A9832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2A477E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688FCF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075E22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432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C55FFC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16B1425E">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center"/>
          </w:tcPr>
          <w:p w14:paraId="0BE9EC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5.要求行政机关确认或重新出具已获取信息</w:t>
            </w:r>
          </w:p>
        </w:tc>
        <w:tc>
          <w:tcPr>
            <w:tcW w:w="791" w:type="dxa"/>
            <w:noWrap w:val="0"/>
            <w:tcMar>
              <w:left w:w="57" w:type="dxa"/>
              <w:right w:w="57" w:type="dxa"/>
            </w:tcMar>
            <w:vAlign w:val="top"/>
          </w:tcPr>
          <w:p w14:paraId="2184E5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top"/>
          </w:tcPr>
          <w:p w14:paraId="145C52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top"/>
          </w:tcPr>
          <w:p w14:paraId="2DD858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top"/>
          </w:tcPr>
          <w:p w14:paraId="113805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top"/>
          </w:tcPr>
          <w:p w14:paraId="1EBC05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top"/>
          </w:tcPr>
          <w:p w14:paraId="426D78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861E5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68BD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8010479">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restart"/>
            <w:noWrap w:val="0"/>
            <w:tcMar>
              <w:left w:w="57" w:type="dxa"/>
              <w:right w:w="57" w:type="dxa"/>
            </w:tcMar>
            <w:vAlign w:val="center"/>
          </w:tcPr>
          <w:p w14:paraId="1C996A0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（六）其他处理</w:t>
            </w:r>
          </w:p>
        </w:tc>
        <w:tc>
          <w:tcPr>
            <w:tcW w:w="2878" w:type="dxa"/>
            <w:noWrap w:val="0"/>
            <w:tcMar>
              <w:left w:w="57" w:type="dxa"/>
              <w:right w:w="57" w:type="dxa"/>
            </w:tcMar>
            <w:vAlign w:val="center"/>
          </w:tcPr>
          <w:p w14:paraId="38339E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E570F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07415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5619870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62F862A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764AB7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33FB17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00C393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E0A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11FD45B">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542CACDD">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center"/>
          </w:tcPr>
          <w:p w14:paraId="2DD7086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3DB0D9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0549F5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635485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595A07C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72AAEC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6AA984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center"/>
          </w:tcPr>
          <w:p w14:paraId="436BF9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1AC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7C615DA">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942" w:type="dxa"/>
            <w:vMerge w:val="continue"/>
            <w:noWrap w:val="0"/>
            <w:tcMar>
              <w:left w:w="57" w:type="dxa"/>
              <w:right w:w="57" w:type="dxa"/>
            </w:tcMar>
            <w:vAlign w:val="center"/>
          </w:tcPr>
          <w:p w14:paraId="11AC0AE2">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2878" w:type="dxa"/>
            <w:noWrap w:val="0"/>
            <w:tcMar>
              <w:left w:w="57" w:type="dxa"/>
              <w:right w:w="57" w:type="dxa"/>
            </w:tcMar>
            <w:vAlign w:val="center"/>
          </w:tcPr>
          <w:p w14:paraId="74E048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3.其他</w:t>
            </w:r>
          </w:p>
        </w:tc>
        <w:tc>
          <w:tcPr>
            <w:tcW w:w="791" w:type="dxa"/>
            <w:noWrap w:val="0"/>
            <w:tcMar>
              <w:left w:w="57" w:type="dxa"/>
              <w:right w:w="57" w:type="dxa"/>
            </w:tcMar>
            <w:vAlign w:val="center"/>
          </w:tcPr>
          <w:p w14:paraId="6F486CE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5178FC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442BC9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6643B2F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4EA16C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783C00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1360E1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r>
      <w:tr w14:paraId="0276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A757946">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snapToGrid w:val="0"/>
                <w:color w:val="auto"/>
                <w:spacing w:val="0"/>
                <w:sz w:val="21"/>
                <w:szCs w:val="21"/>
              </w:rPr>
            </w:pPr>
          </w:p>
        </w:tc>
        <w:tc>
          <w:tcPr>
            <w:tcW w:w="3820" w:type="dxa"/>
            <w:gridSpan w:val="2"/>
            <w:noWrap w:val="0"/>
            <w:tcMar>
              <w:left w:w="57" w:type="dxa"/>
              <w:right w:w="57" w:type="dxa"/>
            </w:tcMar>
            <w:vAlign w:val="center"/>
          </w:tcPr>
          <w:p w14:paraId="35F6AF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（七）总计</w:t>
            </w:r>
          </w:p>
        </w:tc>
        <w:tc>
          <w:tcPr>
            <w:tcW w:w="791" w:type="dxa"/>
            <w:noWrap w:val="0"/>
            <w:tcMar>
              <w:left w:w="57" w:type="dxa"/>
              <w:right w:w="57" w:type="dxa"/>
            </w:tcMar>
            <w:vAlign w:val="center"/>
          </w:tcPr>
          <w:p w14:paraId="7DB8F1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val="en-US" w:eastAsia="zh-CN" w:bidi="ar"/>
              </w:rPr>
              <w:t>7</w:t>
            </w:r>
          </w:p>
        </w:tc>
        <w:tc>
          <w:tcPr>
            <w:tcW w:w="599" w:type="dxa"/>
            <w:noWrap w:val="0"/>
            <w:tcMar>
              <w:left w:w="57" w:type="dxa"/>
              <w:right w:w="57" w:type="dxa"/>
            </w:tcMar>
            <w:vAlign w:val="center"/>
          </w:tcPr>
          <w:p w14:paraId="4433EF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23814C3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361EA5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2EC024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3C7894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333FA1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val="en-US" w:eastAsia="zh-CN" w:bidi="ar"/>
              </w:rPr>
              <w:t>7</w:t>
            </w:r>
          </w:p>
        </w:tc>
      </w:tr>
      <w:tr w14:paraId="0926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3B8E8F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snapToGrid w:val="0"/>
                <w:color w:val="auto"/>
                <w:spacing w:val="0"/>
                <w:sz w:val="21"/>
                <w:szCs w:val="21"/>
              </w:rPr>
            </w:pPr>
            <w:r>
              <w:rPr>
                <w:rFonts w:hint="eastAsia" w:ascii="Times New Roman" w:hAnsi="Times New Roman" w:eastAsia="方正仿宋简体" w:cs="宋体"/>
                <w:b/>
                <w:snapToGrid w:val="0"/>
                <w:color w:val="auto"/>
                <w:spacing w:val="0"/>
                <w:sz w:val="21"/>
                <w:szCs w:val="21"/>
                <w:lang w:bidi="ar"/>
              </w:rPr>
              <w:t>四、结转下年度继续办理</w:t>
            </w:r>
          </w:p>
        </w:tc>
        <w:tc>
          <w:tcPr>
            <w:tcW w:w="791" w:type="dxa"/>
            <w:noWrap w:val="0"/>
            <w:tcMar>
              <w:left w:w="57" w:type="dxa"/>
              <w:right w:w="57" w:type="dxa"/>
            </w:tcMar>
            <w:vAlign w:val="center"/>
          </w:tcPr>
          <w:p w14:paraId="4B67C7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9" w:type="dxa"/>
            <w:noWrap w:val="0"/>
            <w:tcMar>
              <w:left w:w="57" w:type="dxa"/>
              <w:right w:w="57" w:type="dxa"/>
            </w:tcMar>
            <w:vAlign w:val="center"/>
          </w:tcPr>
          <w:p w14:paraId="1B38A3C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0" w:type="dxa"/>
            <w:noWrap w:val="0"/>
            <w:tcMar>
              <w:left w:w="57" w:type="dxa"/>
              <w:right w:w="57" w:type="dxa"/>
            </w:tcMar>
            <w:vAlign w:val="center"/>
          </w:tcPr>
          <w:p w14:paraId="4C05A6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98" w:type="dxa"/>
            <w:noWrap w:val="0"/>
            <w:tcMar>
              <w:left w:w="57" w:type="dxa"/>
              <w:right w:w="57" w:type="dxa"/>
            </w:tcMar>
            <w:vAlign w:val="center"/>
          </w:tcPr>
          <w:p w14:paraId="45E23A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71" w:type="dxa"/>
            <w:noWrap w:val="0"/>
            <w:tcMar>
              <w:left w:w="57" w:type="dxa"/>
              <w:right w:w="57" w:type="dxa"/>
            </w:tcMar>
            <w:vAlign w:val="center"/>
          </w:tcPr>
          <w:p w14:paraId="342B359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59" w:type="dxa"/>
            <w:noWrap w:val="0"/>
            <w:tcMar>
              <w:left w:w="57" w:type="dxa"/>
              <w:right w:w="57" w:type="dxa"/>
            </w:tcMar>
            <w:vAlign w:val="center"/>
          </w:tcPr>
          <w:p w14:paraId="1B127B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eastAsia="zh-CN"/>
              </w:rPr>
            </w:pPr>
            <w:r>
              <w:rPr>
                <w:rFonts w:hint="eastAsia" w:ascii="Times New Roman" w:hAnsi="Times New Roman" w:eastAsia="方正仿宋简体" w:cs="Calibri"/>
                <w:b/>
                <w:snapToGrid w:val="0"/>
                <w:color w:val="auto"/>
                <w:spacing w:val="0"/>
                <w:sz w:val="21"/>
                <w:szCs w:val="21"/>
                <w:lang w:eastAsia="zh-CN" w:bidi="ar"/>
              </w:rPr>
              <w:t>0</w:t>
            </w:r>
          </w:p>
        </w:tc>
        <w:tc>
          <w:tcPr>
            <w:tcW w:w="521" w:type="dxa"/>
            <w:noWrap w:val="0"/>
            <w:tcMar>
              <w:left w:w="57" w:type="dxa"/>
              <w:right w:w="57" w:type="dxa"/>
            </w:tcMar>
            <w:vAlign w:val="top"/>
          </w:tcPr>
          <w:p w14:paraId="5D0ED942">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snapToGrid w:val="0"/>
                <w:color w:val="auto"/>
                <w:spacing w:val="0"/>
                <w:sz w:val="21"/>
                <w:szCs w:val="21"/>
                <w:lang w:val="en-US" w:eastAsia="zh-CN"/>
              </w:rPr>
            </w:pPr>
            <w:r>
              <w:rPr>
                <w:rFonts w:hint="eastAsia" w:ascii="Times New Roman" w:hAnsi="Times New Roman" w:eastAsia="方正仿宋简体"/>
                <w:b/>
                <w:snapToGrid w:val="0"/>
                <w:color w:val="auto"/>
                <w:spacing w:val="0"/>
                <w:sz w:val="21"/>
                <w:szCs w:val="21"/>
                <w:lang w:val="en-US" w:eastAsia="zh-CN"/>
              </w:rPr>
              <w:t>0</w:t>
            </w:r>
          </w:p>
        </w:tc>
      </w:tr>
    </w:tbl>
    <w:p w14:paraId="0588518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四、政府信息公开行政复议、行政诉讼情况</w:t>
      </w:r>
    </w:p>
    <w:tbl>
      <w:tblPr>
        <w:tblStyle w:val="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4255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14:paraId="56C7CB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行政复议</w:t>
            </w:r>
          </w:p>
        </w:tc>
        <w:tc>
          <w:tcPr>
            <w:tcW w:w="5922" w:type="dxa"/>
            <w:gridSpan w:val="10"/>
            <w:noWrap w:val="0"/>
            <w:tcMar>
              <w:left w:w="108" w:type="dxa"/>
              <w:right w:w="108" w:type="dxa"/>
            </w:tcMar>
            <w:vAlign w:val="center"/>
          </w:tcPr>
          <w:p w14:paraId="7FC0ED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行政诉讼</w:t>
            </w:r>
          </w:p>
        </w:tc>
      </w:tr>
      <w:tr w14:paraId="74B8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14:paraId="734121E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结果维持</w:t>
            </w:r>
          </w:p>
        </w:tc>
        <w:tc>
          <w:tcPr>
            <w:tcW w:w="621" w:type="dxa"/>
            <w:vMerge w:val="restart"/>
            <w:noWrap w:val="0"/>
            <w:tcMar>
              <w:left w:w="108" w:type="dxa"/>
              <w:right w:w="108" w:type="dxa"/>
            </w:tcMar>
            <w:vAlign w:val="center"/>
          </w:tcPr>
          <w:p w14:paraId="3BD9F5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s="宋体"/>
                <w:snapToGrid w:val="0"/>
                <w:color w:val="auto"/>
                <w:spacing w:val="0"/>
                <w:sz w:val="21"/>
                <w:szCs w:val="21"/>
                <w:lang w:bidi="ar"/>
              </w:rPr>
            </w:pPr>
            <w:r>
              <w:rPr>
                <w:rFonts w:hint="eastAsia" w:ascii="Times New Roman" w:hAnsi="Times New Roman" w:eastAsia="方正黑体简体" w:cs="宋体"/>
                <w:snapToGrid w:val="0"/>
                <w:color w:val="auto"/>
                <w:spacing w:val="0"/>
                <w:sz w:val="21"/>
                <w:szCs w:val="21"/>
                <w:lang w:bidi="ar"/>
              </w:rPr>
              <w:t>结果</w:t>
            </w:r>
          </w:p>
          <w:p w14:paraId="1C1587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纠正</w:t>
            </w:r>
          </w:p>
        </w:tc>
        <w:tc>
          <w:tcPr>
            <w:tcW w:w="600" w:type="dxa"/>
            <w:vMerge w:val="restart"/>
            <w:noWrap w:val="0"/>
            <w:tcMar>
              <w:left w:w="108" w:type="dxa"/>
              <w:right w:w="108" w:type="dxa"/>
            </w:tcMar>
            <w:vAlign w:val="center"/>
          </w:tcPr>
          <w:p w14:paraId="31E60D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其他</w:t>
            </w:r>
          </w:p>
          <w:p w14:paraId="5C2C847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w:t>
            </w:r>
          </w:p>
        </w:tc>
        <w:tc>
          <w:tcPr>
            <w:tcW w:w="591" w:type="dxa"/>
            <w:vMerge w:val="restart"/>
            <w:noWrap w:val="0"/>
            <w:tcMar>
              <w:left w:w="108" w:type="dxa"/>
              <w:right w:w="108" w:type="dxa"/>
            </w:tcMar>
            <w:vAlign w:val="center"/>
          </w:tcPr>
          <w:p w14:paraId="72FE42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尚未</w:t>
            </w:r>
          </w:p>
          <w:p w14:paraId="2FB8EA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审结</w:t>
            </w:r>
          </w:p>
        </w:tc>
        <w:tc>
          <w:tcPr>
            <w:tcW w:w="461" w:type="dxa"/>
            <w:vMerge w:val="restart"/>
            <w:noWrap w:val="0"/>
            <w:tcMar>
              <w:left w:w="108" w:type="dxa"/>
              <w:right w:w="108" w:type="dxa"/>
            </w:tcMar>
            <w:vAlign w:val="center"/>
          </w:tcPr>
          <w:p w14:paraId="4777A08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总计</w:t>
            </w:r>
          </w:p>
        </w:tc>
        <w:tc>
          <w:tcPr>
            <w:tcW w:w="3010" w:type="dxa"/>
            <w:gridSpan w:val="5"/>
            <w:noWrap w:val="0"/>
            <w:tcMar>
              <w:left w:w="108" w:type="dxa"/>
              <w:right w:w="108" w:type="dxa"/>
            </w:tcMar>
            <w:vAlign w:val="center"/>
          </w:tcPr>
          <w:p w14:paraId="73ACD4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未经复议直接起诉</w:t>
            </w:r>
          </w:p>
        </w:tc>
        <w:tc>
          <w:tcPr>
            <w:tcW w:w="2912" w:type="dxa"/>
            <w:gridSpan w:val="5"/>
            <w:noWrap w:val="0"/>
            <w:tcMar>
              <w:left w:w="108" w:type="dxa"/>
              <w:right w:w="108" w:type="dxa"/>
            </w:tcMar>
            <w:vAlign w:val="center"/>
          </w:tcPr>
          <w:p w14:paraId="1EB6C3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复议后起诉</w:t>
            </w:r>
          </w:p>
        </w:tc>
      </w:tr>
      <w:tr w14:paraId="5A1C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14:paraId="6B103D85">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621" w:type="dxa"/>
            <w:vMerge w:val="continue"/>
            <w:noWrap w:val="0"/>
            <w:tcMar>
              <w:left w:w="108" w:type="dxa"/>
              <w:right w:w="108" w:type="dxa"/>
            </w:tcMar>
            <w:vAlign w:val="center"/>
          </w:tcPr>
          <w:p w14:paraId="31A7DDB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600" w:type="dxa"/>
            <w:vMerge w:val="continue"/>
            <w:noWrap w:val="0"/>
            <w:tcMar>
              <w:left w:w="108" w:type="dxa"/>
              <w:right w:w="108" w:type="dxa"/>
            </w:tcMar>
            <w:vAlign w:val="center"/>
          </w:tcPr>
          <w:p w14:paraId="7E6F5337">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591" w:type="dxa"/>
            <w:vMerge w:val="continue"/>
            <w:noWrap w:val="0"/>
            <w:tcMar>
              <w:left w:w="108" w:type="dxa"/>
              <w:right w:w="108" w:type="dxa"/>
            </w:tcMar>
            <w:vAlign w:val="center"/>
          </w:tcPr>
          <w:p w14:paraId="7F0DB714">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461" w:type="dxa"/>
            <w:vMerge w:val="continue"/>
            <w:noWrap w:val="0"/>
            <w:tcMar>
              <w:left w:w="108" w:type="dxa"/>
              <w:right w:w="108" w:type="dxa"/>
            </w:tcMar>
            <w:vAlign w:val="center"/>
          </w:tcPr>
          <w:p w14:paraId="2253EFB1">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snapToGrid w:val="0"/>
                <w:color w:val="auto"/>
                <w:spacing w:val="0"/>
                <w:sz w:val="21"/>
                <w:szCs w:val="21"/>
              </w:rPr>
            </w:pPr>
          </w:p>
        </w:tc>
        <w:tc>
          <w:tcPr>
            <w:tcW w:w="649" w:type="dxa"/>
            <w:noWrap w:val="0"/>
            <w:tcMar>
              <w:left w:w="108" w:type="dxa"/>
              <w:right w:w="108" w:type="dxa"/>
            </w:tcMar>
            <w:vAlign w:val="center"/>
          </w:tcPr>
          <w:p w14:paraId="323D00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7643E4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维持</w:t>
            </w:r>
          </w:p>
        </w:tc>
        <w:tc>
          <w:tcPr>
            <w:tcW w:w="649" w:type="dxa"/>
            <w:noWrap w:val="0"/>
            <w:tcMar>
              <w:left w:w="108" w:type="dxa"/>
              <w:right w:w="108" w:type="dxa"/>
            </w:tcMar>
            <w:vAlign w:val="center"/>
          </w:tcPr>
          <w:p w14:paraId="7A55066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33BE49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纠正</w:t>
            </w:r>
          </w:p>
        </w:tc>
        <w:tc>
          <w:tcPr>
            <w:tcW w:w="650" w:type="dxa"/>
            <w:noWrap w:val="0"/>
            <w:tcMar>
              <w:left w:w="108" w:type="dxa"/>
              <w:right w:w="108" w:type="dxa"/>
            </w:tcMar>
            <w:vAlign w:val="center"/>
          </w:tcPr>
          <w:p w14:paraId="679910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其他</w:t>
            </w:r>
          </w:p>
          <w:p w14:paraId="5CCB8FA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w:t>
            </w:r>
          </w:p>
        </w:tc>
        <w:tc>
          <w:tcPr>
            <w:tcW w:w="636" w:type="dxa"/>
            <w:noWrap w:val="0"/>
            <w:tcMar>
              <w:left w:w="108" w:type="dxa"/>
              <w:right w:w="108" w:type="dxa"/>
            </w:tcMar>
            <w:vAlign w:val="center"/>
          </w:tcPr>
          <w:p w14:paraId="1C785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尚未</w:t>
            </w:r>
          </w:p>
          <w:p w14:paraId="610766F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审结</w:t>
            </w:r>
          </w:p>
        </w:tc>
        <w:tc>
          <w:tcPr>
            <w:tcW w:w="426" w:type="dxa"/>
            <w:noWrap w:val="0"/>
            <w:tcMar>
              <w:left w:w="108" w:type="dxa"/>
              <w:right w:w="108" w:type="dxa"/>
            </w:tcMar>
            <w:vAlign w:val="center"/>
          </w:tcPr>
          <w:p w14:paraId="589057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总计</w:t>
            </w:r>
          </w:p>
        </w:tc>
        <w:tc>
          <w:tcPr>
            <w:tcW w:w="650" w:type="dxa"/>
            <w:noWrap w:val="0"/>
            <w:tcMar>
              <w:left w:w="108" w:type="dxa"/>
              <w:right w:w="108" w:type="dxa"/>
            </w:tcMar>
            <w:vAlign w:val="center"/>
          </w:tcPr>
          <w:p w14:paraId="5F2F81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4F6006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维持</w:t>
            </w:r>
          </w:p>
        </w:tc>
        <w:tc>
          <w:tcPr>
            <w:tcW w:w="650" w:type="dxa"/>
            <w:noWrap w:val="0"/>
            <w:tcMar>
              <w:left w:w="108" w:type="dxa"/>
              <w:right w:w="108" w:type="dxa"/>
            </w:tcMar>
            <w:vAlign w:val="center"/>
          </w:tcPr>
          <w:p w14:paraId="751E38B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结果</w:t>
            </w:r>
          </w:p>
          <w:p w14:paraId="21E54B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纠正</w:t>
            </w:r>
          </w:p>
        </w:tc>
        <w:tc>
          <w:tcPr>
            <w:tcW w:w="650" w:type="dxa"/>
            <w:noWrap w:val="0"/>
            <w:tcMar>
              <w:left w:w="108" w:type="dxa"/>
              <w:right w:w="108" w:type="dxa"/>
            </w:tcMar>
            <w:vAlign w:val="center"/>
          </w:tcPr>
          <w:p w14:paraId="61DA48E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其他</w:t>
            </w:r>
          </w:p>
          <w:p w14:paraId="66C85F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结果</w:t>
            </w:r>
          </w:p>
        </w:tc>
        <w:tc>
          <w:tcPr>
            <w:tcW w:w="555" w:type="dxa"/>
            <w:noWrap w:val="0"/>
            <w:tcMar>
              <w:left w:w="108" w:type="dxa"/>
              <w:right w:w="108" w:type="dxa"/>
            </w:tcMar>
            <w:vAlign w:val="center"/>
          </w:tcPr>
          <w:p w14:paraId="0D5C21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snapToGrid w:val="0"/>
                <w:color w:val="auto"/>
                <w:spacing w:val="0"/>
                <w:sz w:val="21"/>
                <w:szCs w:val="21"/>
                <w:lang w:eastAsia="zh-CN" w:bidi="ar"/>
              </w:rPr>
            </w:pPr>
            <w:r>
              <w:rPr>
                <w:rFonts w:hint="eastAsia" w:ascii="Times New Roman" w:hAnsi="Times New Roman" w:eastAsia="方正黑体简体" w:cs="宋体"/>
                <w:snapToGrid w:val="0"/>
                <w:color w:val="auto"/>
                <w:spacing w:val="0"/>
                <w:sz w:val="21"/>
                <w:szCs w:val="21"/>
                <w:lang w:bidi="ar"/>
              </w:rPr>
              <w:t>尚未</w:t>
            </w:r>
          </w:p>
          <w:p w14:paraId="55A116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审结</w:t>
            </w:r>
          </w:p>
        </w:tc>
        <w:tc>
          <w:tcPr>
            <w:tcW w:w="407" w:type="dxa"/>
            <w:noWrap w:val="0"/>
            <w:tcMar>
              <w:left w:w="108" w:type="dxa"/>
              <w:right w:w="108" w:type="dxa"/>
            </w:tcMar>
            <w:vAlign w:val="center"/>
          </w:tcPr>
          <w:p w14:paraId="1D0FDB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snapToGrid w:val="0"/>
                <w:color w:val="auto"/>
                <w:spacing w:val="0"/>
                <w:sz w:val="21"/>
                <w:szCs w:val="21"/>
              </w:rPr>
            </w:pPr>
            <w:r>
              <w:rPr>
                <w:rFonts w:hint="eastAsia" w:ascii="Times New Roman" w:hAnsi="Times New Roman" w:eastAsia="方正黑体简体" w:cs="宋体"/>
                <w:snapToGrid w:val="0"/>
                <w:color w:val="auto"/>
                <w:spacing w:val="0"/>
                <w:sz w:val="21"/>
                <w:szCs w:val="21"/>
                <w:lang w:bidi="ar"/>
              </w:rPr>
              <w:t>总计</w:t>
            </w:r>
          </w:p>
        </w:tc>
      </w:tr>
      <w:tr w14:paraId="1AAB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14:paraId="065E9D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21" w:type="dxa"/>
            <w:noWrap w:val="0"/>
            <w:tcMar>
              <w:left w:w="108" w:type="dxa"/>
              <w:right w:w="108" w:type="dxa"/>
            </w:tcMar>
            <w:vAlign w:val="center"/>
          </w:tcPr>
          <w:p w14:paraId="08436F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00" w:type="dxa"/>
            <w:noWrap w:val="0"/>
            <w:tcMar>
              <w:left w:w="108" w:type="dxa"/>
              <w:right w:w="108" w:type="dxa"/>
            </w:tcMar>
            <w:vAlign w:val="center"/>
          </w:tcPr>
          <w:p w14:paraId="0629B6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591" w:type="dxa"/>
            <w:noWrap w:val="0"/>
            <w:tcMar>
              <w:left w:w="108" w:type="dxa"/>
              <w:right w:w="108" w:type="dxa"/>
            </w:tcMar>
            <w:vAlign w:val="center"/>
          </w:tcPr>
          <w:p w14:paraId="627D60D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461" w:type="dxa"/>
            <w:noWrap w:val="0"/>
            <w:tcMar>
              <w:left w:w="108" w:type="dxa"/>
              <w:right w:w="108" w:type="dxa"/>
            </w:tcMar>
            <w:vAlign w:val="center"/>
          </w:tcPr>
          <w:p w14:paraId="4BCA2D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49" w:type="dxa"/>
            <w:noWrap w:val="0"/>
            <w:tcMar>
              <w:left w:w="108" w:type="dxa"/>
              <w:right w:w="108" w:type="dxa"/>
            </w:tcMar>
            <w:vAlign w:val="center"/>
          </w:tcPr>
          <w:p w14:paraId="5CBD8A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49" w:type="dxa"/>
            <w:noWrap w:val="0"/>
            <w:tcMar>
              <w:left w:w="108" w:type="dxa"/>
              <w:right w:w="108" w:type="dxa"/>
            </w:tcMar>
            <w:vAlign w:val="center"/>
          </w:tcPr>
          <w:p w14:paraId="44EFE9E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312732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36" w:type="dxa"/>
            <w:noWrap w:val="0"/>
            <w:tcMar>
              <w:left w:w="108" w:type="dxa"/>
              <w:right w:w="108" w:type="dxa"/>
            </w:tcMar>
            <w:vAlign w:val="center"/>
          </w:tcPr>
          <w:p w14:paraId="02AC255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426" w:type="dxa"/>
            <w:noWrap w:val="0"/>
            <w:tcMar>
              <w:left w:w="108" w:type="dxa"/>
              <w:right w:w="108" w:type="dxa"/>
            </w:tcMar>
            <w:vAlign w:val="center"/>
          </w:tcPr>
          <w:p w14:paraId="29527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304B012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19D688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650" w:type="dxa"/>
            <w:noWrap w:val="0"/>
            <w:tcMar>
              <w:left w:w="108" w:type="dxa"/>
              <w:right w:w="108" w:type="dxa"/>
            </w:tcMar>
            <w:vAlign w:val="center"/>
          </w:tcPr>
          <w:p w14:paraId="38C3F0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555" w:type="dxa"/>
            <w:noWrap w:val="0"/>
            <w:tcMar>
              <w:left w:w="108" w:type="dxa"/>
              <w:right w:w="108" w:type="dxa"/>
            </w:tcMar>
            <w:vAlign w:val="center"/>
          </w:tcPr>
          <w:p w14:paraId="1C95F92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eastAsia="zh-CN"/>
              </w:rPr>
            </w:pPr>
            <w:r>
              <w:rPr>
                <w:rFonts w:hint="eastAsia" w:ascii="Times New Roman" w:hAnsi="Times New Roman" w:eastAsia="方正黑体简体" w:cs="黑体"/>
                <w:snapToGrid w:val="0"/>
                <w:color w:val="auto"/>
                <w:spacing w:val="0"/>
                <w:sz w:val="21"/>
                <w:szCs w:val="21"/>
                <w:lang w:eastAsia="zh-CN" w:bidi="ar"/>
              </w:rPr>
              <w:t>0</w:t>
            </w:r>
          </w:p>
        </w:tc>
        <w:tc>
          <w:tcPr>
            <w:tcW w:w="407" w:type="dxa"/>
            <w:noWrap w:val="0"/>
            <w:tcMar>
              <w:left w:w="108" w:type="dxa"/>
              <w:right w:w="108" w:type="dxa"/>
            </w:tcMar>
            <w:vAlign w:val="center"/>
          </w:tcPr>
          <w:p w14:paraId="5771675D">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snapToGrid w:val="0"/>
                <w:color w:val="auto"/>
                <w:spacing w:val="0"/>
                <w:sz w:val="21"/>
                <w:szCs w:val="21"/>
                <w:lang w:val="en-US" w:eastAsia="zh-CN"/>
              </w:rPr>
            </w:pPr>
            <w:r>
              <w:rPr>
                <w:rFonts w:hint="eastAsia" w:ascii="Times New Roman" w:hAnsi="Times New Roman" w:eastAsia="方正黑体简体"/>
                <w:snapToGrid w:val="0"/>
                <w:color w:val="auto"/>
                <w:spacing w:val="0"/>
                <w:sz w:val="21"/>
                <w:szCs w:val="21"/>
                <w:lang w:val="en-US" w:eastAsia="zh-CN"/>
              </w:rPr>
              <w:t>0</w:t>
            </w:r>
          </w:p>
        </w:tc>
      </w:tr>
    </w:tbl>
    <w:p w14:paraId="0722DA5E">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五、存在的主要问题及改进情况</w:t>
      </w:r>
    </w:p>
    <w:p w14:paraId="7F18E42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snapToGrid w:val="0"/>
          <w:color w:val="auto"/>
          <w:spacing w:val="0"/>
          <w:sz w:val="32"/>
          <w:szCs w:val="32"/>
        </w:rPr>
      </w:pPr>
      <w:r>
        <w:rPr>
          <w:rFonts w:hint="eastAsia" w:ascii="Times New Roman" w:hAnsi="Times New Roman" w:eastAsia="方正仿宋简体"/>
          <w:b/>
          <w:snapToGrid w:val="0"/>
          <w:color w:val="auto"/>
          <w:spacing w:val="0"/>
          <w:sz w:val="32"/>
          <w:szCs w:val="32"/>
          <w:lang w:val="en-US" w:eastAsia="zh-CN"/>
        </w:rPr>
        <w:t>针对2023年度街道</w:t>
      </w:r>
      <w:r>
        <w:rPr>
          <w:rFonts w:hint="eastAsia" w:ascii="Times New Roman" w:hAnsi="Times New Roman" w:eastAsia="方正仿宋简体"/>
          <w:b/>
          <w:snapToGrid w:val="0"/>
          <w:color w:val="auto"/>
          <w:spacing w:val="0"/>
          <w:sz w:val="32"/>
          <w:szCs w:val="32"/>
        </w:rPr>
        <w:t>政务公开队伍建设有待加强</w:t>
      </w:r>
      <w:r>
        <w:rPr>
          <w:rFonts w:hint="eastAsia" w:ascii="Times New Roman" w:hAnsi="Times New Roman"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rPr>
        <w:t>主动公开意识不强</w:t>
      </w:r>
      <w:r>
        <w:rPr>
          <w:rFonts w:hint="eastAsia" w:ascii="Times New Roman" w:hAnsi="Times New Roman" w:eastAsia="方正仿宋简体"/>
          <w:b/>
          <w:snapToGrid w:val="0"/>
          <w:color w:val="auto"/>
          <w:spacing w:val="0"/>
          <w:sz w:val="32"/>
          <w:szCs w:val="32"/>
          <w:lang w:eastAsia="zh-CN"/>
        </w:rPr>
        <w:t>、</w:t>
      </w:r>
      <w:r>
        <w:rPr>
          <w:rFonts w:hint="eastAsia" w:ascii="Times New Roman" w:hAnsi="Times New Roman" w:eastAsia="方正仿宋简体"/>
          <w:b/>
          <w:snapToGrid w:val="0"/>
          <w:color w:val="auto"/>
          <w:spacing w:val="0"/>
          <w:sz w:val="32"/>
          <w:szCs w:val="32"/>
        </w:rPr>
        <w:t>主动公开形式单一</w:t>
      </w:r>
      <w:r>
        <w:rPr>
          <w:rFonts w:hint="eastAsia" w:ascii="Times New Roman" w:hAnsi="Times New Roman" w:eastAsia="方正仿宋简体"/>
          <w:b/>
          <w:snapToGrid w:val="0"/>
          <w:color w:val="auto"/>
          <w:spacing w:val="0"/>
          <w:sz w:val="32"/>
          <w:szCs w:val="32"/>
          <w:lang w:val="en-US" w:eastAsia="zh-CN"/>
        </w:rPr>
        <w:t>等问题，2024年以来，街道加大了对政务信息报送工作人员的培训力度，组织分管</w:t>
      </w:r>
      <w:r>
        <w:rPr>
          <w:rFonts w:hint="eastAsia" w:eastAsia="方正仿宋简体"/>
          <w:b/>
          <w:snapToGrid w:val="0"/>
          <w:color w:val="auto"/>
          <w:spacing w:val="0"/>
          <w:sz w:val="32"/>
          <w:szCs w:val="32"/>
          <w:lang w:val="en-US" w:eastAsia="zh-CN"/>
        </w:rPr>
        <w:t>领导</w:t>
      </w:r>
      <w:r>
        <w:rPr>
          <w:rFonts w:hint="eastAsia" w:ascii="Times New Roman" w:hAnsi="Times New Roman" w:eastAsia="方正仿宋简体"/>
          <w:b/>
          <w:snapToGrid w:val="0"/>
          <w:color w:val="auto"/>
          <w:spacing w:val="0"/>
          <w:sz w:val="32"/>
          <w:szCs w:val="32"/>
          <w:lang w:val="en-US" w:eastAsia="zh-CN"/>
        </w:rPr>
        <w:t>和具体负责人参加培训会议，熟悉政务公开各项规章制度、工作流程，同时，不断丰富政府信息公开方式。相较于2023年度，街道的信息公开工作更加标准、规范。</w:t>
      </w:r>
      <w:r>
        <w:rPr>
          <w:rFonts w:hint="eastAsia" w:ascii="Times New Roman" w:hAnsi="Times New Roman" w:eastAsia="方正仿宋简体"/>
          <w:b/>
          <w:snapToGrid w:val="0"/>
          <w:color w:val="auto"/>
          <w:spacing w:val="0"/>
          <w:sz w:val="32"/>
          <w:szCs w:val="32"/>
        </w:rPr>
        <w:t>但仍存在一些</w:t>
      </w:r>
      <w:r>
        <w:rPr>
          <w:rFonts w:hint="eastAsia" w:ascii="Times New Roman" w:hAnsi="Times New Roman" w:eastAsia="方正仿宋简体"/>
          <w:b/>
          <w:snapToGrid w:val="0"/>
          <w:color w:val="auto"/>
          <w:spacing w:val="0"/>
          <w:sz w:val="32"/>
          <w:szCs w:val="32"/>
          <w:lang w:val="en-US" w:eastAsia="zh-CN"/>
        </w:rPr>
        <w:t>需要持续提升的问题：</w:t>
      </w:r>
      <w:r>
        <w:rPr>
          <w:rFonts w:hint="eastAsia" w:ascii="Times New Roman" w:hAnsi="Times New Roman" w:eastAsia="方正仿宋简体"/>
          <w:b/>
          <w:snapToGrid w:val="0"/>
          <w:color w:val="auto"/>
          <w:spacing w:val="0"/>
          <w:sz w:val="32"/>
          <w:szCs w:val="32"/>
        </w:rPr>
        <w:t>一是部分</w:t>
      </w:r>
      <w:r>
        <w:rPr>
          <w:rFonts w:hint="eastAsia" w:ascii="Times New Roman" w:hAnsi="Times New Roman" w:eastAsia="方正仿宋简体"/>
          <w:b/>
          <w:snapToGrid w:val="0"/>
          <w:color w:val="auto"/>
          <w:spacing w:val="0"/>
          <w:sz w:val="32"/>
          <w:szCs w:val="32"/>
          <w:lang w:val="en-US" w:eastAsia="zh-CN"/>
        </w:rPr>
        <w:t>部门</w:t>
      </w:r>
      <w:r>
        <w:rPr>
          <w:rFonts w:hint="eastAsia" w:ascii="Times New Roman" w:hAnsi="Times New Roman" w:eastAsia="方正仿宋简体"/>
          <w:b/>
          <w:snapToGrid w:val="0"/>
          <w:color w:val="auto"/>
          <w:spacing w:val="0"/>
          <w:sz w:val="32"/>
          <w:szCs w:val="32"/>
        </w:rPr>
        <w:t>和社区对政务信息公开工作的重视程度不够，信息发布的及时性和全面性有待提高；二是政务信息公开的形式和内容还不够丰富多样，与群众的需求还有一定差距；三是政务信息公开的培训和宣传工作还需要进一步加强。</w:t>
      </w:r>
    </w:p>
    <w:p w14:paraId="6EA21FDA">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snapToGrid w:val="0"/>
          <w:color w:val="auto"/>
          <w:spacing w:val="0"/>
          <w:sz w:val="32"/>
          <w:szCs w:val="32"/>
          <w:lang w:eastAsia="zh-CN"/>
        </w:rPr>
      </w:pPr>
      <w:r>
        <w:rPr>
          <w:rFonts w:hint="eastAsia" w:eastAsia="方正仿宋简体"/>
          <w:b/>
          <w:snapToGrid w:val="0"/>
          <w:color w:val="auto"/>
          <w:spacing w:val="0"/>
          <w:sz w:val="32"/>
          <w:szCs w:val="32"/>
          <w:lang w:eastAsia="zh-CN"/>
        </w:rPr>
        <w:t>今</w:t>
      </w:r>
      <w:r>
        <w:rPr>
          <w:rFonts w:hint="eastAsia" w:ascii="Times New Roman" w:hAnsi="Times New Roman" w:eastAsia="方正仿宋简体"/>
          <w:b/>
          <w:snapToGrid w:val="0"/>
          <w:color w:val="auto"/>
          <w:spacing w:val="0"/>
          <w:sz w:val="32"/>
          <w:szCs w:val="32"/>
        </w:rPr>
        <w:t>年，</w:t>
      </w:r>
      <w:r>
        <w:rPr>
          <w:rFonts w:hint="eastAsia" w:ascii="Times New Roman" w:hAnsi="Times New Roman" w:eastAsia="方正仿宋简体"/>
          <w:b/>
          <w:snapToGrid w:val="0"/>
          <w:color w:val="auto"/>
          <w:spacing w:val="0"/>
          <w:sz w:val="32"/>
          <w:szCs w:val="32"/>
          <w:lang w:val="en-US" w:eastAsia="zh-CN"/>
        </w:rPr>
        <w:t>王因</w:t>
      </w:r>
      <w:r>
        <w:rPr>
          <w:rFonts w:hint="eastAsia" w:ascii="Times New Roman" w:hAnsi="Times New Roman" w:eastAsia="方正仿宋简体"/>
          <w:b/>
          <w:snapToGrid w:val="0"/>
          <w:color w:val="auto"/>
          <w:spacing w:val="0"/>
          <w:sz w:val="32"/>
          <w:szCs w:val="32"/>
        </w:rPr>
        <w:t>街道</w:t>
      </w:r>
      <w:r>
        <w:rPr>
          <w:rFonts w:hint="eastAsia" w:ascii="Times New Roman" w:hAnsi="Times New Roman" w:eastAsia="方正仿宋简体"/>
          <w:b/>
          <w:snapToGrid w:val="0"/>
          <w:color w:val="auto"/>
          <w:spacing w:val="0"/>
          <w:sz w:val="32"/>
          <w:szCs w:val="32"/>
          <w:lang w:val="en-US" w:eastAsia="zh-CN"/>
        </w:rPr>
        <w:t>持续对</w:t>
      </w:r>
      <w:r>
        <w:rPr>
          <w:rFonts w:hint="eastAsia" w:ascii="Times New Roman" w:hAnsi="Times New Roman" w:eastAsia="方正仿宋简体"/>
          <w:b/>
          <w:snapToGrid w:val="0"/>
          <w:color w:val="auto"/>
          <w:spacing w:val="0"/>
          <w:sz w:val="32"/>
          <w:szCs w:val="32"/>
        </w:rPr>
        <w:t>照省市区政务信息公开的要求，一是加强组织领导，提高思想认识，强化责任落实，确保政务信息公开工作落到实处；二是不断丰富政务信息公开的形式和内容，创新工作方式方法，提高信息的可读性和吸引力；三是加大培训和宣传力度，提高工作人员的业务水平和群众的知晓率，营造良好的政务信息公开氛围。</w:t>
      </w:r>
    </w:p>
    <w:p w14:paraId="28F1A7F8">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snapToGrid w:val="0"/>
          <w:color w:val="auto"/>
          <w:spacing w:val="0"/>
          <w:sz w:val="32"/>
          <w:szCs w:val="32"/>
        </w:rPr>
      </w:pPr>
      <w:r>
        <w:rPr>
          <w:rFonts w:hint="eastAsia" w:ascii="Times New Roman" w:hAnsi="Times New Roman" w:eastAsia="方正黑体简体"/>
          <w:b/>
          <w:snapToGrid w:val="0"/>
          <w:color w:val="auto"/>
          <w:spacing w:val="0"/>
          <w:sz w:val="32"/>
          <w:szCs w:val="32"/>
        </w:rPr>
        <w:t>六、其他需要报告的事项</w:t>
      </w:r>
    </w:p>
    <w:p w14:paraId="4DF07116">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snapToGrid w:val="0"/>
          <w:color w:val="auto"/>
          <w:spacing w:val="0"/>
          <w:sz w:val="32"/>
          <w:szCs w:val="32"/>
          <w:lang w:eastAsia="zh-CN"/>
        </w:rPr>
      </w:pPr>
      <w:r>
        <w:rPr>
          <w:rFonts w:hint="eastAsia" w:ascii="Times New Roman" w:hAnsi="Times New Roman" w:eastAsia="方正仿宋简体"/>
          <w:b/>
          <w:snapToGrid w:val="0"/>
          <w:color w:val="auto"/>
          <w:spacing w:val="0"/>
          <w:sz w:val="32"/>
          <w:szCs w:val="32"/>
        </w:rPr>
        <w:t>（一）</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Fonts w:hint="eastAsia" w:ascii="Times New Roman" w:hAnsi="Times New Roman" w:eastAsia="方正仿宋简体"/>
          <w:b/>
          <w:snapToGrid w:val="0"/>
          <w:color w:val="auto"/>
          <w:spacing w:val="0"/>
          <w:sz w:val="32"/>
          <w:szCs w:val="32"/>
          <w:lang w:eastAsia="zh-CN"/>
        </w:rPr>
        <w:t>：</w:t>
      </w:r>
    </w:p>
    <w:p w14:paraId="49DE35B5">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sz w:val="32"/>
          <w:szCs w:val="32"/>
          <w:lang w:val="en-US" w:eastAsia="zh-CN"/>
        </w:rPr>
        <w:t>2024年</w:t>
      </w:r>
      <w:r>
        <w:rPr>
          <w:rFonts w:hint="eastAsia" w:ascii="Times New Roman" w:hAnsi="Times New Roman" w:eastAsia="方正仿宋简体" w:cs="方正仿宋简体"/>
          <w:b/>
          <w:bCs/>
          <w:color w:val="auto"/>
          <w:sz w:val="32"/>
          <w:szCs w:val="32"/>
        </w:rPr>
        <w:t>度</w:t>
      </w:r>
      <w:r>
        <w:rPr>
          <w:rFonts w:hint="eastAsia" w:ascii="Times New Roman" w:hAnsi="Times New Roman" w:eastAsia="方正仿宋简体" w:cs="方正仿宋简体"/>
          <w:b/>
          <w:bCs/>
          <w:color w:val="auto"/>
          <w:sz w:val="32"/>
          <w:szCs w:val="32"/>
          <w:lang w:eastAsia="zh-CN"/>
        </w:rPr>
        <w:t>王因街道</w:t>
      </w:r>
      <w:r>
        <w:rPr>
          <w:rFonts w:hint="eastAsia" w:ascii="Times New Roman" w:hAnsi="Times New Roman" w:eastAsia="方正仿宋简体" w:cs="方正仿宋简体"/>
          <w:b/>
          <w:bCs/>
          <w:color w:val="auto"/>
          <w:sz w:val="32"/>
          <w:szCs w:val="32"/>
        </w:rPr>
        <w:t>未产生信息处理费</w:t>
      </w:r>
      <w:r>
        <w:rPr>
          <w:rFonts w:hint="eastAsia" w:ascii="Times New Roman" w:hAnsi="Times New Roman" w:eastAsia="方正仿宋简体" w:cs="方正仿宋简体"/>
          <w:b/>
          <w:bCs/>
          <w:color w:val="auto"/>
          <w:sz w:val="32"/>
          <w:szCs w:val="32"/>
          <w:lang w:eastAsia="zh-CN"/>
        </w:rPr>
        <w:t>。</w:t>
      </w:r>
    </w:p>
    <w:p w14:paraId="5DC830CC">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bCs/>
          <w:snapToGrid w:val="0"/>
          <w:color w:val="auto"/>
          <w:spacing w:val="0"/>
          <w:sz w:val="32"/>
          <w:szCs w:val="32"/>
          <w:lang w:eastAsia="zh-CN"/>
        </w:rPr>
      </w:pPr>
      <w:r>
        <w:rPr>
          <w:rFonts w:hint="eastAsia" w:ascii="Times New Roman" w:hAnsi="Times New Roman" w:eastAsia="方正仿宋简体"/>
          <w:b/>
          <w:bCs/>
          <w:snapToGrid w:val="0"/>
          <w:color w:val="auto"/>
          <w:spacing w:val="0"/>
          <w:sz w:val="32"/>
          <w:szCs w:val="32"/>
        </w:rPr>
        <w:t>（</w:t>
      </w:r>
      <w:r>
        <w:rPr>
          <w:rFonts w:hint="eastAsia" w:ascii="Times New Roman" w:hAnsi="Times New Roman" w:eastAsia="方正仿宋简体"/>
          <w:b/>
          <w:bCs/>
          <w:snapToGrid w:val="0"/>
          <w:color w:val="auto"/>
          <w:spacing w:val="0"/>
          <w:sz w:val="32"/>
          <w:szCs w:val="32"/>
          <w:lang w:eastAsia="zh-CN"/>
        </w:rPr>
        <w:t>二</w:t>
      </w:r>
      <w:r>
        <w:rPr>
          <w:rFonts w:hint="eastAsia" w:ascii="Times New Roman" w:hAnsi="Times New Roman" w:eastAsia="方正仿宋简体"/>
          <w:b/>
          <w:bCs/>
          <w:snapToGrid w:val="0"/>
          <w:color w:val="auto"/>
          <w:spacing w:val="0"/>
          <w:sz w:val="32"/>
          <w:szCs w:val="32"/>
        </w:rPr>
        <w:t>）</w:t>
      </w:r>
      <w:r>
        <w:rPr>
          <w:rFonts w:ascii="仿宋_GB2312" w:eastAsia="仿宋_GB2312"/>
          <w:b/>
          <w:bCs w:val="0"/>
          <w:color w:val="auto"/>
          <w:sz w:val="32"/>
          <w:szCs w:val="32"/>
        </w:rPr>
        <w:t>本行政机关落实上级年度政务公开工作要点情况</w:t>
      </w:r>
      <w:r>
        <w:rPr>
          <w:rFonts w:hint="eastAsia" w:eastAsia="方正仿宋简体"/>
          <w:b/>
          <w:bCs/>
          <w:snapToGrid w:val="0"/>
          <w:color w:val="auto"/>
          <w:spacing w:val="0"/>
          <w:sz w:val="32"/>
          <w:szCs w:val="32"/>
          <w:lang w:eastAsia="zh-CN"/>
        </w:rPr>
        <w:t>：</w:t>
      </w:r>
    </w:p>
    <w:p w14:paraId="66ED5B74">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b/>
          <w:bCs/>
          <w:color w:val="auto"/>
        </w:rPr>
      </w:pPr>
      <w:r>
        <w:rPr>
          <w:rFonts w:hint="eastAsia" w:eastAsia="方正仿宋简体" w:cs="方正仿宋简体"/>
          <w:b/>
          <w:bCs/>
          <w:color w:val="auto"/>
          <w:sz w:val="32"/>
          <w:szCs w:val="32"/>
          <w:lang w:eastAsia="zh-CN"/>
        </w:rPr>
        <w:t>一是</w:t>
      </w:r>
      <w:r>
        <w:rPr>
          <w:rFonts w:hint="eastAsia" w:ascii="Times New Roman" w:hAnsi="Times New Roman" w:eastAsia="方正仿宋简体" w:cs="方正仿宋简体"/>
          <w:b/>
          <w:bCs/>
          <w:color w:val="auto"/>
          <w:sz w:val="32"/>
          <w:szCs w:val="32"/>
        </w:rPr>
        <w:t>强化组织领导。街道明确了专门的政务公开负责同志，将政务公开纳入重要议事日程。定期召开工作会议，研究部署相关工作，确保政务公开工作有序推进。二是完善制度建设。进一步明确了政务公开的范围、内容、形式和程序，制定了严格的信息发布审核制度，遵循“谁主管，谁公开，谁负责”的原则，保证信息公开的准确性、真实性和保密性。三是聚焦民生关切。把群众最关心的事项作为公开重点，如就业、教育、医疗、社保等方面的政策和信息。及时发布相关政策文件解读，为群众提供清晰、易懂的政策指引。四是监督保障有力。强化内部监督，执行信息发布审核机制，由专人负责信息公开相关事宜，分管领导和业务人员积极参加信息公开培训，提高业务能力。</w:t>
      </w:r>
    </w:p>
    <w:p w14:paraId="6B01E6B3">
      <w:pPr>
        <w:ind w:firstLine="624" w:firstLineChars="200"/>
        <w:rPr>
          <w:rFonts w:hint="eastAsia" w:ascii="Times New Roman" w:hAnsi="Times New Roman" w:eastAsia="仿宋_GB2312"/>
          <w:b/>
          <w:bCs w:val="0"/>
          <w:color w:val="auto"/>
          <w:sz w:val="32"/>
          <w:szCs w:val="32"/>
          <w:lang w:eastAsia="zh-CN"/>
        </w:rPr>
      </w:pPr>
      <w:bookmarkStart w:id="0" w:name="_GoBack"/>
      <w:r>
        <w:rPr>
          <w:rFonts w:hint="eastAsia" w:ascii="Times New Roman" w:hAnsi="Times New Roman" w:eastAsia="仿宋_GB2312"/>
          <w:b/>
          <w:bCs w:val="0"/>
          <w:color w:val="auto"/>
          <w:sz w:val="32"/>
          <w:szCs w:val="32"/>
          <w:lang w:eastAsia="zh-CN"/>
        </w:rPr>
        <w:t>（三）</w:t>
      </w:r>
      <w:r>
        <w:rPr>
          <w:rFonts w:ascii="Times New Roman" w:hAnsi="Times New Roman" w:eastAsia="仿宋_GB2312"/>
          <w:b/>
          <w:bCs w:val="0"/>
          <w:color w:val="auto"/>
          <w:sz w:val="32"/>
          <w:szCs w:val="32"/>
        </w:rPr>
        <w:t>本行政机关人大代表建议和政协提案办理结果公开情</w:t>
      </w:r>
      <w:bookmarkEnd w:id="0"/>
      <w:r>
        <w:rPr>
          <w:rFonts w:ascii="Times New Roman" w:hAnsi="Times New Roman" w:eastAsia="仿宋_GB2312"/>
          <w:b/>
          <w:bCs w:val="0"/>
          <w:color w:val="auto"/>
          <w:sz w:val="32"/>
          <w:szCs w:val="32"/>
        </w:rPr>
        <w:t>况</w:t>
      </w:r>
      <w:r>
        <w:rPr>
          <w:rFonts w:hint="eastAsia" w:eastAsia="仿宋_GB2312"/>
          <w:b/>
          <w:bCs w:val="0"/>
          <w:color w:val="auto"/>
          <w:sz w:val="32"/>
          <w:szCs w:val="32"/>
          <w:lang w:eastAsia="zh-CN"/>
        </w:rPr>
        <w:t>：</w:t>
      </w:r>
    </w:p>
    <w:p w14:paraId="01D86C51">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sz w:val="32"/>
          <w:szCs w:val="32"/>
        </w:rPr>
        <w:t>202</w:t>
      </w:r>
      <w:r>
        <w:rPr>
          <w:rFonts w:hint="eastAsia" w:eastAsia="方正仿宋简体" w:cs="方正仿宋简体"/>
          <w:b/>
          <w:bCs/>
          <w:color w:val="auto"/>
          <w:sz w:val="32"/>
          <w:szCs w:val="32"/>
          <w:lang w:val="en-US" w:eastAsia="zh-CN"/>
        </w:rPr>
        <w:t>4</w:t>
      </w:r>
      <w:r>
        <w:rPr>
          <w:rFonts w:hint="eastAsia" w:ascii="Times New Roman" w:hAnsi="Times New Roman" w:eastAsia="方正仿宋简体" w:cs="方正仿宋简体"/>
          <w:b/>
          <w:bCs/>
          <w:color w:val="auto"/>
          <w:sz w:val="32"/>
          <w:szCs w:val="32"/>
        </w:rPr>
        <w:t>年未收到人大代表建议和政协提案</w:t>
      </w:r>
      <w:r>
        <w:rPr>
          <w:rFonts w:hint="eastAsia" w:eastAsia="方正仿宋简体" w:cs="方正仿宋简体"/>
          <w:b/>
          <w:bCs/>
          <w:color w:val="auto"/>
          <w:sz w:val="32"/>
          <w:szCs w:val="32"/>
          <w:lang w:eastAsia="zh-CN"/>
        </w:rPr>
        <w:t>。</w:t>
      </w:r>
    </w:p>
    <w:p w14:paraId="1B69A64D">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default" w:ascii="Times New Roman" w:hAnsi="Times New Roman" w:eastAsia="方正仿宋简体" w:cs="Times New Roman"/>
          <w:b/>
          <w:snapToGrid w:val="0"/>
          <w:color w:val="auto"/>
          <w:spacing w:val="0"/>
          <w:sz w:val="32"/>
          <w:szCs w:val="32"/>
          <w:lang w:val="en-US" w:eastAsia="zh-CN"/>
        </w:rPr>
      </w:pPr>
      <w:r>
        <w:rPr>
          <w:rFonts w:hint="eastAsia" w:ascii="Times New Roman" w:hAnsi="Times New Roman" w:eastAsia="方正仿宋简体" w:cs="Times New Roman"/>
          <w:b/>
          <w:snapToGrid w:val="0"/>
          <w:color w:val="auto"/>
          <w:spacing w:val="0"/>
          <w:sz w:val="32"/>
          <w:szCs w:val="32"/>
          <w:lang w:eastAsia="zh-CN"/>
        </w:rPr>
        <w:t>（</w:t>
      </w:r>
      <w:r>
        <w:rPr>
          <w:rFonts w:hint="eastAsia" w:eastAsia="方正仿宋简体" w:cs="Times New Roman"/>
          <w:b/>
          <w:snapToGrid w:val="0"/>
          <w:color w:val="auto"/>
          <w:spacing w:val="0"/>
          <w:sz w:val="32"/>
          <w:szCs w:val="32"/>
          <w:lang w:val="en-US" w:eastAsia="zh-CN"/>
        </w:rPr>
        <w:t>四</w:t>
      </w:r>
      <w:r>
        <w:rPr>
          <w:rFonts w:hint="eastAsia" w:ascii="Times New Roman" w:hAnsi="Times New Roman" w:eastAsia="方正仿宋简体" w:cs="Times New Roman"/>
          <w:b/>
          <w:snapToGrid w:val="0"/>
          <w:color w:val="auto"/>
          <w:spacing w:val="0"/>
          <w:sz w:val="32"/>
          <w:szCs w:val="32"/>
          <w:lang w:eastAsia="zh-CN"/>
        </w:rPr>
        <w:t>）</w:t>
      </w:r>
      <w:r>
        <w:rPr>
          <w:rFonts w:ascii="Times New Roman" w:hAnsi="Times New Roman" w:eastAsia="仿宋_GB2312"/>
          <w:b/>
          <w:bCs w:val="0"/>
          <w:color w:val="auto"/>
          <w:sz w:val="32"/>
          <w:szCs w:val="32"/>
        </w:rPr>
        <w:t>其他有关文件专门要求通过政府信息公开工作年度报告予以报告的事项：</w:t>
      </w:r>
      <w:r>
        <w:rPr>
          <w:rFonts w:hint="eastAsia" w:ascii="Times New Roman" w:hAnsi="Times New Roman" w:eastAsia="方正仿宋简体" w:cs="方正仿宋简体"/>
          <w:b/>
          <w:bCs/>
          <w:color w:val="auto"/>
          <w:sz w:val="32"/>
          <w:szCs w:val="32"/>
        </w:rPr>
        <w:t>无。</w:t>
      </w:r>
    </w:p>
    <w:sectPr>
      <w:footerReference r:id="rId4" w:type="first"/>
      <w:footerReference r:id="rId3" w:type="default"/>
      <w:pgSz w:w="11906" w:h="16838"/>
      <w:pgMar w:top="1701" w:right="1474" w:bottom="1247" w:left="1588" w:header="851" w:footer="850" w:gutter="0"/>
      <w:pgNumType w:fmt="numberInDash" w:start="2"/>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807AEB-3B16-4928-B9AD-0B0857C33C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FCA2D9-D916-4D96-9048-5296A5AE2654}"/>
  </w:font>
  <w:font w:name="方正仿宋简体">
    <w:panose1 w:val="03000509000000000000"/>
    <w:charset w:val="86"/>
    <w:family w:val="auto"/>
    <w:pitch w:val="default"/>
    <w:sig w:usb0="00000001" w:usb1="080E0000" w:usb2="00000000" w:usb3="00000000" w:csb0="00040000" w:csb1="00000000"/>
    <w:embedRegular r:id="rId3" w:fontKey="{2D7276A9-2718-47EA-AB86-07B23850BE8C}"/>
  </w:font>
  <w:font w:name="方正小标宋简体">
    <w:panose1 w:val="03000509000000000000"/>
    <w:charset w:val="86"/>
    <w:family w:val="auto"/>
    <w:pitch w:val="default"/>
    <w:sig w:usb0="00000001" w:usb1="080E0000" w:usb2="00000000" w:usb3="00000000" w:csb0="00040000" w:csb1="00000000"/>
    <w:embedRegular r:id="rId4" w:fontKey="{F4A17E78-1C04-49FA-A004-46652B269DCD}"/>
  </w:font>
  <w:font w:name="方正黑体简体">
    <w:altName w:val="微软雅黑"/>
    <w:panose1 w:val="02010601030101010101"/>
    <w:charset w:val="86"/>
    <w:family w:val="auto"/>
    <w:pitch w:val="default"/>
    <w:sig w:usb0="00000000" w:usb1="00000000" w:usb2="00000000" w:usb3="00000000" w:csb0="00040000" w:csb1="00000000"/>
    <w:embedRegular r:id="rId5" w:fontKey="{D1FFBB90-67C8-4FBD-8817-134B6483D0D3}"/>
  </w:font>
  <w:font w:name="方正楷体简体">
    <w:panose1 w:val="03000509000000000000"/>
    <w:charset w:val="86"/>
    <w:family w:val="auto"/>
    <w:pitch w:val="default"/>
    <w:sig w:usb0="00000001" w:usb1="080E0000" w:usb2="00000000" w:usb3="00000000" w:csb0="00040000" w:csb1="00000000"/>
    <w:embedRegular r:id="rId6" w:fontKey="{825500FA-FB32-40AE-8999-7E5FCD5C5AE2}"/>
  </w:font>
  <w:font w:name="楷体">
    <w:panose1 w:val="02010609060101010101"/>
    <w:charset w:val="86"/>
    <w:family w:val="modern"/>
    <w:pitch w:val="default"/>
    <w:sig w:usb0="800002BF" w:usb1="38CF7CFA" w:usb2="00000016" w:usb3="00000000" w:csb0="00040001" w:csb1="00000000"/>
    <w:embedRegular r:id="rId7" w:fontKey="{A47919E3-0AD8-4AD4-BD40-60EF94633535}"/>
  </w:font>
  <w:font w:name="仿宋_GB2312">
    <w:panose1 w:val="02010609030101010101"/>
    <w:charset w:val="86"/>
    <w:family w:val="decorative"/>
    <w:pitch w:val="default"/>
    <w:sig w:usb0="00000001" w:usb1="080E0000" w:usb2="00000000" w:usb3="00000000" w:csb0="00040000" w:csb1="00000000"/>
    <w:embedRegular r:id="rId8" w:fontKey="{F8888889-4E4C-4F36-B98D-6767EEE727A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3160">
    <w:pPr>
      <w:pStyle w:val="6"/>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0FFE">
                          <w:pPr>
                            <w:pStyle w:val="6"/>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B10FFE">
                    <w:pPr>
                      <w:pStyle w:val="6"/>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F710">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183589">
                          <w:pPr>
                            <w:pStyle w:val="6"/>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183589">
                    <w:pPr>
                      <w:pStyle w:val="6"/>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00000000"/>
    <w:rsid w:val="036518F7"/>
    <w:rsid w:val="048B59A4"/>
    <w:rsid w:val="067E74C9"/>
    <w:rsid w:val="098E6616"/>
    <w:rsid w:val="0CE26EBC"/>
    <w:rsid w:val="14184E48"/>
    <w:rsid w:val="15F7380A"/>
    <w:rsid w:val="1CE819CC"/>
    <w:rsid w:val="21AF0D0A"/>
    <w:rsid w:val="21DA39AD"/>
    <w:rsid w:val="23694D73"/>
    <w:rsid w:val="243E6E1B"/>
    <w:rsid w:val="25B80400"/>
    <w:rsid w:val="2A0A3393"/>
    <w:rsid w:val="2AAE3090"/>
    <w:rsid w:val="2CAF7CA9"/>
    <w:rsid w:val="2D3E3873"/>
    <w:rsid w:val="3003723B"/>
    <w:rsid w:val="32C25487"/>
    <w:rsid w:val="34924B64"/>
    <w:rsid w:val="380169D0"/>
    <w:rsid w:val="38E46700"/>
    <w:rsid w:val="39123238"/>
    <w:rsid w:val="3F316DAB"/>
    <w:rsid w:val="43EB259F"/>
    <w:rsid w:val="47431EF8"/>
    <w:rsid w:val="4C6946CC"/>
    <w:rsid w:val="4C876937"/>
    <w:rsid w:val="50B5430C"/>
    <w:rsid w:val="50FB37C4"/>
    <w:rsid w:val="51D55866"/>
    <w:rsid w:val="521B542A"/>
    <w:rsid w:val="54E47B75"/>
    <w:rsid w:val="54F80E38"/>
    <w:rsid w:val="55593435"/>
    <w:rsid w:val="5A907813"/>
    <w:rsid w:val="5C417A95"/>
    <w:rsid w:val="5C803EDE"/>
    <w:rsid w:val="643230B6"/>
    <w:rsid w:val="65C22C06"/>
    <w:rsid w:val="68083D47"/>
    <w:rsid w:val="68761B92"/>
    <w:rsid w:val="6C163AE2"/>
    <w:rsid w:val="6EA40C7B"/>
    <w:rsid w:val="71FC22AC"/>
    <w:rsid w:val="75C35675"/>
    <w:rsid w:val="7BF2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80" w:lineRule="exact"/>
      <w:ind w:left="0" w:leftChars="0" w:firstLine="420" w:firstLineChars="200"/>
    </w:pPr>
    <w:rPr>
      <w:rFonts w:ascii="Times New Roman" w:hAnsi="Times New Roman" w:cs="Times New Roman"/>
    </w:rPr>
  </w:style>
  <w:style w:type="paragraph" w:styleId="3">
    <w:name w:val="Body Text Indent"/>
    <w:basedOn w:val="1"/>
    <w:qFormat/>
    <w:uiPriority w:val="0"/>
    <w:pPr>
      <w:spacing w:after="120" w:afterLines="0" w:afterAutospacing="0"/>
      <w:ind w:left="420" w:left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sz w:val="24"/>
    </w:rPr>
  </w:style>
  <w:style w:type="character" w:styleId="10">
    <w:name w:val="Strong"/>
    <w:qFormat/>
    <w:uiPriority w:val="0"/>
    <w:rPr>
      <w:b/>
      <w:bCs/>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[工作簿1]Sheet1!$F$4</c:f>
              <c:strCache>
                <c:ptCount val="1"/>
                <c:pt idx="0">
                  <c:v>王因街道主动公开政府信息情况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Lbls>
            <c:delete val="1"/>
          </c:dLbls>
          <c:cat>
            <c:strRef>
              <c:f>[工作簿1]Sheet1!$E$5:$E$15</c:f>
              <c:strCache>
                <c:ptCount val="11"/>
                <c:pt idx="0">
                  <c:v>街道办事处文件</c:v>
                </c:pt>
                <c:pt idx="1">
                  <c:v>街道会议</c:v>
                </c:pt>
                <c:pt idx="2">
                  <c:v>部门预算</c:v>
                </c:pt>
                <c:pt idx="3">
                  <c:v>公开招聘</c:v>
                </c:pt>
                <c:pt idx="4">
                  <c:v>公益性活动</c:v>
                </c:pt>
                <c:pt idx="5">
                  <c:v>通知公告</c:v>
                </c:pt>
                <c:pt idx="6">
                  <c:v>应急预案</c:v>
                </c:pt>
                <c:pt idx="7">
                  <c:v>预警信息</c:v>
                </c:pt>
                <c:pt idx="8">
                  <c:v>主动公开基本目录</c:v>
                </c:pt>
                <c:pt idx="9">
                  <c:v>试点领域标准目录</c:v>
                </c:pt>
                <c:pt idx="10">
                  <c:v>政务公开工作推进</c:v>
                </c:pt>
              </c:strCache>
            </c:strRef>
          </c:cat>
          <c:val>
            <c:numRef>
              <c:f>[工作簿1]Sheet1!$F$5:$F$15</c:f>
              <c:numCache>
                <c:formatCode>General</c:formatCode>
                <c:ptCount val="11"/>
                <c:pt idx="0">
                  <c:v>1</c:v>
                </c:pt>
                <c:pt idx="1">
                  <c:v>2</c:v>
                </c:pt>
                <c:pt idx="2">
                  <c:v>2</c:v>
                </c:pt>
                <c:pt idx="3">
                  <c:v>3</c:v>
                </c:pt>
                <c:pt idx="4">
                  <c:v>2</c:v>
                </c:pt>
                <c:pt idx="5">
                  <c:v>3</c:v>
                </c:pt>
                <c:pt idx="6">
                  <c:v>1</c:v>
                </c:pt>
                <c:pt idx="7">
                  <c:v>2</c:v>
                </c:pt>
                <c:pt idx="8">
                  <c:v>1</c:v>
                </c:pt>
                <c:pt idx="9">
                  <c:v>1</c:v>
                </c:pt>
                <c:pt idx="1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57c9fd-ca55-4885-8bbf-54df0a46c1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2417</Words>
  <Characters>2508</Characters>
  <Lines>0</Lines>
  <Paragraphs>0</Paragraphs>
  <TotalTime>1</TotalTime>
  <ScaleCrop>false</ScaleCrop>
  <LinksUpToDate>false</LinksUpToDate>
  <CharactersWithSpaces>2508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2023-02-02T07:59:00Z</dcterms:created>
  <dc:creator>Administrator</dc:creator>
  <cp:lastModifiedBy>张满月</cp:lastModifiedBy>
  <cp:lastPrinted>2024-01-19T11:05:00Z</cp:lastPrinted>
  <dcterms:modified xsi:type="dcterms:W3CDTF">2025-01-22T10:11:30Z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E0CD7D1E5CF840D18960466F784D02BA_13</vt:lpwstr>
  </property>
  <property fmtid="{D5CDD505-2E9C-101B-9397-08002B2CF9AE}" pid="4" name="KSOTemplateDocerSaveRecord">
    <vt:lpwstr>eyJoZGlkIjoiODI0MjUyNDQ3ZDNmOWFkZjkxMmFiZTAwZGNhODEwYzAiLCJ1c2VySWQiOiIxMDcwNjU0NDE5In0=</vt:lpwstr>
  </property>
</Properties>
</file>