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8903407">
      <w:pPr>
        <w:keepNext w:val="0"/>
        <w:keepLines w:val="0"/>
        <w:pageBreakBefore w:val="0"/>
        <w:kinsoku/>
        <w:wordWrap/>
        <w:overflowPunct/>
        <w:topLinePunct w:val="0"/>
        <w:autoSpaceDE/>
        <w:autoSpaceDN/>
        <w:bidi w:val="0"/>
        <w:adjustRightInd/>
        <w:snapToGrid/>
        <w:spacing w:line="560" w:lineRule="exact"/>
        <w:ind w:right="-105" w:rightChars="-50"/>
        <w:jc w:val="center"/>
        <w:textAlignment w:val="auto"/>
        <w:outlineLvl w:val="0"/>
        <w:rPr>
          <w:rFonts w:hint="default" w:ascii="Times New Roman" w:hAnsi="Times New Roman" w:eastAsia="方正小标宋简体" w:cs="Times New Roman"/>
          <w:b/>
          <w:bCs w:val="0"/>
          <w:color w:val="000000"/>
          <w:sz w:val="44"/>
          <w:szCs w:val="44"/>
        </w:rPr>
      </w:pPr>
      <w:r>
        <w:rPr>
          <w:rFonts w:hint="default" w:ascii="Times New Roman" w:hAnsi="Times New Roman" w:eastAsia="方正小标宋简体" w:cs="Times New Roman"/>
          <w:b/>
          <w:bCs w:val="0"/>
          <w:color w:val="000000"/>
          <w:sz w:val="44"/>
          <w:szCs w:val="44"/>
          <w:lang w:val="en-US" w:eastAsia="zh-CN"/>
        </w:rPr>
        <w:t>济宁高新区科技创新局</w:t>
      </w:r>
      <w:r>
        <w:rPr>
          <w:rFonts w:hint="default" w:ascii="Times New Roman" w:hAnsi="Times New Roman" w:eastAsia="方正小标宋简体" w:cs="Times New Roman"/>
          <w:b/>
          <w:bCs w:val="0"/>
          <w:color w:val="000000"/>
          <w:sz w:val="44"/>
          <w:szCs w:val="44"/>
        </w:rPr>
        <w:t>202</w:t>
      </w:r>
      <w:r>
        <w:rPr>
          <w:rFonts w:hint="default" w:ascii="Times New Roman" w:hAnsi="Times New Roman" w:eastAsia="方正小标宋简体" w:cs="Times New Roman"/>
          <w:b/>
          <w:bCs w:val="0"/>
          <w:color w:val="000000"/>
          <w:sz w:val="44"/>
          <w:szCs w:val="44"/>
          <w:lang w:val="en-US" w:eastAsia="zh-CN"/>
        </w:rPr>
        <w:t>5</w:t>
      </w:r>
      <w:r>
        <w:rPr>
          <w:rFonts w:hint="default" w:ascii="Times New Roman" w:hAnsi="Times New Roman" w:eastAsia="方正小标宋简体" w:cs="Times New Roman"/>
          <w:b/>
          <w:bCs w:val="0"/>
          <w:color w:val="000000"/>
          <w:sz w:val="44"/>
          <w:szCs w:val="44"/>
        </w:rPr>
        <w:t>年政府信息</w:t>
      </w:r>
    </w:p>
    <w:p w14:paraId="6B8F17B2">
      <w:pPr>
        <w:keepNext w:val="0"/>
        <w:keepLines w:val="0"/>
        <w:pageBreakBefore w:val="0"/>
        <w:kinsoku/>
        <w:wordWrap/>
        <w:overflowPunct/>
        <w:topLinePunct w:val="0"/>
        <w:autoSpaceDE/>
        <w:autoSpaceDN/>
        <w:bidi w:val="0"/>
        <w:adjustRightInd/>
        <w:snapToGrid/>
        <w:spacing w:line="560" w:lineRule="exact"/>
        <w:ind w:right="-105" w:rightChars="-50"/>
        <w:jc w:val="center"/>
        <w:textAlignment w:val="auto"/>
        <w:outlineLvl w:val="0"/>
        <w:rPr>
          <w:rFonts w:hint="default" w:ascii="Times New Roman" w:hAnsi="Times New Roman" w:eastAsia="方正小标宋简体" w:cs="Times New Roman"/>
          <w:b/>
          <w:bCs w:val="0"/>
          <w:color w:val="000000"/>
          <w:sz w:val="44"/>
          <w:szCs w:val="44"/>
        </w:rPr>
      </w:pPr>
      <w:r>
        <w:rPr>
          <w:rFonts w:hint="default" w:ascii="Times New Roman" w:hAnsi="Times New Roman" w:eastAsia="方正小标宋简体" w:cs="Times New Roman"/>
          <w:b/>
          <w:bCs w:val="0"/>
          <w:color w:val="000000"/>
          <w:sz w:val="44"/>
          <w:szCs w:val="44"/>
        </w:rPr>
        <w:t>公开工作年度报告</w:t>
      </w:r>
    </w:p>
    <w:p w14:paraId="14B124B8">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b/>
          <w:bCs w:val="0"/>
        </w:rPr>
      </w:pPr>
    </w:p>
    <w:p w14:paraId="74C724DD">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b/>
          <w:bCs w:val="0"/>
          <w:sz w:val="30"/>
          <w:szCs w:val="30"/>
          <w:lang w:val="en-US" w:eastAsia="zh-CN"/>
        </w:rPr>
      </w:pPr>
      <w:r>
        <w:rPr>
          <w:rFonts w:hint="default" w:ascii="Times New Roman" w:hAnsi="Times New Roman" w:eastAsia="方正仿宋简体" w:cs="Times New Roman"/>
          <w:b/>
          <w:bCs w:val="0"/>
          <w:sz w:val="30"/>
          <w:szCs w:val="30"/>
          <w:lang w:val="en-US" w:eastAsia="zh-CN"/>
        </w:rPr>
        <w:t>本报告由济宁高新区科技创新局按照《中华人民共和国政府信息公开条例》（以下简称《条例》）和《中华人民共和国政府信息公开工作年度报告格式》（国办公开办函〔2021〕30 号）要求编制。</w:t>
      </w:r>
    </w:p>
    <w:p w14:paraId="0A754BA4">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b/>
          <w:bCs w:val="0"/>
          <w:sz w:val="30"/>
          <w:szCs w:val="30"/>
          <w:lang w:val="en-US" w:eastAsia="zh-CN"/>
        </w:rPr>
      </w:pPr>
      <w:r>
        <w:rPr>
          <w:rFonts w:hint="default" w:ascii="Times New Roman" w:hAnsi="Times New Roman" w:eastAsia="方正仿宋简体" w:cs="Times New Roman"/>
          <w:b/>
          <w:bCs w:val="0"/>
          <w:sz w:val="30"/>
          <w:szCs w:val="30"/>
          <w:lang w:val="en-US" w:eastAsia="zh-CN"/>
        </w:rPr>
        <w:t>本报告内容包括总体情况、主动公开政府信息情况、收到和处理政府信息公开申请情况、政府信息公开行政复议和行政诉讼情况、存在的主要问题及改进情况、其他需要报告的事项等六部分内容。</w:t>
      </w:r>
    </w:p>
    <w:p w14:paraId="7166EC8D">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b/>
          <w:bCs w:val="0"/>
          <w:sz w:val="30"/>
          <w:szCs w:val="30"/>
        </w:rPr>
      </w:pPr>
      <w:r>
        <w:rPr>
          <w:rFonts w:hint="default" w:ascii="Times New Roman" w:hAnsi="Times New Roman" w:eastAsia="方正仿宋简体" w:cs="Times New Roman"/>
          <w:b/>
          <w:bCs w:val="0"/>
          <w:sz w:val="30"/>
          <w:szCs w:val="30"/>
          <w:lang w:val="en-US" w:eastAsia="zh-CN"/>
        </w:rPr>
        <w:t>本报告所列数据的统计期限自2025年1月1日起至2025年 12月31日止。本报告电子版可在 “济宁国家高新技术产业开发区” 管委会门户网站（</w:t>
      </w:r>
      <w:r>
        <w:rPr>
          <w:rFonts w:hint="default" w:ascii="Times New Roman" w:hAnsi="Times New Roman" w:eastAsia="方正仿宋简体" w:cs="Times New Roman"/>
          <w:b/>
          <w:bCs w:val="0"/>
          <w:sz w:val="30"/>
          <w:szCs w:val="30"/>
          <w:lang w:val="en-US" w:eastAsia="zh-CN"/>
        </w:rPr>
        <w:fldChar w:fldCharType="begin"/>
      </w:r>
      <w:r>
        <w:rPr>
          <w:rFonts w:hint="default" w:ascii="Times New Roman" w:hAnsi="Times New Roman" w:eastAsia="方正仿宋简体" w:cs="Times New Roman"/>
          <w:b/>
          <w:bCs w:val="0"/>
          <w:sz w:val="30"/>
          <w:szCs w:val="30"/>
          <w:lang w:val="en-US" w:eastAsia="zh-CN"/>
        </w:rPr>
        <w:instrText xml:space="preserve"> HYPERLINK "http://www.jnhn.gov.cn" \t "_blank" </w:instrText>
      </w:r>
      <w:r>
        <w:rPr>
          <w:rFonts w:hint="default" w:ascii="Times New Roman" w:hAnsi="Times New Roman" w:eastAsia="方正仿宋简体" w:cs="Times New Roman"/>
          <w:b/>
          <w:bCs w:val="0"/>
          <w:sz w:val="30"/>
          <w:szCs w:val="30"/>
          <w:lang w:val="en-US" w:eastAsia="zh-CN"/>
        </w:rPr>
        <w:fldChar w:fldCharType="separate"/>
      </w:r>
      <w:r>
        <w:rPr>
          <w:rFonts w:hint="default" w:ascii="Times New Roman" w:hAnsi="Times New Roman" w:eastAsia="方正仿宋简体" w:cs="Times New Roman"/>
          <w:b/>
          <w:bCs w:val="0"/>
          <w:sz w:val="30"/>
          <w:szCs w:val="30"/>
        </w:rPr>
        <w:t>http://www.jnhn.gov.cn</w:t>
      </w:r>
      <w:r>
        <w:rPr>
          <w:rFonts w:hint="default" w:ascii="Times New Roman" w:hAnsi="Times New Roman" w:eastAsia="方正仿宋简体" w:cs="Times New Roman"/>
          <w:b/>
          <w:bCs w:val="0"/>
          <w:sz w:val="30"/>
          <w:szCs w:val="30"/>
          <w:lang w:val="en-US" w:eastAsia="zh-CN"/>
        </w:rPr>
        <w:fldChar w:fldCharType="end"/>
      </w:r>
      <w:r>
        <w:rPr>
          <w:rFonts w:hint="default" w:ascii="Times New Roman" w:hAnsi="Times New Roman" w:eastAsia="方正仿宋简体" w:cs="Times New Roman"/>
          <w:b/>
          <w:bCs w:val="0"/>
          <w:sz w:val="30"/>
          <w:szCs w:val="30"/>
          <w:lang w:val="en-US" w:eastAsia="zh-CN"/>
        </w:rPr>
        <w:t>）查阅或下载。如对本报告有疑问，请与济宁高新区科技创新局联系（济宁高新区海川路产学研基地T2栋10楼，联系电话：0537-3255911）。</w:t>
      </w:r>
    </w:p>
    <w:p w14:paraId="07A4044C">
      <w:pPr>
        <w:keepNext w:val="0"/>
        <w:keepLines w:val="0"/>
        <w:pageBreakBefore w:val="0"/>
        <w:kinsoku/>
        <w:wordWrap/>
        <w:overflowPunct/>
        <w:topLinePunct w:val="0"/>
        <w:autoSpaceDE/>
        <w:autoSpaceDN/>
        <w:bidi w:val="0"/>
        <w:adjustRightInd/>
        <w:snapToGrid/>
        <w:spacing w:line="560" w:lineRule="exact"/>
        <w:ind w:firstLine="600" w:firstLineChars="200"/>
        <w:textAlignment w:val="auto"/>
        <w:rPr>
          <w:rFonts w:hint="default" w:ascii="Times New Roman" w:hAnsi="Times New Roman" w:eastAsia="方正黑体简体" w:cs="Times New Roman"/>
          <w:b/>
          <w:bCs w:val="0"/>
          <w:sz w:val="30"/>
          <w:szCs w:val="30"/>
        </w:rPr>
      </w:pPr>
      <w:r>
        <w:rPr>
          <w:rFonts w:hint="default" w:ascii="Times New Roman" w:hAnsi="Times New Roman" w:eastAsia="方正黑体简体" w:cs="Times New Roman"/>
          <w:b/>
          <w:bCs w:val="0"/>
          <w:sz w:val="30"/>
          <w:szCs w:val="30"/>
        </w:rPr>
        <w:t>一、总体情况</w:t>
      </w:r>
    </w:p>
    <w:p w14:paraId="3FFFF244">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b/>
          <w:bCs w:val="0"/>
          <w:sz w:val="30"/>
          <w:szCs w:val="30"/>
        </w:rPr>
      </w:pPr>
      <w:r>
        <w:rPr>
          <w:rFonts w:hint="default" w:ascii="Times New Roman" w:hAnsi="Times New Roman" w:eastAsia="方正仿宋简体" w:cs="Times New Roman"/>
          <w:b/>
          <w:bCs w:val="0"/>
          <w:sz w:val="30"/>
          <w:szCs w:val="30"/>
          <w:lang w:val="en-US" w:eastAsia="zh-CN"/>
        </w:rPr>
        <w:t>2025 年，济宁高新区科技创新局深入贯彻《中华人民共和国政府信息公开条例》及《山东省政府信息公开办法》相关要求，持续强化组织领导，不断健全工作机制，优化公开流程，丰富公开载体，稳步推进科技创新领域政务公开工作提质增效。</w:t>
      </w:r>
    </w:p>
    <w:p w14:paraId="08C226CF">
      <w:pPr>
        <w:spacing w:line="590" w:lineRule="exact"/>
        <w:ind w:right="-105" w:rightChars="-50" w:firstLine="643" w:firstLineChars="200"/>
        <w:rPr>
          <w:rFonts w:hint="default" w:ascii="方正楷体简体" w:hAnsi="Times New Roman" w:eastAsia="方正楷体简体" w:cs="Times New Roman"/>
          <w:b/>
          <w:color w:val="000000" w:themeColor="text1"/>
          <w:kern w:val="0"/>
          <w:sz w:val="32"/>
          <w:szCs w:val="32"/>
          <w14:textFill>
            <w14:solidFill>
              <w14:schemeClr w14:val="tx1"/>
            </w14:solidFill>
          </w14:textFill>
        </w:rPr>
      </w:pPr>
      <w:r>
        <w:rPr>
          <w:rFonts w:hint="default" w:ascii="方正楷体简体" w:hAnsi="Times New Roman" w:eastAsia="方正楷体简体" w:cs="Times New Roman"/>
          <w:b/>
          <w:color w:val="000000" w:themeColor="text1"/>
          <w:kern w:val="0"/>
          <w:sz w:val="32"/>
          <w:szCs w:val="32"/>
          <w14:textFill>
            <w14:solidFill>
              <w14:schemeClr w14:val="tx1"/>
            </w14:solidFill>
          </w14:textFill>
        </w:rPr>
        <w:t>（一）主动公开情况</w:t>
      </w:r>
    </w:p>
    <w:p w14:paraId="2FE6E095">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imes New Roman" w:hAnsi="Times New Roman" w:eastAsia="方正仿宋简体" w:cs="Times New Roman"/>
          <w:b/>
          <w:bCs w:val="0"/>
          <w:sz w:val="30"/>
          <w:szCs w:val="30"/>
          <w:lang w:val="en-US" w:eastAsia="zh-CN"/>
        </w:rPr>
      </w:pPr>
      <w:r>
        <w:rPr>
          <w:rFonts w:hint="default" w:ascii="Times New Roman" w:hAnsi="Times New Roman" w:eastAsia="方正仿宋简体" w:cs="Times New Roman"/>
          <w:b/>
          <w:bCs w:val="0"/>
          <w:sz w:val="30"/>
          <w:szCs w:val="30"/>
          <w:lang w:val="en-US" w:eastAsia="zh-CN"/>
        </w:rPr>
        <w:t>坚持 “以公开为常态、不公开为例外” 原则，聚焦科技创新核心业务、重点工作推进、政策落实成效等公众关切，全面拓展主动公开范围。2025 年度，公开部门会议7次，及时传递工作部署与推进动态；发布主动公开基本目录1次，更新信息公开年报1次，确保公开内容的系统性与规范性；</w:t>
      </w:r>
      <w:r>
        <w:rPr>
          <w:rFonts w:hint="eastAsia" w:ascii="Times New Roman" w:hAnsi="Times New Roman" w:eastAsia="方正仿宋简体" w:cs="Times New Roman"/>
          <w:b/>
          <w:bCs w:val="0"/>
          <w:sz w:val="30"/>
          <w:szCs w:val="30"/>
          <w:lang w:val="en-US" w:eastAsia="zh-CN"/>
        </w:rPr>
        <w:t>其他政务信息4条，共计13条；</w:t>
      </w:r>
      <w:r>
        <w:rPr>
          <w:rFonts w:hint="default" w:ascii="Times New Roman" w:hAnsi="Times New Roman" w:eastAsia="方正仿宋简体" w:cs="Times New Roman"/>
          <w:b/>
          <w:bCs w:val="0"/>
          <w:sz w:val="30"/>
          <w:szCs w:val="30"/>
          <w:lang w:val="en-US" w:eastAsia="zh-CN"/>
        </w:rPr>
        <w:t>高效回应政务热线23条，办结率与满意度均达 100%，切实解决群众诉求</w:t>
      </w:r>
      <w:r>
        <w:rPr>
          <w:rFonts w:hint="eastAsia" w:ascii="Times New Roman" w:hAnsi="Times New Roman" w:eastAsia="方正仿宋简体" w:cs="Times New Roman"/>
          <w:b/>
          <w:bCs w:val="0"/>
          <w:sz w:val="30"/>
          <w:szCs w:val="30"/>
          <w:lang w:val="en-US" w:eastAsia="zh-CN"/>
        </w:rPr>
        <w:t>。</w:t>
      </w:r>
    </w:p>
    <w:p w14:paraId="54DB1D38">
      <w:pPr>
        <w:keepNext w:val="0"/>
        <w:keepLines w:val="0"/>
        <w:pageBreakBefore w:val="0"/>
        <w:kinsoku/>
        <w:wordWrap/>
        <w:overflowPunct/>
        <w:topLinePunct w:val="0"/>
        <w:autoSpaceDE/>
        <w:autoSpaceDN/>
        <w:bidi w:val="0"/>
        <w:adjustRightInd/>
        <w:snapToGrid/>
        <w:spacing w:line="240" w:lineRule="auto"/>
        <w:textAlignment w:val="auto"/>
        <w:rPr>
          <w:rFonts w:hint="default" w:ascii="Times New Roman" w:hAnsi="Times New Roman" w:eastAsia="方正仿宋简体" w:cs="Times New Roman"/>
          <w:b/>
          <w:bCs w:val="0"/>
          <w:sz w:val="30"/>
          <w:szCs w:val="30"/>
          <w:lang w:val="en-US" w:eastAsia="zh-CN"/>
        </w:rPr>
      </w:pPr>
      <w:r>
        <w:rPr>
          <w:rFonts w:hint="default" w:ascii="Times New Roman" w:hAnsi="Times New Roman" w:eastAsia="方正仿宋简体" w:cs="Times New Roman"/>
          <w:b/>
          <w:bCs w:val="0"/>
          <w:sz w:val="30"/>
          <w:szCs w:val="30"/>
          <w:lang w:val="en-US" w:eastAsia="zh-CN"/>
        </w:rPr>
        <w:drawing>
          <wp:inline distT="0" distB="0" distL="114300" distR="114300">
            <wp:extent cx="5272405" cy="3491230"/>
            <wp:effectExtent l="0" t="0" r="4445" b="13970"/>
            <wp:docPr id="1" name="图片 1" descr="主动公开图表"/>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主动公开图表"/>
                    <pic:cNvPicPr>
                      <a:picLocks noChangeAspect="1"/>
                    </pic:cNvPicPr>
                  </pic:nvPicPr>
                  <pic:blipFill>
                    <a:blip r:embed="rId4"/>
                    <a:stretch>
                      <a:fillRect/>
                    </a:stretch>
                  </pic:blipFill>
                  <pic:spPr>
                    <a:xfrm>
                      <a:off x="0" y="0"/>
                      <a:ext cx="5272405" cy="3491230"/>
                    </a:xfrm>
                    <a:prstGeom prst="rect">
                      <a:avLst/>
                    </a:prstGeom>
                  </pic:spPr>
                </pic:pic>
              </a:graphicData>
            </a:graphic>
          </wp:inline>
        </w:drawing>
      </w:r>
      <w:bookmarkStart w:id="0" w:name="_GoBack"/>
      <w:bookmarkEnd w:id="0"/>
    </w:p>
    <w:p w14:paraId="089741F6">
      <w:pPr>
        <w:spacing w:line="590" w:lineRule="exact"/>
        <w:ind w:right="-105" w:rightChars="-50" w:firstLine="643" w:firstLineChars="200"/>
        <w:rPr>
          <w:rFonts w:hint="default" w:ascii="方正楷体简体" w:hAnsi="Times New Roman" w:eastAsia="方正楷体简体" w:cs="Times New Roman"/>
          <w:b/>
          <w:color w:val="000000" w:themeColor="text1"/>
          <w:kern w:val="0"/>
          <w:sz w:val="32"/>
          <w:szCs w:val="32"/>
          <w14:textFill>
            <w14:solidFill>
              <w14:schemeClr w14:val="tx1"/>
            </w14:solidFill>
          </w14:textFill>
        </w:rPr>
      </w:pPr>
      <w:r>
        <w:rPr>
          <w:rFonts w:hint="default" w:ascii="方正楷体简体" w:hAnsi="Times New Roman" w:eastAsia="方正楷体简体" w:cs="Times New Roman"/>
          <w:b/>
          <w:color w:val="000000" w:themeColor="text1"/>
          <w:kern w:val="0"/>
          <w:sz w:val="32"/>
          <w:szCs w:val="32"/>
          <w14:textFill>
            <w14:solidFill>
              <w14:schemeClr w14:val="tx1"/>
            </w14:solidFill>
          </w14:textFill>
        </w:rPr>
        <w:t>（二）依申请公开情况</w:t>
      </w:r>
    </w:p>
    <w:p w14:paraId="1CC4612C">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b/>
          <w:bCs w:val="0"/>
          <w:sz w:val="30"/>
          <w:szCs w:val="30"/>
        </w:rPr>
      </w:pPr>
      <w:r>
        <w:rPr>
          <w:rFonts w:hint="default" w:ascii="Times New Roman" w:hAnsi="Times New Roman" w:eastAsia="方正仿宋简体" w:cs="Times New Roman"/>
          <w:b/>
          <w:bCs w:val="0"/>
          <w:sz w:val="30"/>
          <w:szCs w:val="30"/>
          <w:lang w:val="en-US" w:eastAsia="zh-CN"/>
        </w:rPr>
        <w:t>2025年</w:t>
      </w:r>
      <w:r>
        <w:rPr>
          <w:rFonts w:hint="eastAsia" w:ascii="Times New Roman" w:hAnsi="Times New Roman" w:eastAsia="方正仿宋简体" w:cs="Times New Roman"/>
          <w:b/>
          <w:bCs w:val="0"/>
          <w:sz w:val="30"/>
          <w:szCs w:val="30"/>
          <w:lang w:val="en-US" w:eastAsia="zh-CN"/>
        </w:rPr>
        <w:t>我局</w:t>
      </w:r>
      <w:r>
        <w:rPr>
          <w:rFonts w:hint="default" w:ascii="Times New Roman" w:hAnsi="Times New Roman" w:eastAsia="方正仿宋简体" w:cs="Times New Roman"/>
          <w:b/>
          <w:bCs w:val="0"/>
          <w:sz w:val="30"/>
          <w:szCs w:val="30"/>
          <w:lang w:val="en-US" w:eastAsia="zh-CN"/>
        </w:rPr>
        <w:t>未收到依申请公开政府信息。</w:t>
      </w:r>
    </w:p>
    <w:p w14:paraId="05C88871">
      <w:pPr>
        <w:spacing w:line="590" w:lineRule="exact"/>
        <w:ind w:right="-105" w:rightChars="-50" w:firstLine="643" w:firstLineChars="200"/>
        <w:rPr>
          <w:rFonts w:hint="default" w:ascii="方正楷体简体" w:hAnsi="Times New Roman" w:eastAsia="方正楷体简体" w:cs="Times New Roman"/>
          <w:b/>
          <w:color w:val="000000" w:themeColor="text1"/>
          <w:kern w:val="0"/>
          <w:sz w:val="32"/>
          <w:szCs w:val="32"/>
          <w14:textFill>
            <w14:solidFill>
              <w14:schemeClr w14:val="tx1"/>
            </w14:solidFill>
          </w14:textFill>
        </w:rPr>
      </w:pPr>
      <w:r>
        <w:rPr>
          <w:rFonts w:hint="default" w:ascii="方正楷体简体" w:hAnsi="Times New Roman" w:eastAsia="方正楷体简体" w:cs="Times New Roman"/>
          <w:b/>
          <w:color w:val="000000" w:themeColor="text1"/>
          <w:kern w:val="0"/>
          <w:sz w:val="32"/>
          <w:szCs w:val="32"/>
          <w14:textFill>
            <w14:solidFill>
              <w14:schemeClr w14:val="tx1"/>
            </w14:solidFill>
          </w14:textFill>
        </w:rPr>
        <w:t>（三）政府信息管理情况</w:t>
      </w:r>
    </w:p>
    <w:p w14:paraId="793E1E04">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b/>
          <w:bCs w:val="0"/>
          <w:sz w:val="30"/>
          <w:szCs w:val="30"/>
        </w:rPr>
      </w:pPr>
      <w:r>
        <w:rPr>
          <w:rFonts w:hint="default" w:ascii="Times New Roman" w:hAnsi="Times New Roman" w:eastAsia="方正仿宋简体" w:cs="Times New Roman"/>
          <w:b/>
          <w:bCs w:val="0"/>
          <w:sz w:val="30"/>
          <w:szCs w:val="30"/>
          <w:lang w:val="en-US" w:eastAsia="zh-CN"/>
        </w:rPr>
        <w:t>进一步完善政府信息公开管理制度体系，明确责任领导、责任处室及具体责任人，细化主动公开目录分类，精准界定公开范围与内容。严格执行“谁公开、谁审查，谁审查、谁负责”“先审查、后公开”和“一事一审”保密审查原则，优化逐级审查流程，对拟公开信息进行全方位、多层次审查，重点排查涉密风险，确保政府信息公开安全、合规。</w:t>
      </w:r>
    </w:p>
    <w:p w14:paraId="30EEFBBE">
      <w:pPr>
        <w:spacing w:line="590" w:lineRule="exact"/>
        <w:ind w:right="-105" w:rightChars="-50" w:firstLine="643" w:firstLineChars="200"/>
        <w:rPr>
          <w:rFonts w:hint="default" w:ascii="方正楷体简体" w:hAnsi="Times New Roman" w:eastAsia="方正楷体简体" w:cs="Times New Roman"/>
          <w:b/>
          <w:color w:val="000000" w:themeColor="text1"/>
          <w:kern w:val="0"/>
          <w:sz w:val="32"/>
          <w:szCs w:val="32"/>
          <w14:textFill>
            <w14:solidFill>
              <w14:schemeClr w14:val="tx1"/>
            </w14:solidFill>
          </w14:textFill>
        </w:rPr>
      </w:pPr>
      <w:r>
        <w:rPr>
          <w:rFonts w:hint="eastAsia" w:ascii="方正楷体简体" w:hAnsi="Times New Roman" w:eastAsia="方正楷体简体" w:cs="Times New Roman"/>
          <w:b/>
          <w:color w:val="000000" w:themeColor="text1"/>
          <w:kern w:val="0"/>
          <w:sz w:val="32"/>
          <w:szCs w:val="32"/>
          <w:lang w:eastAsia="zh-CN"/>
          <w14:textFill>
            <w14:solidFill>
              <w14:schemeClr w14:val="tx1"/>
            </w14:solidFill>
          </w14:textFill>
        </w:rPr>
        <w:t>（</w:t>
      </w:r>
      <w:r>
        <w:rPr>
          <w:rFonts w:hint="eastAsia" w:ascii="方正楷体简体" w:hAnsi="Times New Roman" w:eastAsia="方正楷体简体" w:cs="Times New Roman"/>
          <w:b/>
          <w:color w:val="000000" w:themeColor="text1"/>
          <w:kern w:val="0"/>
          <w:sz w:val="32"/>
          <w:szCs w:val="32"/>
          <w:lang w:val="en-US" w:eastAsia="zh-CN"/>
          <w14:textFill>
            <w14:solidFill>
              <w14:schemeClr w14:val="tx1"/>
            </w14:solidFill>
          </w14:textFill>
        </w:rPr>
        <w:t>四</w:t>
      </w:r>
      <w:r>
        <w:rPr>
          <w:rFonts w:hint="eastAsia" w:ascii="方正楷体简体" w:hAnsi="Times New Roman" w:eastAsia="方正楷体简体" w:cs="Times New Roman"/>
          <w:b/>
          <w:color w:val="000000" w:themeColor="text1"/>
          <w:kern w:val="0"/>
          <w:sz w:val="32"/>
          <w:szCs w:val="32"/>
          <w:lang w:eastAsia="zh-CN"/>
          <w14:textFill>
            <w14:solidFill>
              <w14:schemeClr w14:val="tx1"/>
            </w14:solidFill>
          </w14:textFill>
        </w:rPr>
        <w:t>）</w:t>
      </w:r>
      <w:r>
        <w:rPr>
          <w:rFonts w:hint="default" w:ascii="方正楷体简体" w:hAnsi="Times New Roman" w:eastAsia="方正楷体简体" w:cs="Times New Roman"/>
          <w:b/>
          <w:color w:val="000000" w:themeColor="text1"/>
          <w:kern w:val="0"/>
          <w:sz w:val="32"/>
          <w:szCs w:val="32"/>
          <w14:textFill>
            <w14:solidFill>
              <w14:schemeClr w14:val="tx1"/>
            </w14:solidFill>
          </w14:textFill>
        </w:rPr>
        <w:t>政府信息公开平台建设情况</w:t>
      </w:r>
    </w:p>
    <w:p w14:paraId="62D87E90">
      <w:pPr>
        <w:keepNext w:val="0"/>
        <w:keepLines w:val="0"/>
        <w:pageBreakBefore w:val="0"/>
        <w:numPr>
          <w:ilvl w:val="0"/>
          <w:numId w:val="0"/>
        </w:numPr>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b/>
          <w:bCs w:val="0"/>
          <w:sz w:val="30"/>
          <w:szCs w:val="30"/>
        </w:rPr>
      </w:pPr>
      <w:r>
        <w:rPr>
          <w:rFonts w:hint="default" w:ascii="Times New Roman" w:hAnsi="Times New Roman" w:eastAsia="方正仿宋简体" w:cs="Times New Roman"/>
          <w:b/>
          <w:bCs w:val="0"/>
          <w:sz w:val="30"/>
          <w:szCs w:val="30"/>
        </w:rPr>
        <w:t>充分发挥管委会网站作为政务信息公开的核心平台作用，持续提升科技创新局政务信息公开工作质效与服务能力。依托 “济宁高新科技中心” 官方微信公众号，常态化发布科技馆日常运营管理、各类活动筹备预告等相关资讯，确保社会公众第一时间掌握科技馆最新运营动态，切实增强政务工作的透明度与公信力。</w:t>
      </w:r>
    </w:p>
    <w:p w14:paraId="7EE40747">
      <w:pPr>
        <w:spacing w:line="590" w:lineRule="exact"/>
        <w:ind w:right="-105" w:rightChars="-50" w:firstLine="643" w:firstLineChars="200"/>
        <w:rPr>
          <w:rFonts w:hint="default" w:ascii="方正楷体简体" w:hAnsi="Times New Roman" w:eastAsia="方正楷体简体" w:cs="Times New Roman"/>
          <w:b/>
          <w:color w:val="000000" w:themeColor="text1"/>
          <w:kern w:val="0"/>
          <w:sz w:val="32"/>
          <w:szCs w:val="32"/>
          <w14:textFill>
            <w14:solidFill>
              <w14:schemeClr w14:val="tx1"/>
            </w14:solidFill>
          </w14:textFill>
        </w:rPr>
      </w:pPr>
      <w:r>
        <w:rPr>
          <w:rFonts w:hint="default" w:ascii="方正楷体简体" w:hAnsi="Times New Roman" w:eastAsia="方正楷体简体" w:cs="Times New Roman"/>
          <w:b/>
          <w:color w:val="000000" w:themeColor="text1"/>
          <w:kern w:val="0"/>
          <w:sz w:val="32"/>
          <w:szCs w:val="32"/>
          <w14:textFill>
            <w14:solidFill>
              <w14:schemeClr w14:val="tx1"/>
            </w14:solidFill>
          </w14:textFill>
        </w:rPr>
        <w:t>（五）监督保障情况</w:t>
      </w:r>
    </w:p>
    <w:p w14:paraId="30EC3C29">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b/>
          <w:bCs w:val="0"/>
          <w:sz w:val="30"/>
          <w:szCs w:val="30"/>
        </w:rPr>
      </w:pPr>
      <w:r>
        <w:rPr>
          <w:rFonts w:hint="default" w:ascii="Times New Roman" w:hAnsi="Times New Roman" w:eastAsia="方正仿宋简体" w:cs="Times New Roman"/>
          <w:b/>
          <w:bCs w:val="0"/>
          <w:sz w:val="30"/>
          <w:szCs w:val="30"/>
          <w:lang w:val="en-US" w:eastAsia="zh-CN"/>
        </w:rPr>
        <w:t>健全常态化监督保障机制，将政务公开工作纳入绩效考核，压实工作责任。优化培训体系，组织开展政务公开业务培训2次，覆盖全体工作人员，重点培训《条例》新规、保密审查流程、依申请公开办理规范等内容，提升业务能力。局综合处牵头负责政务公开日常工作，配备2名专职人员，专门负责政务信息审批收集、上传更新、维护协调等工作，确保政务公开工作有序、高效推进。</w:t>
      </w:r>
    </w:p>
    <w:p w14:paraId="32656A04">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黑体" w:cs="Times New Roman"/>
          <w:b/>
          <w:bCs w:val="0"/>
          <w:sz w:val="30"/>
          <w:szCs w:val="30"/>
          <w:lang w:val="en-US" w:eastAsia="zh-CN"/>
        </w:rPr>
      </w:pPr>
      <w:r>
        <w:rPr>
          <w:rFonts w:hint="default" w:ascii="Times New Roman" w:hAnsi="Times New Roman" w:eastAsia="黑体" w:cs="Times New Roman"/>
          <w:b/>
          <w:bCs w:val="0"/>
          <w:sz w:val="30"/>
          <w:szCs w:val="30"/>
          <w:lang w:val="en-US" w:eastAsia="zh-CN"/>
        </w:rPr>
        <w:t>二、主动公开政府信息情况</w:t>
      </w:r>
    </w:p>
    <w:tbl>
      <w:tblPr>
        <w:tblStyle w:val="5"/>
        <w:tblW w:w="5000" w:type="pct"/>
        <w:tblInd w:w="0" w:type="dxa"/>
        <w:tblLayout w:type="autofit"/>
        <w:tblCellMar>
          <w:top w:w="0" w:type="dxa"/>
          <w:left w:w="108" w:type="dxa"/>
          <w:bottom w:w="0" w:type="dxa"/>
          <w:right w:w="108" w:type="dxa"/>
        </w:tblCellMar>
      </w:tblPr>
      <w:tblGrid>
        <w:gridCol w:w="2130"/>
        <w:gridCol w:w="2130"/>
        <w:gridCol w:w="2131"/>
        <w:gridCol w:w="2131"/>
      </w:tblGrid>
      <w:tr w14:paraId="3EA08C8C">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48A0D5F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val="0"/>
                <w:color w:val="000000"/>
                <w:kern w:val="0"/>
                <w:szCs w:val="21"/>
              </w:rPr>
            </w:pPr>
            <w:r>
              <w:rPr>
                <w:rFonts w:hint="default" w:ascii="Times New Roman" w:hAnsi="Times New Roman" w:eastAsia="黑体" w:cs="Times New Roman"/>
                <w:b/>
                <w:bCs w:val="0"/>
                <w:color w:val="000000"/>
                <w:kern w:val="0"/>
                <w:szCs w:val="21"/>
              </w:rPr>
              <w:t>第二十条第（一）项</w:t>
            </w:r>
          </w:p>
        </w:tc>
      </w:tr>
      <w:tr w14:paraId="55B1E985">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85637E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信息内容</w:t>
            </w:r>
          </w:p>
        </w:tc>
        <w:tc>
          <w:tcPr>
            <w:tcW w:w="1250" w:type="pct"/>
            <w:tcBorders>
              <w:top w:val="nil"/>
              <w:left w:val="nil"/>
              <w:bottom w:val="single" w:color="auto" w:sz="8" w:space="0"/>
              <w:right w:val="single" w:color="auto" w:sz="8" w:space="0"/>
            </w:tcBorders>
            <w:noWrap w:val="0"/>
            <w:vAlign w:val="center"/>
          </w:tcPr>
          <w:p w14:paraId="5AD17BD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本年制发件数</w:t>
            </w:r>
          </w:p>
        </w:tc>
        <w:tc>
          <w:tcPr>
            <w:tcW w:w="1250" w:type="pct"/>
            <w:tcBorders>
              <w:top w:val="nil"/>
              <w:left w:val="nil"/>
              <w:bottom w:val="single" w:color="auto" w:sz="8" w:space="0"/>
              <w:right w:val="single" w:color="auto" w:sz="8" w:space="0"/>
            </w:tcBorders>
            <w:noWrap w:val="0"/>
            <w:vAlign w:val="center"/>
          </w:tcPr>
          <w:p w14:paraId="79AE072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本年废止件数</w:t>
            </w:r>
          </w:p>
        </w:tc>
        <w:tc>
          <w:tcPr>
            <w:tcW w:w="1250" w:type="pct"/>
            <w:tcBorders>
              <w:top w:val="nil"/>
              <w:left w:val="nil"/>
              <w:bottom w:val="single" w:color="auto" w:sz="8" w:space="0"/>
              <w:right w:val="single" w:color="auto" w:sz="8" w:space="0"/>
            </w:tcBorders>
            <w:noWrap w:val="0"/>
            <w:vAlign w:val="center"/>
          </w:tcPr>
          <w:p w14:paraId="54CB06A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现行有效件数</w:t>
            </w:r>
          </w:p>
        </w:tc>
      </w:tr>
      <w:tr w14:paraId="28C0B582">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7340E79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规章</w:t>
            </w:r>
          </w:p>
        </w:tc>
        <w:tc>
          <w:tcPr>
            <w:tcW w:w="1250" w:type="pct"/>
            <w:tcBorders>
              <w:top w:val="nil"/>
              <w:left w:val="nil"/>
              <w:bottom w:val="single" w:color="auto" w:sz="8" w:space="0"/>
              <w:right w:val="single" w:color="auto" w:sz="8" w:space="0"/>
            </w:tcBorders>
            <w:noWrap w:val="0"/>
            <w:vAlign w:val="center"/>
          </w:tcPr>
          <w:p w14:paraId="4D7ED61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lang w:val="en-US" w:eastAsia="zh-CN"/>
              </w:rPr>
            </w:pPr>
            <w:r>
              <w:rPr>
                <w:rFonts w:hint="default" w:ascii="Times New Roman" w:hAnsi="Times New Roman" w:eastAsia="仿宋_GB2312" w:cs="Times New Roman"/>
                <w:b/>
                <w:bCs w:val="0"/>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02AEF50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lang w:val="en-US" w:eastAsia="zh-CN"/>
              </w:rPr>
            </w:pPr>
            <w:r>
              <w:rPr>
                <w:rFonts w:hint="default" w:ascii="Times New Roman" w:hAnsi="Times New Roman" w:eastAsia="仿宋_GB2312" w:cs="Times New Roman"/>
                <w:b/>
                <w:bCs w:val="0"/>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6B8B8F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lang w:val="en-US" w:eastAsia="zh-CN"/>
              </w:rPr>
            </w:pPr>
            <w:r>
              <w:rPr>
                <w:rFonts w:hint="default" w:ascii="Times New Roman" w:hAnsi="Times New Roman" w:eastAsia="仿宋_GB2312" w:cs="Times New Roman"/>
                <w:b/>
                <w:bCs w:val="0"/>
                <w:color w:val="000000"/>
                <w:kern w:val="0"/>
                <w:szCs w:val="21"/>
                <w:lang w:val="en-US" w:eastAsia="zh-CN"/>
              </w:rPr>
              <w:t>0</w:t>
            </w:r>
          </w:p>
        </w:tc>
      </w:tr>
      <w:tr w14:paraId="17C9E8DC">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CA3FC15">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行政规范性文件</w:t>
            </w:r>
          </w:p>
        </w:tc>
        <w:tc>
          <w:tcPr>
            <w:tcW w:w="1250" w:type="pct"/>
            <w:tcBorders>
              <w:top w:val="nil"/>
              <w:left w:val="nil"/>
              <w:bottom w:val="single" w:color="auto" w:sz="8" w:space="0"/>
              <w:right w:val="single" w:color="auto" w:sz="8" w:space="0"/>
            </w:tcBorders>
            <w:noWrap w:val="0"/>
            <w:vAlign w:val="center"/>
          </w:tcPr>
          <w:p w14:paraId="3ED8B08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lang w:val="en-US" w:eastAsia="zh-CN"/>
              </w:rPr>
            </w:pPr>
            <w:r>
              <w:rPr>
                <w:rFonts w:hint="default" w:ascii="Times New Roman" w:hAnsi="Times New Roman" w:eastAsia="仿宋_GB2312" w:cs="Times New Roman"/>
                <w:b/>
                <w:bCs w:val="0"/>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196AAE9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lang w:val="en-US" w:eastAsia="zh-CN"/>
              </w:rPr>
            </w:pPr>
            <w:r>
              <w:rPr>
                <w:rFonts w:hint="default" w:ascii="Times New Roman" w:hAnsi="Times New Roman" w:eastAsia="仿宋_GB2312" w:cs="Times New Roman"/>
                <w:b/>
                <w:bCs w:val="0"/>
                <w:color w:val="000000"/>
                <w:kern w:val="0"/>
                <w:szCs w:val="21"/>
                <w:lang w:val="en-US" w:eastAsia="zh-CN"/>
              </w:rPr>
              <w:t>0</w:t>
            </w:r>
          </w:p>
        </w:tc>
        <w:tc>
          <w:tcPr>
            <w:tcW w:w="1250" w:type="pct"/>
            <w:tcBorders>
              <w:top w:val="nil"/>
              <w:left w:val="nil"/>
              <w:bottom w:val="single" w:color="auto" w:sz="8" w:space="0"/>
              <w:right w:val="single" w:color="auto" w:sz="8" w:space="0"/>
            </w:tcBorders>
            <w:noWrap w:val="0"/>
            <w:vAlign w:val="center"/>
          </w:tcPr>
          <w:p w14:paraId="04BBAE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lang w:val="en-US" w:eastAsia="zh-CN"/>
              </w:rPr>
            </w:pPr>
            <w:r>
              <w:rPr>
                <w:rFonts w:hint="eastAsia" w:ascii="Times New Roman" w:hAnsi="Times New Roman" w:eastAsia="仿宋_GB2312" w:cs="Times New Roman"/>
                <w:b/>
                <w:bCs w:val="0"/>
                <w:color w:val="000000"/>
                <w:kern w:val="0"/>
                <w:szCs w:val="21"/>
                <w:lang w:val="en-US" w:eastAsia="zh-CN"/>
              </w:rPr>
              <w:t>1</w:t>
            </w:r>
          </w:p>
        </w:tc>
      </w:tr>
      <w:tr w14:paraId="552219ED">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36D9D2F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val="0"/>
                <w:color w:val="000000"/>
                <w:kern w:val="0"/>
                <w:szCs w:val="21"/>
              </w:rPr>
            </w:pPr>
            <w:r>
              <w:rPr>
                <w:rFonts w:hint="default" w:ascii="Times New Roman" w:hAnsi="Times New Roman" w:eastAsia="黑体" w:cs="Times New Roman"/>
                <w:b/>
                <w:bCs w:val="0"/>
                <w:color w:val="000000"/>
                <w:kern w:val="0"/>
                <w:szCs w:val="21"/>
              </w:rPr>
              <w:t>第二十条第（五）项</w:t>
            </w:r>
          </w:p>
        </w:tc>
      </w:tr>
      <w:tr w14:paraId="116547DC">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F39BDF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00933C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本年处理决定数量</w:t>
            </w:r>
          </w:p>
        </w:tc>
      </w:tr>
      <w:tr w14:paraId="7A017324">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350EABD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行政许可</w:t>
            </w:r>
          </w:p>
        </w:tc>
        <w:tc>
          <w:tcPr>
            <w:tcW w:w="3750" w:type="pct"/>
            <w:gridSpan w:val="3"/>
            <w:tcBorders>
              <w:top w:val="single" w:color="auto" w:sz="8" w:space="0"/>
              <w:left w:val="nil"/>
              <w:bottom w:val="single" w:color="auto" w:sz="8" w:space="0"/>
              <w:right w:val="single" w:color="000000" w:sz="8" w:space="0"/>
            </w:tcBorders>
            <w:noWrap w:val="0"/>
            <w:vAlign w:val="center"/>
          </w:tcPr>
          <w:p w14:paraId="32FE284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lang w:val="en-US" w:eastAsia="zh-CN"/>
              </w:rPr>
            </w:pPr>
            <w:r>
              <w:rPr>
                <w:rFonts w:hint="default" w:ascii="Times New Roman" w:hAnsi="Times New Roman" w:eastAsia="仿宋_GB2312" w:cs="Times New Roman"/>
                <w:b/>
                <w:bCs w:val="0"/>
                <w:color w:val="000000"/>
                <w:kern w:val="0"/>
                <w:szCs w:val="21"/>
                <w:lang w:val="en-US" w:eastAsia="zh-CN"/>
              </w:rPr>
              <w:t>0</w:t>
            </w:r>
          </w:p>
        </w:tc>
      </w:tr>
      <w:tr w14:paraId="77C0EF80">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26F9F7A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val="0"/>
                <w:color w:val="000000"/>
                <w:kern w:val="0"/>
                <w:szCs w:val="21"/>
              </w:rPr>
            </w:pPr>
            <w:r>
              <w:rPr>
                <w:rFonts w:hint="default" w:ascii="Times New Roman" w:hAnsi="Times New Roman" w:eastAsia="黑体" w:cs="Times New Roman"/>
                <w:b/>
                <w:bCs w:val="0"/>
                <w:color w:val="000000"/>
                <w:kern w:val="0"/>
                <w:szCs w:val="21"/>
              </w:rPr>
              <w:t>第二十条第（六）项</w:t>
            </w:r>
          </w:p>
        </w:tc>
      </w:tr>
      <w:tr w14:paraId="77FEA436">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B03F71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51A4A66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本年处理决定数量</w:t>
            </w:r>
          </w:p>
        </w:tc>
      </w:tr>
      <w:tr w14:paraId="5C5C1A0D">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EEE8AC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行政处罚</w:t>
            </w:r>
          </w:p>
        </w:tc>
        <w:tc>
          <w:tcPr>
            <w:tcW w:w="3750" w:type="pct"/>
            <w:gridSpan w:val="3"/>
            <w:tcBorders>
              <w:top w:val="single" w:color="auto" w:sz="8" w:space="0"/>
              <w:left w:val="nil"/>
              <w:bottom w:val="single" w:color="auto" w:sz="8" w:space="0"/>
              <w:right w:val="single" w:color="000000" w:sz="8" w:space="0"/>
            </w:tcBorders>
            <w:noWrap w:val="0"/>
            <w:vAlign w:val="center"/>
          </w:tcPr>
          <w:p w14:paraId="3EC587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lang w:val="en-US" w:eastAsia="zh-CN"/>
              </w:rPr>
            </w:pPr>
            <w:r>
              <w:rPr>
                <w:rFonts w:hint="default" w:ascii="Times New Roman" w:hAnsi="Times New Roman" w:eastAsia="仿宋_GB2312" w:cs="Times New Roman"/>
                <w:b/>
                <w:bCs w:val="0"/>
                <w:color w:val="000000"/>
                <w:kern w:val="0"/>
                <w:szCs w:val="21"/>
                <w:lang w:val="en-US" w:eastAsia="zh-CN"/>
              </w:rPr>
              <w:t>0</w:t>
            </w:r>
          </w:p>
        </w:tc>
      </w:tr>
      <w:tr w14:paraId="51D2BC0C">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1D05E30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行政强制</w:t>
            </w:r>
          </w:p>
        </w:tc>
        <w:tc>
          <w:tcPr>
            <w:tcW w:w="3750" w:type="pct"/>
            <w:gridSpan w:val="3"/>
            <w:tcBorders>
              <w:top w:val="single" w:color="auto" w:sz="8" w:space="0"/>
              <w:left w:val="nil"/>
              <w:bottom w:val="single" w:color="auto" w:sz="8" w:space="0"/>
              <w:right w:val="single" w:color="000000" w:sz="8" w:space="0"/>
            </w:tcBorders>
            <w:noWrap w:val="0"/>
            <w:vAlign w:val="center"/>
          </w:tcPr>
          <w:p w14:paraId="6956720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lang w:val="en-US" w:eastAsia="zh-CN"/>
              </w:rPr>
            </w:pPr>
            <w:r>
              <w:rPr>
                <w:rFonts w:hint="default" w:ascii="Times New Roman" w:hAnsi="Times New Roman" w:eastAsia="仿宋_GB2312" w:cs="Times New Roman"/>
                <w:b/>
                <w:bCs w:val="0"/>
                <w:color w:val="000000"/>
                <w:kern w:val="0"/>
                <w:szCs w:val="21"/>
                <w:lang w:val="en-US" w:eastAsia="zh-CN"/>
              </w:rPr>
              <w:t>0</w:t>
            </w:r>
          </w:p>
        </w:tc>
      </w:tr>
      <w:tr w14:paraId="2D938D21">
        <w:tblPrEx>
          <w:tblCellMar>
            <w:top w:w="0" w:type="dxa"/>
            <w:left w:w="108" w:type="dxa"/>
            <w:bottom w:w="0" w:type="dxa"/>
            <w:right w:w="108" w:type="dxa"/>
          </w:tblCellMar>
        </w:tblPrEx>
        <w:trPr>
          <w:trHeight w:val="567" w:hRule="atLeast"/>
        </w:trPr>
        <w:tc>
          <w:tcPr>
            <w:tcW w:w="5000" w:type="pct"/>
            <w:gridSpan w:val="4"/>
            <w:tcBorders>
              <w:top w:val="single" w:color="auto" w:sz="8" w:space="0"/>
              <w:left w:val="single" w:color="auto" w:sz="8" w:space="0"/>
              <w:bottom w:val="single" w:color="auto" w:sz="8" w:space="0"/>
              <w:right w:val="single" w:color="000000" w:sz="8" w:space="0"/>
            </w:tcBorders>
            <w:shd w:val="clear" w:color="000000" w:fill="C6D9F1"/>
            <w:noWrap w:val="0"/>
            <w:vAlign w:val="center"/>
          </w:tcPr>
          <w:p w14:paraId="7837DAD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val="0"/>
                <w:color w:val="000000"/>
                <w:kern w:val="0"/>
                <w:szCs w:val="21"/>
              </w:rPr>
            </w:pPr>
            <w:r>
              <w:rPr>
                <w:rFonts w:hint="default" w:ascii="Times New Roman" w:hAnsi="Times New Roman" w:eastAsia="黑体" w:cs="Times New Roman"/>
                <w:b/>
                <w:bCs w:val="0"/>
                <w:color w:val="000000"/>
                <w:kern w:val="0"/>
                <w:szCs w:val="21"/>
              </w:rPr>
              <w:t>第二十条第（八）项</w:t>
            </w:r>
          </w:p>
        </w:tc>
      </w:tr>
      <w:tr w14:paraId="6AA9C52D">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2516A27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信息内容</w:t>
            </w:r>
          </w:p>
        </w:tc>
        <w:tc>
          <w:tcPr>
            <w:tcW w:w="3750" w:type="pct"/>
            <w:gridSpan w:val="3"/>
            <w:tcBorders>
              <w:top w:val="single" w:color="auto" w:sz="8" w:space="0"/>
              <w:left w:val="nil"/>
              <w:bottom w:val="single" w:color="auto" w:sz="8" w:space="0"/>
              <w:right w:val="single" w:color="000000" w:sz="8" w:space="0"/>
            </w:tcBorders>
            <w:noWrap w:val="0"/>
            <w:vAlign w:val="center"/>
          </w:tcPr>
          <w:p w14:paraId="764905E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本年收费金额（单位：万元）</w:t>
            </w:r>
          </w:p>
        </w:tc>
      </w:tr>
      <w:tr w14:paraId="0E726E7E">
        <w:tblPrEx>
          <w:tblCellMar>
            <w:top w:w="0" w:type="dxa"/>
            <w:left w:w="108" w:type="dxa"/>
            <w:bottom w:w="0" w:type="dxa"/>
            <w:right w:w="108" w:type="dxa"/>
          </w:tblCellMar>
        </w:tblPrEx>
        <w:trPr>
          <w:trHeight w:val="567" w:hRule="atLeast"/>
        </w:trPr>
        <w:tc>
          <w:tcPr>
            <w:tcW w:w="1250" w:type="pct"/>
            <w:tcBorders>
              <w:top w:val="nil"/>
              <w:left w:val="single" w:color="auto" w:sz="8" w:space="0"/>
              <w:bottom w:val="single" w:color="auto" w:sz="8" w:space="0"/>
              <w:right w:val="single" w:color="auto" w:sz="8" w:space="0"/>
            </w:tcBorders>
            <w:noWrap w:val="0"/>
            <w:vAlign w:val="center"/>
          </w:tcPr>
          <w:p w14:paraId="4D675FD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仿宋_GB2312" w:cs="Times New Roman"/>
                <w:b/>
                <w:bCs w:val="0"/>
                <w:color w:val="000000"/>
                <w:kern w:val="0"/>
                <w:szCs w:val="21"/>
              </w:rPr>
            </w:pPr>
            <w:r>
              <w:rPr>
                <w:rFonts w:hint="default" w:ascii="Times New Roman" w:hAnsi="Times New Roman" w:eastAsia="仿宋_GB2312" w:cs="Times New Roman"/>
                <w:b/>
                <w:bCs w:val="0"/>
                <w:color w:val="000000"/>
                <w:kern w:val="0"/>
                <w:szCs w:val="21"/>
              </w:rPr>
              <w:t>行政事业性收费</w:t>
            </w:r>
          </w:p>
        </w:tc>
        <w:tc>
          <w:tcPr>
            <w:tcW w:w="3750" w:type="pct"/>
            <w:gridSpan w:val="3"/>
            <w:tcBorders>
              <w:top w:val="single" w:color="auto" w:sz="8" w:space="0"/>
              <w:left w:val="nil"/>
              <w:bottom w:val="single" w:color="auto" w:sz="8" w:space="0"/>
              <w:right w:val="single" w:color="000000" w:sz="8" w:space="0"/>
            </w:tcBorders>
            <w:noWrap w:val="0"/>
            <w:vAlign w:val="center"/>
          </w:tcPr>
          <w:p w14:paraId="7FD9C22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仿宋_GB2312" w:cs="Times New Roman"/>
                <w:b/>
                <w:bCs w:val="0"/>
                <w:color w:val="000000"/>
                <w:kern w:val="0"/>
                <w:szCs w:val="21"/>
                <w:lang w:val="en-US" w:eastAsia="zh-CN"/>
              </w:rPr>
            </w:pPr>
            <w:r>
              <w:rPr>
                <w:rFonts w:hint="default" w:ascii="Times New Roman" w:hAnsi="Times New Roman" w:eastAsia="仿宋_GB2312" w:cs="Times New Roman"/>
                <w:b/>
                <w:bCs w:val="0"/>
                <w:color w:val="000000"/>
                <w:kern w:val="0"/>
                <w:szCs w:val="21"/>
                <w:lang w:val="en-US" w:eastAsia="zh-CN"/>
              </w:rPr>
              <w:t>0</w:t>
            </w:r>
          </w:p>
        </w:tc>
      </w:tr>
    </w:tbl>
    <w:p w14:paraId="3B7761BC">
      <w:pPr>
        <w:keepNext w:val="0"/>
        <w:keepLines w:val="0"/>
        <w:pageBreakBefore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仿宋_GB2312" w:cs="Times New Roman"/>
          <w:b/>
          <w:bCs w:val="0"/>
          <w:sz w:val="32"/>
          <w:szCs w:val="32"/>
        </w:rPr>
      </w:pPr>
    </w:p>
    <w:p w14:paraId="4CA3C9D6">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仿宋_GB2312" w:cs="Times New Roman"/>
          <w:b/>
          <w:bCs w:val="0"/>
          <w:sz w:val="30"/>
          <w:szCs w:val="30"/>
        </w:rPr>
      </w:pPr>
      <w:r>
        <w:rPr>
          <w:rFonts w:hint="default" w:ascii="Times New Roman" w:hAnsi="Times New Roman" w:eastAsia="黑体" w:cs="Times New Roman"/>
          <w:b/>
          <w:bCs w:val="0"/>
          <w:sz w:val="30"/>
          <w:szCs w:val="30"/>
        </w:rPr>
        <w:t>三、收到和处理政府信息公开申请情况</w:t>
      </w:r>
    </w:p>
    <w:tbl>
      <w:tblPr>
        <w:tblStyle w:val="5"/>
        <w:tblW w:w="881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68"/>
        <w:gridCol w:w="942"/>
        <w:gridCol w:w="2878"/>
        <w:gridCol w:w="791"/>
        <w:gridCol w:w="599"/>
        <w:gridCol w:w="590"/>
        <w:gridCol w:w="598"/>
        <w:gridCol w:w="571"/>
        <w:gridCol w:w="559"/>
        <w:gridCol w:w="521"/>
      </w:tblGrid>
      <w:tr w14:paraId="34388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restart"/>
            <w:noWrap w:val="0"/>
            <w:tcMar>
              <w:left w:w="108" w:type="dxa"/>
              <w:right w:w="108" w:type="dxa"/>
            </w:tcMar>
            <w:vAlign w:val="center"/>
          </w:tcPr>
          <w:p w14:paraId="39DFB83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（本列数据的勾稽关系为：第一项加第二项之和，等于第三项加第四项之和）</w:t>
            </w:r>
          </w:p>
        </w:tc>
        <w:tc>
          <w:tcPr>
            <w:tcW w:w="4229" w:type="dxa"/>
            <w:gridSpan w:val="7"/>
            <w:noWrap w:val="0"/>
            <w:tcMar>
              <w:left w:w="57" w:type="dxa"/>
              <w:right w:w="57" w:type="dxa"/>
            </w:tcMar>
            <w:vAlign w:val="center"/>
          </w:tcPr>
          <w:p w14:paraId="6E8132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申请人情况</w:t>
            </w:r>
          </w:p>
        </w:tc>
      </w:tr>
      <w:tr w14:paraId="644F0B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5D3BA732">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p>
        </w:tc>
        <w:tc>
          <w:tcPr>
            <w:tcW w:w="791" w:type="dxa"/>
            <w:vMerge w:val="restart"/>
            <w:noWrap w:val="0"/>
            <w:tcMar>
              <w:left w:w="57" w:type="dxa"/>
              <w:right w:w="57" w:type="dxa"/>
            </w:tcMar>
            <w:vAlign w:val="center"/>
          </w:tcPr>
          <w:p w14:paraId="593E9E8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自然人</w:t>
            </w:r>
          </w:p>
        </w:tc>
        <w:tc>
          <w:tcPr>
            <w:tcW w:w="2917" w:type="dxa"/>
            <w:gridSpan w:val="5"/>
            <w:noWrap w:val="0"/>
            <w:tcMar>
              <w:left w:w="108" w:type="dxa"/>
              <w:right w:w="108" w:type="dxa"/>
            </w:tcMar>
            <w:vAlign w:val="center"/>
          </w:tcPr>
          <w:p w14:paraId="191C623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法人或其他组织</w:t>
            </w:r>
          </w:p>
        </w:tc>
        <w:tc>
          <w:tcPr>
            <w:tcW w:w="521" w:type="dxa"/>
            <w:vMerge w:val="restart"/>
            <w:noWrap w:val="0"/>
            <w:tcMar>
              <w:left w:w="108" w:type="dxa"/>
              <w:right w:w="108" w:type="dxa"/>
            </w:tcMar>
            <w:vAlign w:val="center"/>
          </w:tcPr>
          <w:p w14:paraId="2E4ECBE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总计</w:t>
            </w:r>
          </w:p>
        </w:tc>
      </w:tr>
      <w:tr w14:paraId="444D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vMerge w:val="continue"/>
            <w:noWrap w:val="0"/>
            <w:tcMar>
              <w:left w:w="108" w:type="dxa"/>
              <w:right w:w="108" w:type="dxa"/>
            </w:tcMar>
            <w:vAlign w:val="center"/>
          </w:tcPr>
          <w:p w14:paraId="06324B5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791" w:type="dxa"/>
            <w:vMerge w:val="continue"/>
            <w:noWrap w:val="0"/>
            <w:tcMar>
              <w:left w:w="57" w:type="dxa"/>
              <w:right w:w="57" w:type="dxa"/>
            </w:tcMar>
            <w:vAlign w:val="center"/>
          </w:tcPr>
          <w:p w14:paraId="3673396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599" w:type="dxa"/>
            <w:noWrap w:val="0"/>
            <w:tcMar>
              <w:left w:w="108" w:type="dxa"/>
              <w:right w:w="108" w:type="dxa"/>
            </w:tcMar>
            <w:vAlign w:val="center"/>
          </w:tcPr>
          <w:p w14:paraId="162004D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商业</w:t>
            </w:r>
          </w:p>
          <w:p w14:paraId="6078306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企业</w:t>
            </w:r>
          </w:p>
        </w:tc>
        <w:tc>
          <w:tcPr>
            <w:tcW w:w="590" w:type="dxa"/>
            <w:noWrap w:val="0"/>
            <w:tcMar>
              <w:left w:w="108" w:type="dxa"/>
              <w:right w:w="108" w:type="dxa"/>
            </w:tcMar>
            <w:vAlign w:val="center"/>
          </w:tcPr>
          <w:p w14:paraId="5072B56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科研</w:t>
            </w:r>
          </w:p>
          <w:p w14:paraId="6B305C6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机构</w:t>
            </w:r>
          </w:p>
        </w:tc>
        <w:tc>
          <w:tcPr>
            <w:tcW w:w="598" w:type="dxa"/>
            <w:noWrap w:val="0"/>
            <w:tcMar>
              <w:left w:w="108" w:type="dxa"/>
              <w:right w:w="108" w:type="dxa"/>
            </w:tcMar>
            <w:vAlign w:val="center"/>
          </w:tcPr>
          <w:p w14:paraId="7C79B30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社会公益组织</w:t>
            </w:r>
          </w:p>
        </w:tc>
        <w:tc>
          <w:tcPr>
            <w:tcW w:w="571" w:type="dxa"/>
            <w:noWrap w:val="0"/>
            <w:tcMar>
              <w:left w:w="108" w:type="dxa"/>
              <w:right w:w="108" w:type="dxa"/>
            </w:tcMar>
            <w:vAlign w:val="center"/>
          </w:tcPr>
          <w:p w14:paraId="2D831C5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法律服务机构</w:t>
            </w:r>
          </w:p>
        </w:tc>
        <w:tc>
          <w:tcPr>
            <w:tcW w:w="559" w:type="dxa"/>
            <w:noWrap w:val="0"/>
            <w:tcMar>
              <w:left w:w="108" w:type="dxa"/>
              <w:right w:w="108" w:type="dxa"/>
            </w:tcMar>
            <w:vAlign w:val="center"/>
          </w:tcPr>
          <w:p w14:paraId="04C966C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黑体简体" w:cs="Times New Roman"/>
                <w:b/>
                <w:bCs w:val="0"/>
                <w:sz w:val="21"/>
                <w:szCs w:val="21"/>
              </w:rPr>
            </w:pPr>
            <w:r>
              <w:rPr>
                <w:rFonts w:hint="default" w:ascii="Times New Roman" w:hAnsi="Times New Roman" w:eastAsia="方正黑体简体" w:cs="Times New Roman"/>
                <w:b/>
                <w:bCs w:val="0"/>
                <w:sz w:val="21"/>
                <w:szCs w:val="21"/>
                <w:lang w:bidi="ar"/>
              </w:rPr>
              <w:t>其他</w:t>
            </w:r>
          </w:p>
        </w:tc>
        <w:tc>
          <w:tcPr>
            <w:tcW w:w="521" w:type="dxa"/>
            <w:vMerge w:val="continue"/>
            <w:noWrap w:val="0"/>
            <w:tcMar>
              <w:left w:w="108" w:type="dxa"/>
              <w:right w:w="108" w:type="dxa"/>
            </w:tcMar>
            <w:vAlign w:val="center"/>
          </w:tcPr>
          <w:p w14:paraId="5C03470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r>
      <w:tr w14:paraId="4EAC54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24" w:hRule="atLeast"/>
          <w:jc w:val="center"/>
        </w:trPr>
        <w:tc>
          <w:tcPr>
            <w:tcW w:w="4588" w:type="dxa"/>
            <w:gridSpan w:val="3"/>
            <w:noWrap w:val="0"/>
            <w:tcMar>
              <w:left w:w="57" w:type="dxa"/>
              <w:right w:w="57" w:type="dxa"/>
            </w:tcMar>
            <w:vAlign w:val="center"/>
          </w:tcPr>
          <w:p w14:paraId="32BA47AC">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一、本年新收政府信息公开申请数量</w:t>
            </w:r>
          </w:p>
        </w:tc>
        <w:tc>
          <w:tcPr>
            <w:tcW w:w="791" w:type="dxa"/>
            <w:noWrap w:val="0"/>
            <w:tcMar>
              <w:left w:w="57" w:type="dxa"/>
              <w:right w:w="57" w:type="dxa"/>
            </w:tcMar>
            <w:vAlign w:val="center"/>
          </w:tcPr>
          <w:p w14:paraId="6CDC44C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1E5CCC9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08913B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73912A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1158D20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51F32ED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4153584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2AE56E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96" w:hRule="atLeast"/>
          <w:jc w:val="center"/>
        </w:trPr>
        <w:tc>
          <w:tcPr>
            <w:tcW w:w="4588" w:type="dxa"/>
            <w:gridSpan w:val="3"/>
            <w:noWrap w:val="0"/>
            <w:tcMar>
              <w:left w:w="57" w:type="dxa"/>
              <w:right w:w="57" w:type="dxa"/>
            </w:tcMar>
            <w:vAlign w:val="center"/>
          </w:tcPr>
          <w:p w14:paraId="55458BB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二、上年结转政府信息公开申请数量</w:t>
            </w:r>
          </w:p>
        </w:tc>
        <w:tc>
          <w:tcPr>
            <w:tcW w:w="791" w:type="dxa"/>
            <w:noWrap w:val="0"/>
            <w:tcMar>
              <w:left w:w="57" w:type="dxa"/>
              <w:right w:w="57" w:type="dxa"/>
            </w:tcMar>
            <w:vAlign w:val="center"/>
          </w:tcPr>
          <w:p w14:paraId="0F7C623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65ABCEE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14B97D8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609A2BC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51E438B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0C18EE7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39AFA4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64F40D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restart"/>
            <w:noWrap w:val="0"/>
            <w:tcMar>
              <w:left w:w="57" w:type="dxa"/>
              <w:right w:w="57" w:type="dxa"/>
            </w:tcMar>
            <w:vAlign w:val="center"/>
          </w:tcPr>
          <w:p w14:paraId="1C2306BB">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三、本年度办理结果</w:t>
            </w:r>
          </w:p>
        </w:tc>
        <w:tc>
          <w:tcPr>
            <w:tcW w:w="3820" w:type="dxa"/>
            <w:gridSpan w:val="2"/>
            <w:noWrap w:val="0"/>
            <w:tcMar>
              <w:left w:w="57" w:type="dxa"/>
              <w:right w:w="57" w:type="dxa"/>
            </w:tcMar>
            <w:vAlign w:val="center"/>
          </w:tcPr>
          <w:p w14:paraId="3252E47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（一）予以公开</w:t>
            </w:r>
          </w:p>
        </w:tc>
        <w:tc>
          <w:tcPr>
            <w:tcW w:w="791" w:type="dxa"/>
            <w:noWrap w:val="0"/>
            <w:tcMar>
              <w:left w:w="57" w:type="dxa"/>
              <w:right w:w="57" w:type="dxa"/>
            </w:tcMar>
            <w:vAlign w:val="center"/>
          </w:tcPr>
          <w:p w14:paraId="73AB67F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65EE14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70C38CE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1902830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535AF46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1F08375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33E0501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2A8D62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8" w:hRule="atLeast"/>
          <w:jc w:val="center"/>
        </w:trPr>
        <w:tc>
          <w:tcPr>
            <w:tcW w:w="768" w:type="dxa"/>
            <w:vMerge w:val="continue"/>
            <w:noWrap w:val="0"/>
            <w:tcMar>
              <w:left w:w="57" w:type="dxa"/>
              <w:right w:w="57" w:type="dxa"/>
            </w:tcMar>
            <w:vAlign w:val="center"/>
          </w:tcPr>
          <w:p w14:paraId="2F72D9D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3820" w:type="dxa"/>
            <w:gridSpan w:val="2"/>
            <w:noWrap w:val="0"/>
            <w:tcMar>
              <w:left w:w="57" w:type="dxa"/>
              <w:right w:w="57" w:type="dxa"/>
            </w:tcMar>
            <w:vAlign w:val="center"/>
          </w:tcPr>
          <w:p w14:paraId="3FB858E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（二）部分公开（区分处理的，只计这一情形，不计其他情形）</w:t>
            </w:r>
          </w:p>
        </w:tc>
        <w:tc>
          <w:tcPr>
            <w:tcW w:w="791" w:type="dxa"/>
            <w:noWrap w:val="0"/>
            <w:tcMar>
              <w:left w:w="57" w:type="dxa"/>
              <w:right w:w="57" w:type="dxa"/>
            </w:tcMar>
            <w:vAlign w:val="center"/>
          </w:tcPr>
          <w:p w14:paraId="1787ADD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0CA4B32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23057B6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287FCD1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4C6ECCB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2C6435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72D7A59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48E9C3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F7376C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restart"/>
            <w:noWrap w:val="0"/>
            <w:tcMar>
              <w:left w:w="57" w:type="dxa"/>
              <w:right w:w="57" w:type="dxa"/>
            </w:tcMar>
            <w:vAlign w:val="center"/>
          </w:tcPr>
          <w:p w14:paraId="45BCD59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（三）不予公开</w:t>
            </w:r>
          </w:p>
        </w:tc>
        <w:tc>
          <w:tcPr>
            <w:tcW w:w="2878" w:type="dxa"/>
            <w:noWrap w:val="0"/>
            <w:tcMar>
              <w:left w:w="57" w:type="dxa"/>
              <w:right w:w="57" w:type="dxa"/>
            </w:tcMar>
            <w:vAlign w:val="top"/>
          </w:tcPr>
          <w:p w14:paraId="4BCFAA1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1.属于国家秘密</w:t>
            </w:r>
          </w:p>
        </w:tc>
        <w:tc>
          <w:tcPr>
            <w:tcW w:w="791" w:type="dxa"/>
            <w:noWrap w:val="0"/>
            <w:tcMar>
              <w:left w:w="57" w:type="dxa"/>
              <w:right w:w="57" w:type="dxa"/>
            </w:tcMar>
            <w:vAlign w:val="center"/>
          </w:tcPr>
          <w:p w14:paraId="5B85E82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03AC3C7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5745D36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73FDA7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401E12D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4048D7F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7E7CB2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5A9200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C307EC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14:paraId="7937CD4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14:paraId="215FA792">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2.其他法律行政法规禁止公开</w:t>
            </w:r>
          </w:p>
        </w:tc>
        <w:tc>
          <w:tcPr>
            <w:tcW w:w="791" w:type="dxa"/>
            <w:noWrap w:val="0"/>
            <w:tcMar>
              <w:left w:w="57" w:type="dxa"/>
              <w:right w:w="57" w:type="dxa"/>
            </w:tcMar>
            <w:vAlign w:val="center"/>
          </w:tcPr>
          <w:p w14:paraId="191493F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1C884D1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1F43AD1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650480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14AB9D6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184A098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29CFB34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7691C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B4A873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14:paraId="4D2041E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14:paraId="2D1956FD">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3.危及“三安全一稳定”</w:t>
            </w:r>
          </w:p>
        </w:tc>
        <w:tc>
          <w:tcPr>
            <w:tcW w:w="791" w:type="dxa"/>
            <w:noWrap w:val="0"/>
            <w:tcMar>
              <w:left w:w="57" w:type="dxa"/>
              <w:right w:w="57" w:type="dxa"/>
            </w:tcMar>
            <w:vAlign w:val="center"/>
          </w:tcPr>
          <w:p w14:paraId="4C185CD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501BA52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4C4F38F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50FC620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10A6982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0CBB6D7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3E20ABE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6E65F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1639AE5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14:paraId="734709D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14:paraId="64648991">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4.保护第三方合法权益</w:t>
            </w:r>
          </w:p>
        </w:tc>
        <w:tc>
          <w:tcPr>
            <w:tcW w:w="791" w:type="dxa"/>
            <w:noWrap w:val="0"/>
            <w:tcMar>
              <w:left w:w="57" w:type="dxa"/>
              <w:right w:w="57" w:type="dxa"/>
            </w:tcMar>
            <w:vAlign w:val="center"/>
          </w:tcPr>
          <w:p w14:paraId="4B93604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1506C13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512E638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06652FF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327018B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00EE6B3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0619626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49FA55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FBC2C5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14:paraId="4A0B1A1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14:paraId="529D71E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5.属于三类内部事务信息</w:t>
            </w:r>
          </w:p>
        </w:tc>
        <w:tc>
          <w:tcPr>
            <w:tcW w:w="791" w:type="dxa"/>
            <w:noWrap w:val="0"/>
            <w:tcMar>
              <w:left w:w="57" w:type="dxa"/>
              <w:right w:w="57" w:type="dxa"/>
            </w:tcMar>
            <w:vAlign w:val="center"/>
          </w:tcPr>
          <w:p w14:paraId="3029267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41143E5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13156DA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73C4065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7809AC3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5B0141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036C2DA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7C688D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2C062D6">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14:paraId="6943CC7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14:paraId="4D74C667">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6.属于四类过程性信息</w:t>
            </w:r>
          </w:p>
        </w:tc>
        <w:tc>
          <w:tcPr>
            <w:tcW w:w="791" w:type="dxa"/>
            <w:noWrap w:val="0"/>
            <w:tcMar>
              <w:left w:w="57" w:type="dxa"/>
              <w:right w:w="57" w:type="dxa"/>
            </w:tcMar>
            <w:vAlign w:val="center"/>
          </w:tcPr>
          <w:p w14:paraId="7301B3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2731DBC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4F892AE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5F95BC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72D7F35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0BC7163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20D6D2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1ECC4A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0DD51910">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14:paraId="2134293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14:paraId="142777C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7.属于行政执法案卷</w:t>
            </w:r>
          </w:p>
        </w:tc>
        <w:tc>
          <w:tcPr>
            <w:tcW w:w="791" w:type="dxa"/>
            <w:noWrap w:val="0"/>
            <w:tcMar>
              <w:left w:w="57" w:type="dxa"/>
              <w:right w:w="57" w:type="dxa"/>
            </w:tcMar>
            <w:vAlign w:val="center"/>
          </w:tcPr>
          <w:p w14:paraId="247810D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059EA12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60F3C55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1100BD9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1A98B5C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3C4770A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58829E3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7533A2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544BA43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14:paraId="77385DA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14:paraId="37EB0964">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8.属于行政查询事项</w:t>
            </w:r>
          </w:p>
        </w:tc>
        <w:tc>
          <w:tcPr>
            <w:tcW w:w="791" w:type="dxa"/>
            <w:noWrap w:val="0"/>
            <w:tcMar>
              <w:left w:w="57" w:type="dxa"/>
              <w:right w:w="57" w:type="dxa"/>
            </w:tcMar>
            <w:vAlign w:val="center"/>
          </w:tcPr>
          <w:p w14:paraId="3EE984F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1C75FB4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03FC77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7E9AF3C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1C82480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3EDD4E6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0CD1635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452D2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DD4B8E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restart"/>
            <w:noWrap w:val="0"/>
            <w:tcMar>
              <w:left w:w="57" w:type="dxa"/>
              <w:right w:w="57" w:type="dxa"/>
            </w:tcMar>
            <w:vAlign w:val="center"/>
          </w:tcPr>
          <w:p w14:paraId="5C12565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（四）无法提供</w:t>
            </w:r>
          </w:p>
        </w:tc>
        <w:tc>
          <w:tcPr>
            <w:tcW w:w="2878" w:type="dxa"/>
            <w:noWrap w:val="0"/>
            <w:tcMar>
              <w:left w:w="57" w:type="dxa"/>
              <w:right w:w="57" w:type="dxa"/>
            </w:tcMar>
            <w:vAlign w:val="top"/>
          </w:tcPr>
          <w:p w14:paraId="04EB65EF">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1.本机关不掌握相关政府信息</w:t>
            </w:r>
          </w:p>
        </w:tc>
        <w:tc>
          <w:tcPr>
            <w:tcW w:w="791" w:type="dxa"/>
            <w:noWrap w:val="0"/>
            <w:tcMar>
              <w:left w:w="57" w:type="dxa"/>
              <w:right w:w="57" w:type="dxa"/>
            </w:tcMar>
            <w:vAlign w:val="center"/>
          </w:tcPr>
          <w:p w14:paraId="34E888A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54622A7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369D05F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53F31A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111C9E1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309F011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4F07A5D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3EEE42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36D2041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14:paraId="4981049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14:paraId="0BAB849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2.没有现成信息需要另行制作</w:t>
            </w:r>
          </w:p>
        </w:tc>
        <w:tc>
          <w:tcPr>
            <w:tcW w:w="791" w:type="dxa"/>
            <w:noWrap w:val="0"/>
            <w:tcMar>
              <w:left w:w="57" w:type="dxa"/>
              <w:right w:w="57" w:type="dxa"/>
            </w:tcMar>
            <w:vAlign w:val="center"/>
          </w:tcPr>
          <w:p w14:paraId="4532F92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027EF81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23E6CE5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1DDF9C2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628C41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417D49C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5D4328D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4030C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40" w:hRule="atLeast"/>
          <w:jc w:val="center"/>
        </w:trPr>
        <w:tc>
          <w:tcPr>
            <w:tcW w:w="768" w:type="dxa"/>
            <w:vMerge w:val="continue"/>
            <w:noWrap w:val="0"/>
            <w:tcMar>
              <w:left w:w="57" w:type="dxa"/>
              <w:right w:w="57" w:type="dxa"/>
            </w:tcMar>
            <w:vAlign w:val="center"/>
          </w:tcPr>
          <w:p w14:paraId="4CE08FC4">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14:paraId="07FA5E1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14:paraId="0234BD16">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3.补正后申请内容仍不明确</w:t>
            </w:r>
          </w:p>
        </w:tc>
        <w:tc>
          <w:tcPr>
            <w:tcW w:w="791" w:type="dxa"/>
            <w:noWrap w:val="0"/>
            <w:tcMar>
              <w:left w:w="57" w:type="dxa"/>
              <w:right w:w="57" w:type="dxa"/>
            </w:tcMar>
            <w:vAlign w:val="center"/>
          </w:tcPr>
          <w:p w14:paraId="38F5BD1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7D6689B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4C7AE2B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269A5B8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6388F2E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5201581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3244B60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2176C8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3121A1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restart"/>
            <w:noWrap w:val="0"/>
            <w:tcMar>
              <w:left w:w="57" w:type="dxa"/>
              <w:right w:w="57" w:type="dxa"/>
            </w:tcMar>
            <w:vAlign w:val="center"/>
          </w:tcPr>
          <w:p w14:paraId="012E830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（五）不予处理</w:t>
            </w:r>
          </w:p>
        </w:tc>
        <w:tc>
          <w:tcPr>
            <w:tcW w:w="2878" w:type="dxa"/>
            <w:noWrap w:val="0"/>
            <w:tcMar>
              <w:left w:w="57" w:type="dxa"/>
              <w:right w:w="57" w:type="dxa"/>
            </w:tcMar>
            <w:vAlign w:val="top"/>
          </w:tcPr>
          <w:p w14:paraId="6F6651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1.信访举报投诉类申请</w:t>
            </w:r>
          </w:p>
        </w:tc>
        <w:tc>
          <w:tcPr>
            <w:tcW w:w="791" w:type="dxa"/>
            <w:noWrap w:val="0"/>
            <w:tcMar>
              <w:left w:w="57" w:type="dxa"/>
              <w:right w:w="57" w:type="dxa"/>
            </w:tcMar>
            <w:vAlign w:val="center"/>
          </w:tcPr>
          <w:p w14:paraId="55D2304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43125B9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65B5D44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3376072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36598E2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3A16E9F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289238E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1C769D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081D026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14:paraId="5235DFE1">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14:paraId="35C010E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2.重复申请</w:t>
            </w:r>
          </w:p>
        </w:tc>
        <w:tc>
          <w:tcPr>
            <w:tcW w:w="791" w:type="dxa"/>
            <w:noWrap w:val="0"/>
            <w:tcMar>
              <w:left w:w="57" w:type="dxa"/>
              <w:right w:w="57" w:type="dxa"/>
            </w:tcMar>
            <w:vAlign w:val="center"/>
          </w:tcPr>
          <w:p w14:paraId="0A65DD8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0953E56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5197394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7B2742E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6AA46A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4A3DC0B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657EA2D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5C319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5FD572E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14:paraId="7C506BF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14:paraId="3B53162A">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3.要求提供公开出版物</w:t>
            </w:r>
          </w:p>
        </w:tc>
        <w:tc>
          <w:tcPr>
            <w:tcW w:w="791" w:type="dxa"/>
            <w:noWrap w:val="0"/>
            <w:tcMar>
              <w:left w:w="57" w:type="dxa"/>
              <w:right w:w="57" w:type="dxa"/>
            </w:tcMar>
            <w:vAlign w:val="center"/>
          </w:tcPr>
          <w:p w14:paraId="338DD09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09EAE16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20F9FB1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07DDFD8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32DC0B1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598D76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6E4C5B6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46D7D9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7B3DD43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14:paraId="7B265ED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top"/>
          </w:tcPr>
          <w:p w14:paraId="6B45A010">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4.无正当理由大量反复申请</w:t>
            </w:r>
          </w:p>
        </w:tc>
        <w:tc>
          <w:tcPr>
            <w:tcW w:w="791" w:type="dxa"/>
            <w:noWrap w:val="0"/>
            <w:tcMar>
              <w:left w:w="57" w:type="dxa"/>
              <w:right w:w="57" w:type="dxa"/>
            </w:tcMar>
            <w:vAlign w:val="center"/>
          </w:tcPr>
          <w:p w14:paraId="0FCF99D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77E59DB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11C5EED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45A009A0">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3BDC26F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6C91177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5F3C0F6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r>
      <w:tr w14:paraId="4415B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79" w:hRule="atLeast"/>
          <w:jc w:val="center"/>
        </w:trPr>
        <w:tc>
          <w:tcPr>
            <w:tcW w:w="768" w:type="dxa"/>
            <w:vMerge w:val="continue"/>
            <w:noWrap w:val="0"/>
            <w:tcMar>
              <w:left w:w="57" w:type="dxa"/>
              <w:right w:w="57" w:type="dxa"/>
            </w:tcMar>
            <w:vAlign w:val="center"/>
          </w:tcPr>
          <w:p w14:paraId="2E63CEE7">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14:paraId="1F6FB88D">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center"/>
          </w:tcPr>
          <w:p w14:paraId="2A992A28">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5.要求行政机关确认或重新出具已获取信息</w:t>
            </w:r>
          </w:p>
        </w:tc>
        <w:tc>
          <w:tcPr>
            <w:tcW w:w="791" w:type="dxa"/>
            <w:noWrap w:val="0"/>
            <w:tcMar>
              <w:left w:w="57" w:type="dxa"/>
              <w:right w:w="57" w:type="dxa"/>
            </w:tcMar>
            <w:vAlign w:val="center"/>
          </w:tcPr>
          <w:p w14:paraId="19D49A0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342EFB6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287D1AC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58530FD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7181EB9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307E012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center"/>
          </w:tcPr>
          <w:p w14:paraId="1FFC528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r>
      <w:tr w14:paraId="7CB784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30ED9E5">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restart"/>
            <w:noWrap w:val="0"/>
            <w:tcMar>
              <w:left w:w="57" w:type="dxa"/>
              <w:right w:w="57" w:type="dxa"/>
            </w:tcMar>
            <w:vAlign w:val="center"/>
          </w:tcPr>
          <w:p w14:paraId="40CD0BB8">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（六）其他处理</w:t>
            </w:r>
          </w:p>
        </w:tc>
        <w:tc>
          <w:tcPr>
            <w:tcW w:w="2878" w:type="dxa"/>
            <w:noWrap w:val="0"/>
            <w:tcMar>
              <w:left w:w="57" w:type="dxa"/>
              <w:right w:w="57" w:type="dxa"/>
            </w:tcMar>
            <w:vAlign w:val="center"/>
          </w:tcPr>
          <w:p w14:paraId="1EADACCA">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1.申请人无正当理由逾期不补正、行政机关不再处理其政府信息公开申请</w:t>
            </w:r>
          </w:p>
        </w:tc>
        <w:tc>
          <w:tcPr>
            <w:tcW w:w="791" w:type="dxa"/>
            <w:noWrap w:val="0"/>
            <w:tcMar>
              <w:left w:w="57" w:type="dxa"/>
              <w:right w:w="57" w:type="dxa"/>
            </w:tcMar>
            <w:vAlign w:val="center"/>
          </w:tcPr>
          <w:p w14:paraId="1713B57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99" w:type="dxa"/>
            <w:noWrap w:val="0"/>
            <w:tcMar>
              <w:left w:w="57" w:type="dxa"/>
              <w:right w:w="57" w:type="dxa"/>
            </w:tcMar>
            <w:vAlign w:val="center"/>
          </w:tcPr>
          <w:p w14:paraId="3471AA5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3B429D8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1C926BD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111B9F1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bidi="ar"/>
              </w:rPr>
              <w:t> </w:t>
            </w: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35BF30F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r>
              <w:rPr>
                <w:rFonts w:hint="default" w:ascii="Times New Roman" w:hAnsi="Times New Roman" w:eastAsia="方正仿宋简体" w:cs="Times New Roman"/>
                <w:b/>
                <w:bCs w:val="0"/>
                <w:sz w:val="21"/>
                <w:szCs w:val="21"/>
                <w:lang w:bidi="ar"/>
              </w:rPr>
              <w:t> </w:t>
            </w:r>
          </w:p>
        </w:tc>
        <w:tc>
          <w:tcPr>
            <w:tcW w:w="521" w:type="dxa"/>
            <w:noWrap w:val="0"/>
            <w:tcMar>
              <w:left w:w="57" w:type="dxa"/>
              <w:right w:w="57" w:type="dxa"/>
            </w:tcMar>
            <w:vAlign w:val="top"/>
          </w:tcPr>
          <w:p w14:paraId="51C5302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bidi="ar"/>
              </w:rPr>
            </w:pPr>
            <w:r>
              <w:rPr>
                <w:rFonts w:hint="default" w:ascii="Times New Roman" w:hAnsi="Times New Roman" w:eastAsia="方正仿宋简体" w:cs="Times New Roman"/>
                <w:b/>
                <w:bCs w:val="0"/>
                <w:sz w:val="21"/>
                <w:szCs w:val="21"/>
                <w:lang w:bidi="ar"/>
              </w:rPr>
              <w:t> </w:t>
            </w:r>
          </w:p>
          <w:p w14:paraId="72125C4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r>
      <w:tr w14:paraId="1F3B7D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66E673E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14:paraId="4235FF4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center"/>
          </w:tcPr>
          <w:p w14:paraId="6DA66645">
            <w:pPr>
              <w:keepNext w:val="0"/>
              <w:keepLines w:val="0"/>
              <w:pageBreakBefore w:val="0"/>
              <w:widowControl/>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2.申请人逾期未按收费通知要求缴纳费用、行政机关不再处理其政府信息公开申请</w:t>
            </w:r>
          </w:p>
        </w:tc>
        <w:tc>
          <w:tcPr>
            <w:tcW w:w="791" w:type="dxa"/>
            <w:noWrap w:val="0"/>
            <w:tcMar>
              <w:left w:w="57" w:type="dxa"/>
              <w:right w:w="57" w:type="dxa"/>
            </w:tcMar>
            <w:vAlign w:val="center"/>
          </w:tcPr>
          <w:p w14:paraId="7285F2F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14:paraId="79897696">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2D64D2B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3EF72C1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32063FEB">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4F387F8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top"/>
          </w:tcPr>
          <w:p w14:paraId="1416477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bidi="ar"/>
              </w:rPr>
            </w:pPr>
          </w:p>
          <w:p w14:paraId="5C032BC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r>
      <w:tr w14:paraId="2BF011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39D113E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942" w:type="dxa"/>
            <w:vMerge w:val="continue"/>
            <w:noWrap w:val="0"/>
            <w:tcMar>
              <w:left w:w="57" w:type="dxa"/>
              <w:right w:w="57" w:type="dxa"/>
            </w:tcMar>
            <w:vAlign w:val="center"/>
          </w:tcPr>
          <w:p w14:paraId="69EEBDFB">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2878" w:type="dxa"/>
            <w:noWrap w:val="0"/>
            <w:tcMar>
              <w:left w:w="57" w:type="dxa"/>
              <w:right w:w="57" w:type="dxa"/>
            </w:tcMar>
            <w:vAlign w:val="center"/>
          </w:tcPr>
          <w:p w14:paraId="6324F05E">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3.其他</w:t>
            </w:r>
          </w:p>
        </w:tc>
        <w:tc>
          <w:tcPr>
            <w:tcW w:w="791" w:type="dxa"/>
            <w:noWrap w:val="0"/>
            <w:tcMar>
              <w:left w:w="57" w:type="dxa"/>
              <w:right w:w="57" w:type="dxa"/>
            </w:tcMar>
            <w:vAlign w:val="center"/>
          </w:tcPr>
          <w:p w14:paraId="0BAA8C1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14:paraId="5047671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79DF514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76D431A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64939788">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53136D11">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top"/>
          </w:tcPr>
          <w:p w14:paraId="1C09995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r>
      <w:tr w14:paraId="74CC4E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768" w:type="dxa"/>
            <w:vMerge w:val="continue"/>
            <w:noWrap w:val="0"/>
            <w:tcMar>
              <w:left w:w="57" w:type="dxa"/>
              <w:right w:w="57" w:type="dxa"/>
            </w:tcMar>
            <w:vAlign w:val="center"/>
          </w:tcPr>
          <w:p w14:paraId="26A44F69">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仿宋简体" w:cs="Times New Roman"/>
                <w:b/>
                <w:bCs w:val="0"/>
                <w:sz w:val="21"/>
                <w:szCs w:val="21"/>
              </w:rPr>
            </w:pPr>
          </w:p>
        </w:tc>
        <w:tc>
          <w:tcPr>
            <w:tcW w:w="3820" w:type="dxa"/>
            <w:gridSpan w:val="2"/>
            <w:noWrap w:val="0"/>
            <w:tcMar>
              <w:left w:w="57" w:type="dxa"/>
              <w:right w:w="57" w:type="dxa"/>
            </w:tcMar>
            <w:vAlign w:val="center"/>
          </w:tcPr>
          <w:p w14:paraId="730AD253">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（七）总计</w:t>
            </w:r>
          </w:p>
        </w:tc>
        <w:tc>
          <w:tcPr>
            <w:tcW w:w="791" w:type="dxa"/>
            <w:noWrap w:val="0"/>
            <w:tcMar>
              <w:left w:w="57" w:type="dxa"/>
              <w:right w:w="57" w:type="dxa"/>
            </w:tcMar>
            <w:vAlign w:val="center"/>
          </w:tcPr>
          <w:p w14:paraId="6E64A33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14:paraId="1342B21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2BEFE1C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4D0DFD7D">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41AA578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5794CAA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top"/>
          </w:tcPr>
          <w:p w14:paraId="353B331F">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kern w:val="2"/>
                <w:sz w:val="21"/>
                <w:szCs w:val="21"/>
                <w:lang w:val="en-US" w:eastAsia="zh-CN" w:bidi="ar-SA"/>
              </w:rPr>
            </w:pPr>
            <w:r>
              <w:rPr>
                <w:rFonts w:hint="default" w:ascii="Times New Roman" w:hAnsi="Times New Roman" w:eastAsia="方正仿宋简体" w:cs="Times New Roman"/>
                <w:b/>
                <w:bCs w:val="0"/>
                <w:sz w:val="21"/>
                <w:szCs w:val="21"/>
                <w:lang w:val="en-US" w:eastAsia="zh-CN" w:bidi="ar"/>
              </w:rPr>
              <w:t>0</w:t>
            </w:r>
          </w:p>
        </w:tc>
      </w:tr>
      <w:tr w14:paraId="486EE4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jc w:val="center"/>
        </w:trPr>
        <w:tc>
          <w:tcPr>
            <w:tcW w:w="4588" w:type="dxa"/>
            <w:gridSpan w:val="3"/>
            <w:noWrap w:val="0"/>
            <w:tcMar>
              <w:left w:w="57" w:type="dxa"/>
              <w:right w:w="57" w:type="dxa"/>
            </w:tcMar>
            <w:vAlign w:val="center"/>
          </w:tcPr>
          <w:p w14:paraId="6F1F8EE9">
            <w:pPr>
              <w:keepNext w:val="0"/>
              <w:keepLines w:val="0"/>
              <w:pageBreakBefore w:val="0"/>
              <w:widowControl/>
              <w:kinsoku/>
              <w:wordWrap/>
              <w:overflowPunct/>
              <w:topLinePunct w:val="0"/>
              <w:autoSpaceDE/>
              <w:autoSpaceDN/>
              <w:bidi w:val="0"/>
              <w:adjustRightInd/>
              <w:snapToGrid/>
              <w:spacing w:line="560" w:lineRule="exact"/>
              <w:jc w:val="left"/>
              <w:textAlignment w:val="auto"/>
              <w:rPr>
                <w:rFonts w:hint="default" w:ascii="Times New Roman" w:hAnsi="Times New Roman" w:eastAsia="方正仿宋简体" w:cs="Times New Roman"/>
                <w:b/>
                <w:bCs w:val="0"/>
                <w:sz w:val="21"/>
                <w:szCs w:val="21"/>
              </w:rPr>
            </w:pPr>
            <w:r>
              <w:rPr>
                <w:rFonts w:hint="default" w:ascii="Times New Roman" w:hAnsi="Times New Roman" w:eastAsia="方正仿宋简体" w:cs="Times New Roman"/>
                <w:b/>
                <w:bCs w:val="0"/>
                <w:sz w:val="21"/>
                <w:szCs w:val="21"/>
                <w:lang w:bidi="ar"/>
              </w:rPr>
              <w:t>四、结转下年度继续办理</w:t>
            </w:r>
          </w:p>
        </w:tc>
        <w:tc>
          <w:tcPr>
            <w:tcW w:w="791" w:type="dxa"/>
            <w:noWrap w:val="0"/>
            <w:tcMar>
              <w:left w:w="57" w:type="dxa"/>
              <w:right w:w="57" w:type="dxa"/>
            </w:tcMar>
            <w:vAlign w:val="center"/>
          </w:tcPr>
          <w:p w14:paraId="560D84B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c>
          <w:tcPr>
            <w:tcW w:w="599" w:type="dxa"/>
            <w:noWrap w:val="0"/>
            <w:tcMar>
              <w:left w:w="57" w:type="dxa"/>
              <w:right w:w="57" w:type="dxa"/>
            </w:tcMar>
            <w:vAlign w:val="center"/>
          </w:tcPr>
          <w:p w14:paraId="50F6063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c>
          <w:tcPr>
            <w:tcW w:w="590" w:type="dxa"/>
            <w:noWrap w:val="0"/>
            <w:tcMar>
              <w:left w:w="57" w:type="dxa"/>
              <w:right w:w="57" w:type="dxa"/>
            </w:tcMar>
            <w:vAlign w:val="center"/>
          </w:tcPr>
          <w:p w14:paraId="2FC31D7E">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c>
          <w:tcPr>
            <w:tcW w:w="598" w:type="dxa"/>
            <w:noWrap w:val="0"/>
            <w:tcMar>
              <w:left w:w="57" w:type="dxa"/>
              <w:right w:w="57" w:type="dxa"/>
            </w:tcMar>
            <w:vAlign w:val="center"/>
          </w:tcPr>
          <w:p w14:paraId="4FA2A0EA">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c>
          <w:tcPr>
            <w:tcW w:w="571" w:type="dxa"/>
            <w:noWrap w:val="0"/>
            <w:tcMar>
              <w:left w:w="57" w:type="dxa"/>
              <w:right w:w="57" w:type="dxa"/>
            </w:tcMar>
            <w:vAlign w:val="center"/>
          </w:tcPr>
          <w:p w14:paraId="1CE865C4">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c>
          <w:tcPr>
            <w:tcW w:w="559" w:type="dxa"/>
            <w:noWrap w:val="0"/>
            <w:tcMar>
              <w:left w:w="57" w:type="dxa"/>
              <w:right w:w="57" w:type="dxa"/>
            </w:tcMar>
            <w:vAlign w:val="center"/>
          </w:tcPr>
          <w:p w14:paraId="0D388CB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bidi="ar"/>
              </w:rPr>
              <w:t>0</w:t>
            </w:r>
          </w:p>
        </w:tc>
        <w:tc>
          <w:tcPr>
            <w:tcW w:w="521" w:type="dxa"/>
            <w:noWrap w:val="0"/>
            <w:tcMar>
              <w:left w:w="57" w:type="dxa"/>
              <w:right w:w="57" w:type="dxa"/>
            </w:tcMar>
            <w:vAlign w:val="top"/>
          </w:tcPr>
          <w:p w14:paraId="6BCC1594">
            <w:pPr>
              <w:keepNext w:val="0"/>
              <w:keepLines w:val="0"/>
              <w:pageBreakBefore w:val="0"/>
              <w:kinsoku/>
              <w:wordWrap/>
              <w:overflowPunct/>
              <w:topLinePunct w:val="0"/>
              <w:autoSpaceDE/>
              <w:autoSpaceDN/>
              <w:bidi w:val="0"/>
              <w:adjustRightInd/>
              <w:snapToGrid/>
              <w:spacing w:line="560" w:lineRule="exact"/>
              <w:jc w:val="center"/>
              <w:textAlignment w:val="auto"/>
              <w:rPr>
                <w:rFonts w:hint="default" w:ascii="Times New Roman" w:hAnsi="Times New Roman" w:eastAsia="方正仿宋简体" w:cs="Times New Roman"/>
                <w:b/>
                <w:bCs w:val="0"/>
                <w:sz w:val="21"/>
                <w:szCs w:val="21"/>
                <w:lang w:val="en-US" w:eastAsia="zh-CN"/>
              </w:rPr>
            </w:pPr>
            <w:r>
              <w:rPr>
                <w:rFonts w:hint="default" w:ascii="Times New Roman" w:hAnsi="Times New Roman" w:eastAsia="方正仿宋简体" w:cs="Times New Roman"/>
                <w:b/>
                <w:bCs w:val="0"/>
                <w:sz w:val="21"/>
                <w:szCs w:val="21"/>
                <w:lang w:val="en-US" w:eastAsia="zh-CN"/>
              </w:rPr>
              <w:t>0</w:t>
            </w:r>
          </w:p>
        </w:tc>
      </w:tr>
    </w:tbl>
    <w:p w14:paraId="09BE776A">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仿宋_GB2312" w:cs="Times New Roman"/>
          <w:b/>
          <w:bCs w:val="0"/>
          <w:sz w:val="32"/>
          <w:szCs w:val="32"/>
        </w:rPr>
      </w:pPr>
    </w:p>
    <w:p w14:paraId="6398D543">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黑体" w:cs="Times New Roman"/>
          <w:b/>
          <w:bCs w:val="0"/>
          <w:sz w:val="30"/>
          <w:szCs w:val="30"/>
        </w:rPr>
      </w:pPr>
      <w:r>
        <w:rPr>
          <w:rFonts w:hint="default" w:ascii="Times New Roman" w:hAnsi="Times New Roman" w:eastAsia="黑体" w:cs="Times New Roman"/>
          <w:b/>
          <w:bCs w:val="0"/>
          <w:sz w:val="30"/>
          <w:szCs w:val="30"/>
          <w:lang w:val="en-US" w:eastAsia="zh-CN"/>
        </w:rPr>
        <w:t>四、</w:t>
      </w:r>
      <w:r>
        <w:rPr>
          <w:rFonts w:hint="default" w:ascii="Times New Roman" w:hAnsi="Times New Roman" w:eastAsia="黑体" w:cs="Times New Roman"/>
          <w:b/>
          <w:bCs w:val="0"/>
          <w:sz w:val="30"/>
          <w:szCs w:val="30"/>
        </w:rPr>
        <w:t>政府信息公开行政复议、行政诉讼情况</w:t>
      </w:r>
    </w:p>
    <w:tbl>
      <w:tblPr>
        <w:tblStyle w:val="5"/>
        <w:tblW w:w="9071"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fixed"/>
        <w:tblCellMar>
          <w:top w:w="0" w:type="dxa"/>
          <w:left w:w="0" w:type="dxa"/>
          <w:bottom w:w="0" w:type="dxa"/>
          <w:right w:w="0" w:type="dxa"/>
        </w:tblCellMar>
      </w:tblPr>
      <w:tblGrid>
        <w:gridCol w:w="604"/>
        <w:gridCol w:w="604"/>
        <w:gridCol w:w="604"/>
        <w:gridCol w:w="604"/>
        <w:gridCol w:w="658"/>
        <w:gridCol w:w="550"/>
        <w:gridCol w:w="605"/>
        <w:gridCol w:w="605"/>
        <w:gridCol w:w="605"/>
        <w:gridCol w:w="605"/>
        <w:gridCol w:w="605"/>
        <w:gridCol w:w="605"/>
        <w:gridCol w:w="605"/>
        <w:gridCol w:w="606"/>
        <w:gridCol w:w="606"/>
      </w:tblGrid>
      <w:tr w14:paraId="7B67173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97" w:hRule="atLeast"/>
          <w:jc w:val="center"/>
        </w:trPr>
        <w:tc>
          <w:tcPr>
            <w:tcW w:w="3074"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14:paraId="50F6516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行政复议</w:t>
            </w:r>
          </w:p>
        </w:tc>
        <w:tc>
          <w:tcPr>
            <w:tcW w:w="5997" w:type="dxa"/>
            <w:gridSpan w:val="10"/>
            <w:tcBorders>
              <w:top w:val="single" w:color="auto" w:sz="8" w:space="0"/>
              <w:left w:val="nil"/>
              <w:bottom w:val="single" w:color="auto" w:sz="8" w:space="0"/>
              <w:right w:val="single" w:color="auto" w:sz="8" w:space="0"/>
            </w:tcBorders>
            <w:noWrap w:val="0"/>
            <w:tcMar>
              <w:left w:w="108" w:type="dxa"/>
              <w:right w:w="108" w:type="dxa"/>
            </w:tcMar>
            <w:vAlign w:val="center"/>
          </w:tcPr>
          <w:p w14:paraId="79C50CF7">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行政诉讼</w:t>
            </w:r>
          </w:p>
        </w:tc>
      </w:tr>
      <w:tr w14:paraId="7B47408B">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547" w:hRule="atLeast"/>
          <w:jc w:val="center"/>
        </w:trPr>
        <w:tc>
          <w:tcPr>
            <w:tcW w:w="604"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14:paraId="0059971F">
            <w:pPr>
              <w:keepNext w:val="0"/>
              <w:keepLines w:val="0"/>
              <w:pageBreakBefore w:val="0"/>
              <w:widowControl/>
              <w:kinsoku/>
              <w:wordWrap/>
              <w:overflowPunct/>
              <w:topLinePunct w:val="0"/>
              <w:autoSpaceDE/>
              <w:autoSpaceDN/>
              <w:bidi w:val="0"/>
              <w:adjustRightInd/>
              <w:snapToGrid/>
              <w:spacing w:line="560" w:lineRule="exact"/>
              <w:ind w:left="-149" w:leftChars="-71" w:right="-170" w:rightChars="-81"/>
              <w:jc w:val="center"/>
              <w:textAlignment w:val="auto"/>
              <w:rPr>
                <w:rFonts w:hint="default" w:ascii="Times New Roman" w:hAnsi="Times New Roman" w:eastAsia="黑体" w:cs="Times New Roman"/>
                <w:b/>
                <w:bCs w:val="0"/>
                <w:kern w:val="0"/>
                <w:sz w:val="20"/>
                <w:szCs w:val="20"/>
              </w:rPr>
            </w:pPr>
            <w:r>
              <w:rPr>
                <w:rFonts w:hint="default" w:ascii="Times New Roman" w:hAnsi="Times New Roman" w:eastAsia="黑体" w:cs="Times New Roman"/>
                <w:b/>
                <w:bCs w:val="0"/>
                <w:kern w:val="0"/>
                <w:sz w:val="20"/>
                <w:szCs w:val="20"/>
              </w:rPr>
              <w:t>结果</w:t>
            </w:r>
          </w:p>
          <w:p w14:paraId="35A979D7">
            <w:pPr>
              <w:keepNext w:val="0"/>
              <w:keepLines w:val="0"/>
              <w:pageBreakBefore w:val="0"/>
              <w:widowControl/>
              <w:kinsoku/>
              <w:wordWrap/>
              <w:overflowPunct/>
              <w:topLinePunct w:val="0"/>
              <w:autoSpaceDE/>
              <w:autoSpaceDN/>
              <w:bidi w:val="0"/>
              <w:adjustRightInd/>
              <w:snapToGrid/>
              <w:spacing w:line="560" w:lineRule="exact"/>
              <w:ind w:left="-149" w:leftChars="-71" w:right="-170" w:rightChars="-81"/>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维持</w:t>
            </w:r>
          </w:p>
        </w:tc>
        <w:tc>
          <w:tcPr>
            <w:tcW w:w="604" w:type="dxa"/>
            <w:vMerge w:val="restart"/>
            <w:tcBorders>
              <w:top w:val="nil"/>
              <w:left w:val="nil"/>
              <w:bottom w:val="single" w:color="auto" w:sz="8" w:space="0"/>
              <w:right w:val="single" w:color="auto" w:sz="8" w:space="0"/>
            </w:tcBorders>
            <w:noWrap w:val="0"/>
            <w:tcMar>
              <w:left w:w="108" w:type="dxa"/>
              <w:right w:w="108" w:type="dxa"/>
            </w:tcMar>
            <w:vAlign w:val="center"/>
          </w:tcPr>
          <w:p w14:paraId="2E4E3AD6">
            <w:pPr>
              <w:keepNext w:val="0"/>
              <w:keepLines w:val="0"/>
              <w:pageBreakBefore w:val="0"/>
              <w:widowControl/>
              <w:kinsoku/>
              <w:wordWrap/>
              <w:overflowPunct/>
              <w:topLinePunct w:val="0"/>
              <w:autoSpaceDE/>
              <w:autoSpaceDN/>
              <w:bidi w:val="0"/>
              <w:adjustRightInd/>
              <w:snapToGrid/>
              <w:spacing w:line="560" w:lineRule="exact"/>
              <w:ind w:left="-43" w:leftChars="-21" w:right="-132" w:rightChars="-63" w:hanging="1"/>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结果纠正</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44FF1913">
            <w:pPr>
              <w:keepNext w:val="0"/>
              <w:keepLines w:val="0"/>
              <w:pageBreakBefore w:val="0"/>
              <w:widowControl/>
              <w:kinsoku/>
              <w:wordWrap/>
              <w:overflowPunct/>
              <w:topLinePunct w:val="0"/>
              <w:autoSpaceDE/>
              <w:autoSpaceDN/>
              <w:bidi w:val="0"/>
              <w:adjustRightInd/>
              <w:snapToGrid/>
              <w:spacing w:line="560" w:lineRule="exact"/>
              <w:ind w:left="-82" w:leftChars="-39" w:right="-97" w:rightChars="-46"/>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其他结果</w:t>
            </w:r>
          </w:p>
        </w:tc>
        <w:tc>
          <w:tcPr>
            <w:tcW w:w="604"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5204B118">
            <w:pPr>
              <w:keepNext w:val="0"/>
              <w:keepLines w:val="0"/>
              <w:pageBreakBefore w:val="0"/>
              <w:widowControl/>
              <w:kinsoku/>
              <w:wordWrap/>
              <w:overflowPunct/>
              <w:topLinePunct w:val="0"/>
              <w:autoSpaceDE/>
              <w:autoSpaceDN/>
              <w:bidi w:val="0"/>
              <w:adjustRightInd/>
              <w:snapToGrid/>
              <w:spacing w:line="560" w:lineRule="exact"/>
              <w:ind w:left="-118" w:leftChars="-56" w:right="-118" w:rightChars="-56"/>
              <w:jc w:val="center"/>
              <w:textAlignment w:val="auto"/>
              <w:rPr>
                <w:rFonts w:hint="default" w:ascii="Times New Roman" w:hAnsi="Times New Roman" w:eastAsia="黑体" w:cs="Times New Roman"/>
                <w:b/>
                <w:bCs w:val="0"/>
                <w:kern w:val="0"/>
                <w:sz w:val="20"/>
                <w:szCs w:val="20"/>
              </w:rPr>
            </w:pPr>
            <w:r>
              <w:rPr>
                <w:rFonts w:hint="default" w:ascii="Times New Roman" w:hAnsi="Times New Roman" w:eastAsia="黑体" w:cs="Times New Roman"/>
                <w:b/>
                <w:bCs w:val="0"/>
                <w:kern w:val="0"/>
                <w:sz w:val="20"/>
                <w:szCs w:val="20"/>
              </w:rPr>
              <w:t>尚未</w:t>
            </w:r>
          </w:p>
          <w:p w14:paraId="39437999">
            <w:pPr>
              <w:keepNext w:val="0"/>
              <w:keepLines w:val="0"/>
              <w:pageBreakBefore w:val="0"/>
              <w:widowControl/>
              <w:kinsoku/>
              <w:wordWrap/>
              <w:overflowPunct/>
              <w:topLinePunct w:val="0"/>
              <w:autoSpaceDE/>
              <w:autoSpaceDN/>
              <w:bidi w:val="0"/>
              <w:adjustRightInd/>
              <w:snapToGrid/>
              <w:spacing w:line="560" w:lineRule="exact"/>
              <w:ind w:left="-118" w:leftChars="-56" w:right="-118" w:rightChars="-56"/>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审结</w:t>
            </w:r>
          </w:p>
        </w:tc>
        <w:tc>
          <w:tcPr>
            <w:tcW w:w="658" w:type="dxa"/>
            <w:vMerge w:val="restart"/>
            <w:tcBorders>
              <w:top w:val="single" w:color="auto" w:sz="8" w:space="0"/>
              <w:left w:val="nil"/>
              <w:bottom w:val="single" w:color="auto" w:sz="8" w:space="0"/>
              <w:right w:val="single" w:color="auto" w:sz="8" w:space="0"/>
            </w:tcBorders>
            <w:noWrap w:val="0"/>
            <w:tcMar>
              <w:left w:w="108" w:type="dxa"/>
              <w:right w:w="108" w:type="dxa"/>
            </w:tcMar>
            <w:vAlign w:val="center"/>
          </w:tcPr>
          <w:p w14:paraId="2DCDC69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val="0"/>
                <w:kern w:val="0"/>
                <w:sz w:val="20"/>
                <w:szCs w:val="20"/>
              </w:rPr>
            </w:pPr>
            <w:r>
              <w:rPr>
                <w:rFonts w:hint="default" w:ascii="Times New Roman" w:hAnsi="Times New Roman" w:eastAsia="黑体" w:cs="Times New Roman"/>
                <w:b/>
                <w:bCs w:val="0"/>
                <w:kern w:val="0"/>
                <w:sz w:val="20"/>
                <w:szCs w:val="20"/>
              </w:rPr>
              <w:t>总</w:t>
            </w:r>
          </w:p>
          <w:p w14:paraId="6B6C65E3">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计</w:t>
            </w:r>
          </w:p>
        </w:tc>
        <w:tc>
          <w:tcPr>
            <w:tcW w:w="2970"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0A2FA75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未经复议直接起诉</w:t>
            </w:r>
          </w:p>
        </w:tc>
        <w:tc>
          <w:tcPr>
            <w:tcW w:w="3027" w:type="dxa"/>
            <w:gridSpan w:val="5"/>
            <w:tcBorders>
              <w:top w:val="single" w:color="auto" w:sz="8" w:space="0"/>
              <w:left w:val="nil"/>
              <w:bottom w:val="single" w:color="auto" w:sz="8" w:space="0"/>
              <w:right w:val="single" w:color="auto" w:sz="8" w:space="0"/>
            </w:tcBorders>
            <w:noWrap w:val="0"/>
            <w:tcMar>
              <w:left w:w="108" w:type="dxa"/>
              <w:right w:w="108" w:type="dxa"/>
            </w:tcMar>
            <w:vAlign w:val="center"/>
          </w:tcPr>
          <w:p w14:paraId="284B7C2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复议后起诉</w:t>
            </w:r>
          </w:p>
        </w:tc>
      </w:tr>
      <w:tr w14:paraId="1C577C77">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PrEx>
        <w:trPr>
          <w:trHeight w:val="906" w:hRule="atLeast"/>
          <w:jc w:val="center"/>
        </w:trPr>
        <w:tc>
          <w:tcPr>
            <w:tcW w:w="604"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14:paraId="73EA73EF">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bCs w:val="0"/>
                <w:sz w:val="24"/>
              </w:rPr>
            </w:pPr>
          </w:p>
        </w:tc>
        <w:tc>
          <w:tcPr>
            <w:tcW w:w="604" w:type="dxa"/>
            <w:vMerge w:val="continue"/>
            <w:tcBorders>
              <w:top w:val="nil"/>
              <w:left w:val="nil"/>
              <w:bottom w:val="single" w:color="auto" w:sz="8" w:space="0"/>
              <w:right w:val="single" w:color="auto" w:sz="8" w:space="0"/>
            </w:tcBorders>
            <w:noWrap w:val="0"/>
            <w:tcMar>
              <w:left w:w="108" w:type="dxa"/>
              <w:right w:w="108" w:type="dxa"/>
            </w:tcMar>
            <w:vAlign w:val="center"/>
          </w:tcPr>
          <w:p w14:paraId="7C123DD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bCs w:val="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60F179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bCs w:val="0"/>
                <w:sz w:val="24"/>
              </w:rPr>
            </w:pPr>
          </w:p>
        </w:tc>
        <w:tc>
          <w:tcPr>
            <w:tcW w:w="604"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6DE1E04E">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bCs w:val="0"/>
                <w:sz w:val="24"/>
              </w:rPr>
            </w:pPr>
          </w:p>
        </w:tc>
        <w:tc>
          <w:tcPr>
            <w:tcW w:w="658" w:type="dxa"/>
            <w:vMerge w:val="continue"/>
            <w:tcBorders>
              <w:top w:val="single" w:color="auto" w:sz="8" w:space="0"/>
              <w:left w:val="nil"/>
              <w:bottom w:val="single" w:color="auto" w:sz="8" w:space="0"/>
              <w:right w:val="single" w:color="auto" w:sz="8" w:space="0"/>
            </w:tcBorders>
            <w:noWrap w:val="0"/>
            <w:tcMar>
              <w:left w:w="108" w:type="dxa"/>
              <w:right w:w="108" w:type="dxa"/>
            </w:tcMar>
            <w:vAlign w:val="center"/>
          </w:tcPr>
          <w:p w14:paraId="2D81102C">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黑体" w:cs="Times New Roman"/>
                <w:b/>
                <w:bCs w:val="0"/>
                <w:sz w:val="24"/>
              </w:rPr>
            </w:pP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2AAC174C">
            <w:pPr>
              <w:keepNext w:val="0"/>
              <w:keepLines w:val="0"/>
              <w:pageBreakBefore w:val="0"/>
              <w:widowControl/>
              <w:kinsoku/>
              <w:wordWrap/>
              <w:overflowPunct/>
              <w:topLinePunct w:val="0"/>
              <w:autoSpaceDE/>
              <w:autoSpaceDN/>
              <w:bidi w:val="0"/>
              <w:adjustRightInd/>
              <w:snapToGrid/>
              <w:spacing w:line="560" w:lineRule="exact"/>
              <w:ind w:left="-105" w:leftChars="-50" w:right="-126" w:rightChars="-60"/>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结果维持</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7143AB9B">
            <w:pPr>
              <w:keepNext w:val="0"/>
              <w:keepLines w:val="0"/>
              <w:pageBreakBefore w:val="0"/>
              <w:widowControl/>
              <w:kinsoku/>
              <w:wordWrap/>
              <w:overflowPunct/>
              <w:topLinePunct w:val="0"/>
              <w:autoSpaceDE/>
              <w:autoSpaceDN/>
              <w:bidi w:val="0"/>
              <w:adjustRightInd/>
              <w:snapToGrid/>
              <w:spacing w:line="560" w:lineRule="exact"/>
              <w:ind w:left="-86" w:leftChars="-41" w:right="-88" w:rightChars="-42"/>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结果纠正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1D6345C2">
            <w:pPr>
              <w:keepNext w:val="0"/>
              <w:keepLines w:val="0"/>
              <w:pageBreakBefore w:val="0"/>
              <w:widowControl/>
              <w:kinsoku/>
              <w:wordWrap/>
              <w:overflowPunct/>
              <w:topLinePunct w:val="0"/>
              <w:autoSpaceDE/>
              <w:autoSpaceDN/>
              <w:bidi w:val="0"/>
              <w:adjustRightInd/>
              <w:snapToGrid/>
              <w:spacing w:line="560" w:lineRule="exact"/>
              <w:ind w:left="-126" w:leftChars="-60" w:right="-136" w:rightChars="-65"/>
              <w:jc w:val="center"/>
              <w:textAlignment w:val="auto"/>
              <w:rPr>
                <w:rFonts w:hint="default" w:ascii="Times New Roman" w:hAnsi="Times New Roman" w:eastAsia="黑体" w:cs="Times New Roman"/>
                <w:b/>
                <w:bCs w:val="0"/>
                <w:kern w:val="0"/>
                <w:sz w:val="20"/>
                <w:szCs w:val="20"/>
              </w:rPr>
            </w:pPr>
            <w:r>
              <w:rPr>
                <w:rFonts w:hint="default" w:ascii="Times New Roman" w:hAnsi="Times New Roman" w:eastAsia="黑体" w:cs="Times New Roman"/>
                <w:b/>
                <w:bCs w:val="0"/>
                <w:kern w:val="0"/>
                <w:sz w:val="20"/>
                <w:szCs w:val="20"/>
              </w:rPr>
              <w:t>其他</w:t>
            </w:r>
          </w:p>
          <w:p w14:paraId="314B8371">
            <w:pPr>
              <w:keepNext w:val="0"/>
              <w:keepLines w:val="0"/>
              <w:pageBreakBefore w:val="0"/>
              <w:widowControl/>
              <w:kinsoku/>
              <w:wordWrap/>
              <w:overflowPunct/>
              <w:topLinePunct w:val="0"/>
              <w:autoSpaceDE/>
              <w:autoSpaceDN/>
              <w:bidi w:val="0"/>
              <w:adjustRightInd/>
              <w:snapToGrid/>
              <w:spacing w:line="560" w:lineRule="exact"/>
              <w:ind w:left="-126" w:leftChars="-60" w:right="-136" w:rightChars="-65"/>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结果</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426B4FC">
            <w:pPr>
              <w:keepNext w:val="0"/>
              <w:keepLines w:val="0"/>
              <w:pageBreakBefore w:val="0"/>
              <w:widowControl/>
              <w:kinsoku/>
              <w:wordWrap/>
              <w:overflowPunct/>
              <w:topLinePunct w:val="0"/>
              <w:autoSpaceDE/>
              <w:autoSpaceDN/>
              <w:bidi w:val="0"/>
              <w:adjustRightInd/>
              <w:snapToGrid/>
              <w:spacing w:line="560" w:lineRule="exact"/>
              <w:ind w:left="-164" w:leftChars="-78" w:right="-153" w:rightChars="-73"/>
              <w:jc w:val="center"/>
              <w:textAlignment w:val="auto"/>
              <w:rPr>
                <w:rFonts w:hint="default" w:ascii="Times New Roman" w:hAnsi="Times New Roman" w:eastAsia="黑体" w:cs="Times New Roman"/>
                <w:b/>
                <w:bCs w:val="0"/>
                <w:kern w:val="0"/>
                <w:sz w:val="20"/>
                <w:szCs w:val="20"/>
              </w:rPr>
            </w:pPr>
            <w:r>
              <w:rPr>
                <w:rFonts w:hint="default" w:ascii="Times New Roman" w:hAnsi="Times New Roman" w:eastAsia="黑体" w:cs="Times New Roman"/>
                <w:b/>
                <w:bCs w:val="0"/>
                <w:kern w:val="0"/>
                <w:sz w:val="20"/>
                <w:szCs w:val="20"/>
              </w:rPr>
              <w:t>尚未</w:t>
            </w:r>
          </w:p>
          <w:p w14:paraId="242EA6B6">
            <w:pPr>
              <w:keepNext w:val="0"/>
              <w:keepLines w:val="0"/>
              <w:pageBreakBefore w:val="0"/>
              <w:widowControl/>
              <w:kinsoku/>
              <w:wordWrap/>
              <w:overflowPunct/>
              <w:topLinePunct w:val="0"/>
              <w:autoSpaceDE/>
              <w:autoSpaceDN/>
              <w:bidi w:val="0"/>
              <w:adjustRightInd/>
              <w:snapToGrid/>
              <w:spacing w:line="560" w:lineRule="exact"/>
              <w:ind w:left="-164" w:leftChars="-78" w:right="-153" w:rightChars="-73"/>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审结</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A798B4C">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总计</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278755A2">
            <w:pPr>
              <w:keepNext w:val="0"/>
              <w:keepLines w:val="0"/>
              <w:pageBreakBefore w:val="0"/>
              <w:widowControl/>
              <w:kinsoku/>
              <w:wordWrap/>
              <w:overflowPunct/>
              <w:topLinePunct w:val="0"/>
              <w:autoSpaceDE/>
              <w:autoSpaceDN/>
              <w:bidi w:val="0"/>
              <w:adjustRightInd/>
              <w:snapToGrid/>
              <w:spacing w:line="560" w:lineRule="exact"/>
              <w:ind w:left="-99" w:leftChars="-47" w:right="-78" w:rightChars="-37"/>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结果维持</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4E789917">
            <w:pPr>
              <w:keepNext w:val="0"/>
              <w:keepLines w:val="0"/>
              <w:pageBreakBefore w:val="0"/>
              <w:widowControl/>
              <w:kinsoku/>
              <w:wordWrap/>
              <w:overflowPunct/>
              <w:topLinePunct w:val="0"/>
              <w:autoSpaceDE/>
              <w:autoSpaceDN/>
              <w:bidi w:val="0"/>
              <w:adjustRightInd/>
              <w:snapToGrid/>
              <w:spacing w:line="560" w:lineRule="exact"/>
              <w:ind w:left="-136" w:leftChars="-65" w:right="-124" w:rightChars="-59"/>
              <w:jc w:val="center"/>
              <w:textAlignment w:val="auto"/>
              <w:rPr>
                <w:rFonts w:hint="default" w:ascii="Times New Roman" w:hAnsi="Times New Roman" w:eastAsia="黑体" w:cs="Times New Roman"/>
                <w:b/>
                <w:bCs w:val="0"/>
                <w:kern w:val="0"/>
                <w:sz w:val="20"/>
                <w:szCs w:val="20"/>
              </w:rPr>
            </w:pPr>
            <w:r>
              <w:rPr>
                <w:rFonts w:hint="default" w:ascii="Times New Roman" w:hAnsi="Times New Roman" w:eastAsia="黑体" w:cs="Times New Roman"/>
                <w:b/>
                <w:bCs w:val="0"/>
                <w:kern w:val="0"/>
                <w:sz w:val="20"/>
                <w:szCs w:val="20"/>
              </w:rPr>
              <w:t>结果</w:t>
            </w:r>
          </w:p>
          <w:p w14:paraId="4606FE94">
            <w:pPr>
              <w:keepNext w:val="0"/>
              <w:keepLines w:val="0"/>
              <w:pageBreakBefore w:val="0"/>
              <w:widowControl/>
              <w:kinsoku/>
              <w:wordWrap/>
              <w:overflowPunct/>
              <w:topLinePunct w:val="0"/>
              <w:autoSpaceDE/>
              <w:autoSpaceDN/>
              <w:bidi w:val="0"/>
              <w:adjustRightInd/>
              <w:snapToGrid/>
              <w:spacing w:line="560" w:lineRule="exact"/>
              <w:ind w:left="-136" w:leftChars="-65" w:right="-124" w:rightChars="-59"/>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纠正</w:t>
            </w:r>
          </w:p>
        </w:tc>
        <w:tc>
          <w:tcPr>
            <w:tcW w:w="605" w:type="dxa"/>
            <w:tcBorders>
              <w:top w:val="single" w:color="auto" w:sz="8" w:space="0"/>
              <w:left w:val="nil"/>
              <w:bottom w:val="single" w:color="auto" w:sz="8" w:space="0"/>
              <w:right w:val="single" w:color="auto" w:sz="8" w:space="0"/>
            </w:tcBorders>
            <w:noWrap w:val="0"/>
            <w:tcMar>
              <w:left w:w="108" w:type="dxa"/>
              <w:right w:w="108" w:type="dxa"/>
            </w:tcMar>
            <w:vAlign w:val="center"/>
          </w:tcPr>
          <w:p w14:paraId="551312F2">
            <w:pPr>
              <w:keepNext w:val="0"/>
              <w:keepLines w:val="0"/>
              <w:pageBreakBefore w:val="0"/>
              <w:widowControl/>
              <w:kinsoku/>
              <w:wordWrap/>
              <w:overflowPunct/>
              <w:topLinePunct w:val="0"/>
              <w:autoSpaceDE/>
              <w:autoSpaceDN/>
              <w:bidi w:val="0"/>
              <w:adjustRightInd/>
              <w:snapToGrid/>
              <w:spacing w:line="560" w:lineRule="exact"/>
              <w:ind w:left="-173" w:leftChars="-83" w:right="-134" w:rightChars="-64" w:hanging="1"/>
              <w:jc w:val="center"/>
              <w:textAlignment w:val="auto"/>
              <w:rPr>
                <w:rFonts w:hint="default" w:ascii="Times New Roman" w:hAnsi="Times New Roman" w:eastAsia="黑体" w:cs="Times New Roman"/>
                <w:b/>
                <w:bCs w:val="0"/>
                <w:kern w:val="0"/>
                <w:sz w:val="20"/>
                <w:szCs w:val="20"/>
              </w:rPr>
            </w:pPr>
            <w:r>
              <w:rPr>
                <w:rFonts w:hint="default" w:ascii="Times New Roman" w:hAnsi="Times New Roman" w:eastAsia="黑体" w:cs="Times New Roman"/>
                <w:b/>
                <w:bCs w:val="0"/>
                <w:kern w:val="0"/>
                <w:sz w:val="20"/>
                <w:szCs w:val="20"/>
              </w:rPr>
              <w:t>其他</w:t>
            </w:r>
          </w:p>
          <w:p w14:paraId="22497E32">
            <w:pPr>
              <w:keepNext w:val="0"/>
              <w:keepLines w:val="0"/>
              <w:pageBreakBefore w:val="0"/>
              <w:widowControl/>
              <w:kinsoku/>
              <w:wordWrap/>
              <w:overflowPunct/>
              <w:topLinePunct w:val="0"/>
              <w:autoSpaceDE/>
              <w:autoSpaceDN/>
              <w:bidi w:val="0"/>
              <w:adjustRightInd/>
              <w:snapToGrid/>
              <w:spacing w:line="560" w:lineRule="exact"/>
              <w:ind w:left="-173" w:leftChars="-83" w:right="-134" w:rightChars="-64" w:hanging="1"/>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结果</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5823B85">
            <w:pPr>
              <w:keepNext w:val="0"/>
              <w:keepLines w:val="0"/>
              <w:pageBreakBefore w:val="0"/>
              <w:widowControl/>
              <w:kinsoku/>
              <w:wordWrap/>
              <w:overflowPunct/>
              <w:topLinePunct w:val="0"/>
              <w:autoSpaceDE/>
              <w:autoSpaceDN/>
              <w:bidi w:val="0"/>
              <w:adjustRightInd/>
              <w:snapToGrid/>
              <w:spacing w:line="560" w:lineRule="exact"/>
              <w:ind w:left="-67" w:leftChars="-33" w:right="-105" w:rightChars="-50" w:hanging="2" w:hangingChars="1"/>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尚未审结</w:t>
            </w:r>
          </w:p>
        </w:tc>
        <w:tc>
          <w:tcPr>
            <w:tcW w:w="606" w:type="dxa"/>
            <w:tcBorders>
              <w:top w:val="single" w:color="auto" w:sz="8" w:space="0"/>
              <w:left w:val="nil"/>
              <w:bottom w:val="single" w:color="auto" w:sz="8" w:space="0"/>
              <w:right w:val="single" w:color="auto" w:sz="8" w:space="0"/>
            </w:tcBorders>
            <w:noWrap w:val="0"/>
            <w:tcMar>
              <w:left w:w="108" w:type="dxa"/>
              <w:right w:w="108" w:type="dxa"/>
            </w:tcMar>
            <w:vAlign w:val="center"/>
          </w:tcPr>
          <w:p w14:paraId="3DA15315">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default" w:ascii="Times New Roman" w:hAnsi="Times New Roman" w:eastAsia="黑体" w:cs="Times New Roman"/>
                <w:b/>
                <w:bCs w:val="0"/>
              </w:rPr>
            </w:pPr>
            <w:r>
              <w:rPr>
                <w:rFonts w:hint="default" w:ascii="Times New Roman" w:hAnsi="Times New Roman" w:eastAsia="黑体" w:cs="Times New Roman"/>
                <w:b/>
                <w:bCs w:val="0"/>
                <w:kern w:val="0"/>
                <w:sz w:val="20"/>
                <w:szCs w:val="20"/>
              </w:rPr>
              <w:t>总计</w:t>
            </w:r>
          </w:p>
        </w:tc>
      </w:tr>
      <w:tr w14:paraId="306B890F">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jc w:val="center"/>
        </w:trPr>
        <w:tc>
          <w:tcPr>
            <w:tcW w:w="604" w:type="dxa"/>
            <w:tcBorders>
              <w:top w:val="nil"/>
              <w:left w:val="single" w:color="auto" w:sz="8" w:space="0"/>
              <w:bottom w:val="single" w:color="auto" w:sz="8" w:space="0"/>
              <w:right w:val="single" w:color="auto" w:sz="8" w:space="0"/>
            </w:tcBorders>
            <w:noWrap w:val="0"/>
            <w:tcMar>
              <w:left w:w="108" w:type="dxa"/>
              <w:right w:w="108" w:type="dxa"/>
            </w:tcMar>
            <w:vAlign w:val="center"/>
          </w:tcPr>
          <w:p w14:paraId="072D05E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b/>
                <w:bCs w:val="0"/>
                <w:lang w:val="en-US" w:eastAsia="zh-CN"/>
              </w:rPr>
            </w:pPr>
            <w:r>
              <w:rPr>
                <w:rFonts w:hint="default" w:ascii="Times New Roman" w:hAnsi="Times New Roman" w:cs="Times New Roman"/>
                <w:b/>
                <w:bCs w:val="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08FD38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b/>
                <w:bCs w:val="0"/>
                <w:lang w:val="en-US" w:eastAsia="zh-CN"/>
              </w:rPr>
            </w:pPr>
            <w:r>
              <w:rPr>
                <w:rFonts w:hint="default" w:ascii="Times New Roman" w:hAnsi="Times New Roman" w:cs="Times New Roman"/>
                <w:b/>
                <w:bCs w:val="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77B2C3BA">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b/>
                <w:bCs w:val="0"/>
                <w:lang w:val="en-US" w:eastAsia="zh-CN"/>
              </w:rPr>
            </w:pPr>
            <w:r>
              <w:rPr>
                <w:rFonts w:hint="default" w:ascii="Times New Roman" w:hAnsi="Times New Roman" w:cs="Times New Roman"/>
                <w:b/>
                <w:bCs w:val="0"/>
                <w:lang w:val="en-US" w:eastAsia="zh-CN"/>
              </w:rPr>
              <w:t>0</w:t>
            </w:r>
          </w:p>
        </w:tc>
        <w:tc>
          <w:tcPr>
            <w:tcW w:w="604" w:type="dxa"/>
            <w:tcBorders>
              <w:top w:val="nil"/>
              <w:left w:val="nil"/>
              <w:bottom w:val="single" w:color="auto" w:sz="8" w:space="0"/>
              <w:right w:val="single" w:color="auto" w:sz="8" w:space="0"/>
            </w:tcBorders>
            <w:noWrap w:val="0"/>
            <w:tcMar>
              <w:left w:w="108" w:type="dxa"/>
              <w:right w:w="108" w:type="dxa"/>
            </w:tcMar>
            <w:vAlign w:val="center"/>
          </w:tcPr>
          <w:p w14:paraId="63891CD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b/>
                <w:bCs w:val="0"/>
                <w:lang w:val="en-US" w:eastAsia="zh-CN"/>
              </w:rPr>
            </w:pPr>
            <w:r>
              <w:rPr>
                <w:rFonts w:hint="default" w:ascii="Times New Roman" w:hAnsi="Times New Roman" w:cs="Times New Roman"/>
                <w:b/>
                <w:bCs w:val="0"/>
                <w:lang w:val="en-US" w:eastAsia="zh-CN"/>
              </w:rPr>
              <w:t>0</w:t>
            </w:r>
          </w:p>
        </w:tc>
        <w:tc>
          <w:tcPr>
            <w:tcW w:w="658" w:type="dxa"/>
            <w:tcBorders>
              <w:top w:val="nil"/>
              <w:left w:val="nil"/>
              <w:bottom w:val="single" w:color="auto" w:sz="8" w:space="0"/>
              <w:right w:val="single" w:color="auto" w:sz="8" w:space="0"/>
            </w:tcBorders>
            <w:noWrap w:val="0"/>
            <w:tcMar>
              <w:left w:w="108" w:type="dxa"/>
              <w:right w:w="108" w:type="dxa"/>
            </w:tcMar>
            <w:vAlign w:val="center"/>
          </w:tcPr>
          <w:p w14:paraId="56FA02A4">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b/>
                <w:bCs w:val="0"/>
                <w:lang w:val="en-US" w:eastAsia="zh-CN"/>
              </w:rPr>
            </w:pPr>
            <w:r>
              <w:rPr>
                <w:rFonts w:hint="default" w:ascii="Times New Roman" w:hAnsi="Times New Roman" w:cs="Times New Roman"/>
                <w:b/>
                <w:bCs w:val="0"/>
                <w:lang w:val="en-US" w:eastAsia="zh-CN"/>
              </w:rPr>
              <w:t>0</w:t>
            </w:r>
          </w:p>
        </w:tc>
        <w:tc>
          <w:tcPr>
            <w:tcW w:w="550" w:type="dxa"/>
            <w:tcBorders>
              <w:top w:val="nil"/>
              <w:left w:val="nil"/>
              <w:bottom w:val="single" w:color="auto" w:sz="8" w:space="0"/>
              <w:right w:val="single" w:color="auto" w:sz="8" w:space="0"/>
            </w:tcBorders>
            <w:noWrap w:val="0"/>
            <w:tcMar>
              <w:left w:w="108" w:type="dxa"/>
              <w:right w:w="108" w:type="dxa"/>
            </w:tcMar>
            <w:vAlign w:val="center"/>
          </w:tcPr>
          <w:p w14:paraId="318A71E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b/>
                <w:bCs w:val="0"/>
                <w:lang w:val="en-US" w:eastAsia="zh-CN"/>
              </w:rPr>
            </w:pPr>
            <w:r>
              <w:rPr>
                <w:rFonts w:hint="default" w:ascii="Times New Roman" w:hAnsi="Times New Roman" w:cs="Times New Roman"/>
                <w:b/>
                <w:bCs w:val="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07A92D3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b/>
                <w:bCs w:val="0"/>
                <w:lang w:val="en-US" w:eastAsia="zh-CN"/>
              </w:rPr>
            </w:pPr>
            <w:r>
              <w:rPr>
                <w:rFonts w:hint="default" w:ascii="Times New Roman" w:hAnsi="Times New Roman" w:cs="Times New Roman"/>
                <w:b/>
                <w:bCs w:val="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607D8B2">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b/>
                <w:bCs w:val="0"/>
                <w:lang w:val="en-US" w:eastAsia="zh-CN"/>
              </w:rPr>
            </w:pPr>
            <w:r>
              <w:rPr>
                <w:rFonts w:hint="default" w:ascii="Times New Roman" w:hAnsi="Times New Roman" w:cs="Times New Roman"/>
                <w:b/>
                <w:bCs w:val="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AFCA48F">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b/>
                <w:bCs w:val="0"/>
                <w:lang w:val="en-US" w:eastAsia="zh-CN"/>
              </w:rPr>
            </w:pPr>
            <w:r>
              <w:rPr>
                <w:rFonts w:hint="default" w:ascii="Times New Roman" w:hAnsi="Times New Roman" w:cs="Times New Roman"/>
                <w:b/>
                <w:bCs w:val="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16CEFE43">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b/>
                <w:bCs w:val="0"/>
                <w:lang w:val="en-US" w:eastAsia="zh-CN"/>
              </w:rPr>
            </w:pPr>
            <w:r>
              <w:rPr>
                <w:rFonts w:hint="default" w:ascii="Times New Roman" w:hAnsi="Times New Roman" w:cs="Times New Roman"/>
                <w:b/>
                <w:bCs w:val="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43811ED">
            <w:pPr>
              <w:keepNext w:val="0"/>
              <w:keepLines w:val="0"/>
              <w:pageBreakBefore w:val="0"/>
              <w:widowControl/>
              <w:kinsoku/>
              <w:wordWrap/>
              <w:overflowPunct/>
              <w:topLinePunct w:val="0"/>
              <w:autoSpaceDE/>
              <w:autoSpaceDN/>
              <w:bidi w:val="0"/>
              <w:adjustRightInd/>
              <w:snapToGrid/>
              <w:spacing w:after="180" w:line="560" w:lineRule="exact"/>
              <w:textAlignment w:val="auto"/>
              <w:rPr>
                <w:rFonts w:hint="default" w:ascii="Times New Roman" w:hAnsi="Times New Roman" w:eastAsia="宋体" w:cs="Times New Roman"/>
                <w:b/>
                <w:bCs w:val="0"/>
                <w:lang w:val="en-US" w:eastAsia="zh-CN"/>
              </w:rPr>
            </w:pPr>
            <w:r>
              <w:rPr>
                <w:rFonts w:hint="default" w:ascii="Times New Roman" w:hAnsi="Times New Roman" w:cs="Times New Roman"/>
                <w:b/>
                <w:bCs w:val="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551C3DD1">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b/>
                <w:bCs w:val="0"/>
                <w:lang w:val="en-US" w:eastAsia="zh-CN"/>
              </w:rPr>
            </w:pPr>
            <w:r>
              <w:rPr>
                <w:rFonts w:hint="default" w:ascii="Times New Roman" w:hAnsi="Times New Roman" w:cs="Times New Roman"/>
                <w:b/>
                <w:bCs w:val="0"/>
                <w:lang w:val="en-US" w:eastAsia="zh-CN"/>
              </w:rPr>
              <w:t>0</w:t>
            </w:r>
          </w:p>
        </w:tc>
        <w:tc>
          <w:tcPr>
            <w:tcW w:w="605" w:type="dxa"/>
            <w:tcBorders>
              <w:top w:val="nil"/>
              <w:left w:val="nil"/>
              <w:bottom w:val="single" w:color="auto" w:sz="8" w:space="0"/>
              <w:right w:val="single" w:color="auto" w:sz="8" w:space="0"/>
            </w:tcBorders>
            <w:noWrap w:val="0"/>
            <w:tcMar>
              <w:left w:w="108" w:type="dxa"/>
              <w:right w:w="108" w:type="dxa"/>
            </w:tcMar>
            <w:vAlign w:val="center"/>
          </w:tcPr>
          <w:p w14:paraId="389B4D26">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b/>
                <w:bCs w:val="0"/>
                <w:lang w:val="en-US" w:eastAsia="zh-CN"/>
              </w:rPr>
            </w:pPr>
            <w:r>
              <w:rPr>
                <w:rFonts w:hint="default" w:ascii="Times New Roman" w:hAnsi="Times New Roman" w:cs="Times New Roman"/>
                <w:b/>
                <w:bCs w:val="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38B960D8">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b/>
                <w:bCs w:val="0"/>
                <w:lang w:val="en-US" w:eastAsia="zh-CN"/>
              </w:rPr>
            </w:pPr>
            <w:r>
              <w:rPr>
                <w:rFonts w:hint="default" w:ascii="Times New Roman" w:hAnsi="Times New Roman" w:cs="Times New Roman"/>
                <w:b/>
                <w:bCs w:val="0"/>
                <w:lang w:val="en-US" w:eastAsia="zh-CN"/>
              </w:rPr>
              <w:t>0</w:t>
            </w:r>
          </w:p>
        </w:tc>
        <w:tc>
          <w:tcPr>
            <w:tcW w:w="606" w:type="dxa"/>
            <w:tcBorders>
              <w:top w:val="nil"/>
              <w:left w:val="nil"/>
              <w:bottom w:val="single" w:color="auto" w:sz="8" w:space="0"/>
              <w:right w:val="single" w:color="auto" w:sz="8" w:space="0"/>
            </w:tcBorders>
            <w:noWrap w:val="0"/>
            <w:tcMar>
              <w:left w:w="108" w:type="dxa"/>
              <w:right w:w="108" w:type="dxa"/>
            </w:tcMar>
            <w:vAlign w:val="center"/>
          </w:tcPr>
          <w:p w14:paraId="1DAABCFD">
            <w:pPr>
              <w:keepNext w:val="0"/>
              <w:keepLines w:val="0"/>
              <w:pageBreakBefore w:val="0"/>
              <w:widowControl/>
              <w:kinsoku/>
              <w:wordWrap/>
              <w:overflowPunct/>
              <w:topLinePunct w:val="0"/>
              <w:autoSpaceDE/>
              <w:autoSpaceDN/>
              <w:bidi w:val="0"/>
              <w:adjustRightInd/>
              <w:snapToGrid/>
              <w:spacing w:after="180" w:line="560" w:lineRule="exact"/>
              <w:jc w:val="center"/>
              <w:textAlignment w:val="auto"/>
              <w:rPr>
                <w:rFonts w:hint="default" w:ascii="Times New Roman" w:hAnsi="Times New Roman" w:eastAsia="宋体" w:cs="Times New Roman"/>
                <w:b/>
                <w:bCs w:val="0"/>
                <w:lang w:val="en-US" w:eastAsia="zh-CN"/>
              </w:rPr>
            </w:pPr>
            <w:r>
              <w:rPr>
                <w:rFonts w:hint="default" w:ascii="Times New Roman" w:hAnsi="Times New Roman" w:cs="Times New Roman"/>
                <w:b/>
                <w:bCs w:val="0"/>
                <w:lang w:val="en-US" w:eastAsia="zh-CN"/>
              </w:rPr>
              <w:t>0</w:t>
            </w:r>
          </w:p>
        </w:tc>
      </w:tr>
    </w:tbl>
    <w:p w14:paraId="02B4A7F3">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黑体简体" w:cs="Times New Roman"/>
          <w:b/>
          <w:bCs w:val="0"/>
          <w:color w:val="auto"/>
          <w:sz w:val="30"/>
          <w:szCs w:val="30"/>
        </w:rPr>
      </w:pPr>
      <w:r>
        <w:rPr>
          <w:rFonts w:hint="default" w:ascii="Times New Roman" w:hAnsi="Times New Roman" w:eastAsia="方正黑体简体" w:cs="Times New Roman"/>
          <w:b/>
          <w:bCs w:val="0"/>
          <w:color w:val="auto"/>
          <w:sz w:val="30"/>
          <w:szCs w:val="30"/>
        </w:rPr>
        <w:t>五、存在的主要问题及改进情况</w:t>
      </w:r>
    </w:p>
    <w:p w14:paraId="1C5AAF47">
      <w:pPr>
        <w:keepNext w:val="0"/>
        <w:keepLines w:val="0"/>
        <w:pageBreakBefore w:val="0"/>
        <w:widowControl w:val="0"/>
        <w:kinsoku/>
        <w:wordWrap/>
        <w:overflowPunct/>
        <w:topLinePunct w:val="0"/>
        <w:autoSpaceDE/>
        <w:autoSpaceDN/>
        <w:bidi w:val="0"/>
        <w:adjustRightInd/>
        <w:snapToGrid/>
        <w:spacing w:line="560" w:lineRule="exact"/>
        <w:ind w:firstLine="602" w:firstLineChars="200"/>
        <w:textAlignment w:val="auto"/>
        <w:rPr>
          <w:rStyle w:val="7"/>
          <w:rFonts w:hint="default" w:ascii="Times New Roman" w:hAnsi="Times New Roman" w:eastAsia="方正仿宋简体" w:cs="Times New Roman"/>
          <w:bCs w:val="0"/>
          <w:i w:val="0"/>
          <w:iCs w:val="0"/>
          <w:caps w:val="0"/>
          <w:color w:val="auto"/>
          <w:spacing w:val="0"/>
          <w:kern w:val="2"/>
          <w:sz w:val="30"/>
          <w:szCs w:val="30"/>
          <w:lang w:val="en-US" w:eastAsia="zh-CN" w:bidi="ar-SA"/>
        </w:rPr>
      </w:pPr>
      <w:r>
        <w:rPr>
          <w:rStyle w:val="7"/>
          <w:rFonts w:hint="default" w:ascii="Times New Roman" w:hAnsi="Times New Roman" w:eastAsia="方正仿宋简体" w:cs="Times New Roman"/>
          <w:bCs w:val="0"/>
          <w:i w:val="0"/>
          <w:iCs w:val="0"/>
          <w:caps w:val="0"/>
          <w:color w:val="auto"/>
          <w:spacing w:val="0"/>
          <w:kern w:val="2"/>
          <w:sz w:val="30"/>
          <w:szCs w:val="30"/>
          <w:lang w:val="en-US" w:eastAsia="zh-CN" w:bidi="ar-SA"/>
        </w:rPr>
        <w:t>2024年度科技创新局信息公开工作存在的问题已整改完成，针对主动公开的信息内容的理解和把握不够等问题，进一步加强政务公开工作规范，提高对信息公开工作重要性的认识，同时加强对信息公开工作人员的培训，提高其业务能力和水平，扎实开展政务信息公开工作。</w:t>
      </w:r>
    </w:p>
    <w:p w14:paraId="08EC128F">
      <w:pPr>
        <w:keepNext w:val="0"/>
        <w:keepLines w:val="0"/>
        <w:pageBreakBefore w:val="0"/>
        <w:widowControl w:val="0"/>
        <w:kinsoku/>
        <w:wordWrap/>
        <w:overflowPunct/>
        <w:topLinePunct w:val="0"/>
        <w:autoSpaceDE/>
        <w:autoSpaceDN/>
        <w:bidi w:val="0"/>
        <w:adjustRightInd/>
        <w:snapToGrid/>
        <w:spacing w:line="560" w:lineRule="exact"/>
        <w:ind w:firstLine="643" w:firstLineChars="200"/>
        <w:textAlignment w:val="auto"/>
        <w:rPr>
          <w:rFonts w:hint="default" w:ascii="Times New Roman" w:hAnsi="Times New Roman" w:eastAsia="方正仿宋简体" w:cs="Times New Roman"/>
          <w:b/>
          <w:bCs w:val="0"/>
          <w:sz w:val="30"/>
          <w:szCs w:val="30"/>
        </w:rPr>
      </w:pPr>
      <w:r>
        <w:rPr>
          <w:rStyle w:val="7"/>
          <w:rFonts w:hint="default" w:ascii="Times New Roman" w:hAnsi="Times New Roman" w:eastAsia="方正仿宋简体" w:cs="Times New Roman"/>
          <w:bCs w:val="0"/>
          <w:i w:val="0"/>
          <w:iCs w:val="0"/>
          <w:caps w:val="0"/>
          <w:color w:val="auto"/>
          <w:spacing w:val="0"/>
          <w:kern w:val="2"/>
          <w:sz w:val="32"/>
          <w:szCs w:val="32"/>
          <w:lang w:val="en-US" w:eastAsia="zh-CN" w:bidi="ar-SA"/>
        </w:rPr>
        <w:t>2025年，科技创新局政务公开工作虽取得了一定的成绩，但仍然还有不足和需要改进的问题。一是</w:t>
      </w:r>
      <w:r>
        <w:rPr>
          <w:rFonts w:hint="default" w:ascii="Times New Roman" w:hAnsi="Times New Roman" w:eastAsia="方正仿宋简体" w:cs="Times New Roman"/>
          <w:b/>
          <w:bCs w:val="0"/>
          <w:sz w:val="30"/>
          <w:szCs w:val="30"/>
        </w:rPr>
        <w:t>公开内容深度不足：部分主动公开信息以流程性、告知性内容为主，对政策背景、实施细则、成效数据等解读不够深入，难以满足公众深层次信息需求</w:t>
      </w:r>
      <w:r>
        <w:rPr>
          <w:rFonts w:hint="default" w:ascii="Times New Roman" w:hAnsi="Times New Roman" w:eastAsia="方正仿宋简体" w:cs="Times New Roman"/>
          <w:b/>
          <w:bCs w:val="0"/>
          <w:sz w:val="30"/>
          <w:szCs w:val="30"/>
          <w:lang w:eastAsia="zh-CN"/>
        </w:rPr>
        <w:t>；</w:t>
      </w:r>
      <w:r>
        <w:rPr>
          <w:rFonts w:hint="default" w:ascii="Times New Roman" w:hAnsi="Times New Roman" w:eastAsia="方正仿宋简体" w:cs="Times New Roman"/>
          <w:b/>
          <w:bCs w:val="0"/>
          <w:sz w:val="30"/>
          <w:szCs w:val="30"/>
          <w:lang w:val="en-US" w:eastAsia="zh-CN"/>
        </w:rPr>
        <w:t>二是</w:t>
      </w:r>
      <w:r>
        <w:rPr>
          <w:rFonts w:hint="default" w:ascii="Times New Roman" w:hAnsi="Times New Roman" w:eastAsia="方正仿宋简体" w:cs="Times New Roman"/>
          <w:b/>
          <w:bCs w:val="0"/>
          <w:sz w:val="30"/>
          <w:szCs w:val="30"/>
        </w:rPr>
        <w:t>业务能力不均衡：部分工作人员对政务公开政策的理解与运用不够熟练，在信息分类、保密审查、依申请公开答复等环节存在不够精准的情况。</w:t>
      </w:r>
      <w:r>
        <w:rPr>
          <w:rFonts w:hint="default" w:ascii="Times New Roman" w:hAnsi="Times New Roman" w:eastAsia="方正仿宋简体" w:cs="Times New Roman"/>
          <w:b/>
          <w:bCs w:val="0"/>
          <w:sz w:val="30"/>
          <w:szCs w:val="30"/>
          <w:lang w:val="en-US" w:eastAsia="zh-CN"/>
        </w:rPr>
        <w:t>下一步将</w:t>
      </w:r>
      <w:r>
        <w:rPr>
          <w:rFonts w:hint="default" w:ascii="Times New Roman" w:hAnsi="Times New Roman" w:eastAsia="方正仿宋简体" w:cs="Times New Roman"/>
          <w:b/>
          <w:bCs w:val="0"/>
          <w:sz w:val="30"/>
          <w:szCs w:val="30"/>
        </w:rPr>
        <w:t>深化公开内容建设</w:t>
      </w:r>
      <w:r>
        <w:rPr>
          <w:rFonts w:hint="eastAsia" w:ascii="Times New Roman" w:hAnsi="Times New Roman" w:eastAsia="方正仿宋简体" w:cs="Times New Roman"/>
          <w:b/>
          <w:bCs w:val="0"/>
          <w:sz w:val="30"/>
          <w:szCs w:val="30"/>
          <w:lang w:eastAsia="zh-CN"/>
        </w:rPr>
        <w:t>，</w:t>
      </w:r>
      <w:r>
        <w:rPr>
          <w:rFonts w:hint="default" w:ascii="Times New Roman" w:hAnsi="Times New Roman" w:eastAsia="方正仿宋简体" w:cs="Times New Roman"/>
          <w:b/>
          <w:bCs w:val="0"/>
          <w:sz w:val="30"/>
          <w:szCs w:val="30"/>
        </w:rPr>
        <w:t>对重要政策文件结合案例</w:t>
      </w:r>
      <w:r>
        <w:rPr>
          <w:rFonts w:hint="eastAsia" w:ascii="Times New Roman" w:hAnsi="Times New Roman" w:eastAsia="方正仿宋简体" w:cs="Times New Roman"/>
          <w:b/>
          <w:bCs w:val="0"/>
          <w:sz w:val="30"/>
          <w:szCs w:val="30"/>
          <w:lang w:val="en-US" w:eastAsia="zh-CN"/>
        </w:rPr>
        <w:t>解读</w:t>
      </w:r>
      <w:r>
        <w:rPr>
          <w:rFonts w:hint="default" w:ascii="Times New Roman" w:hAnsi="Times New Roman" w:eastAsia="方正仿宋简体" w:cs="Times New Roman"/>
          <w:b/>
          <w:bCs w:val="0"/>
          <w:sz w:val="30"/>
          <w:szCs w:val="30"/>
        </w:rPr>
        <w:t>，提升解读专业性与易懂性；围绕科技创新重点工作，定期发布进展报告、成效总结，细化公开内容颗粒度。</w:t>
      </w:r>
    </w:p>
    <w:p w14:paraId="7D158962">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eastAsia="方正黑体简体" w:cs="Times New Roman"/>
          <w:b/>
          <w:bCs w:val="0"/>
          <w:sz w:val="30"/>
          <w:szCs w:val="30"/>
        </w:rPr>
      </w:pPr>
      <w:r>
        <w:rPr>
          <w:rFonts w:hint="default" w:ascii="Times New Roman" w:hAnsi="Times New Roman" w:eastAsia="方正黑体简体" w:cs="Times New Roman"/>
          <w:b/>
          <w:bCs w:val="0"/>
          <w:sz w:val="30"/>
          <w:szCs w:val="30"/>
        </w:rPr>
        <w:t>六、其他需要报告的事项</w:t>
      </w:r>
    </w:p>
    <w:p w14:paraId="1841BDA9">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imes New Roman" w:hAnsi="Times New Roman" w:eastAsia="方正楷体简体" w:cs="Times New Roman"/>
          <w:b/>
          <w:bCs w:val="0"/>
          <w:sz w:val="30"/>
          <w:szCs w:val="30"/>
          <w:lang w:eastAsia="zh-CN"/>
        </w:rPr>
      </w:pPr>
      <w:r>
        <w:rPr>
          <w:rFonts w:hint="default" w:ascii="Times New Roman" w:hAnsi="Times New Roman" w:eastAsia="方正楷体简体" w:cs="Times New Roman"/>
          <w:b/>
          <w:bCs w:val="0"/>
          <w:sz w:val="30"/>
          <w:szCs w:val="30"/>
        </w:rPr>
        <w:t>（一）</w:t>
      </w:r>
      <w:r>
        <w:rPr>
          <w:rStyle w:val="7"/>
          <w:rFonts w:ascii="方正楷体简体" w:hAnsi="方正楷体简体" w:eastAsia="方正楷体简体" w:cs="方正楷体简体"/>
          <w:sz w:val="32"/>
          <w:szCs w:val="32"/>
        </w:rPr>
        <w:t>依据《政府信息公开信息处理费管理办法》收取信息处理费的情况需在此专门报告</w:t>
      </w:r>
      <w:r>
        <w:rPr>
          <w:rFonts w:hint="eastAsia" w:ascii="Times New Roman" w:hAnsi="Times New Roman" w:eastAsia="方正楷体简体" w:cs="Times New Roman"/>
          <w:b/>
          <w:bCs w:val="0"/>
          <w:sz w:val="30"/>
          <w:szCs w:val="30"/>
          <w:lang w:eastAsia="zh-CN"/>
        </w:rPr>
        <w:t>：</w:t>
      </w:r>
    </w:p>
    <w:p w14:paraId="6869E72B">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b/>
          <w:bCs w:val="0"/>
          <w:sz w:val="30"/>
          <w:szCs w:val="30"/>
        </w:rPr>
      </w:pPr>
      <w:r>
        <w:rPr>
          <w:rFonts w:hint="default" w:ascii="Times New Roman" w:hAnsi="Times New Roman" w:eastAsia="方正仿宋简体" w:cs="Times New Roman"/>
          <w:b/>
          <w:bCs w:val="0"/>
          <w:sz w:val="30"/>
          <w:szCs w:val="30"/>
          <w:lang w:val="en-US" w:eastAsia="zh-CN"/>
        </w:rPr>
        <w:t>2025年度，未发生依据《政府信息公开信息处理费管理办法》收取信息处理费的情况。</w:t>
      </w:r>
    </w:p>
    <w:p w14:paraId="4F200027">
      <w:pPr>
        <w:numPr>
          <w:ilvl w:val="0"/>
          <w:numId w:val="0"/>
        </w:numPr>
        <w:ind w:firstLine="602" w:firstLineChars="200"/>
        <w:rPr>
          <w:rFonts w:hint="default" w:ascii="Times New Roman" w:hAnsi="Times New Roman" w:eastAsia="方正楷体简体" w:cs="Times New Roman"/>
          <w:b/>
          <w:bCs w:val="0"/>
          <w:sz w:val="30"/>
          <w:szCs w:val="30"/>
        </w:rPr>
      </w:pPr>
      <w:r>
        <w:rPr>
          <w:rFonts w:hint="default" w:ascii="Times New Roman" w:hAnsi="Times New Roman" w:eastAsia="方正楷体简体" w:cs="Times New Roman"/>
          <w:b/>
          <w:bCs w:val="0"/>
          <w:sz w:val="30"/>
          <w:szCs w:val="30"/>
        </w:rPr>
        <w:t>（二）</w:t>
      </w:r>
      <w:r>
        <w:rPr>
          <w:rStyle w:val="7"/>
          <w:rFonts w:ascii="方正楷体简体" w:hAnsi="方正楷体简体" w:eastAsia="方正楷体简体" w:cs="方正楷体简体"/>
          <w:sz w:val="32"/>
          <w:szCs w:val="32"/>
        </w:rPr>
        <w:t>本行政机关落实上级年度政务公开工作要点情况</w:t>
      </w:r>
      <w:r>
        <w:rPr>
          <w:rStyle w:val="7"/>
          <w:rFonts w:hint="eastAsia" w:ascii="方正楷体简体" w:hAnsi="方正楷体简体" w:eastAsia="方正楷体简体" w:cs="方正楷体简体"/>
          <w:sz w:val="32"/>
          <w:szCs w:val="32"/>
        </w:rPr>
        <w:t>：</w:t>
      </w:r>
    </w:p>
    <w:p w14:paraId="2DD61A31">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b/>
          <w:bCs w:val="0"/>
          <w:sz w:val="30"/>
          <w:szCs w:val="30"/>
        </w:rPr>
      </w:pPr>
      <w:r>
        <w:rPr>
          <w:rFonts w:hint="default" w:ascii="Times New Roman" w:hAnsi="Times New Roman" w:eastAsia="方正仿宋简体" w:cs="Times New Roman"/>
          <w:b/>
          <w:bCs w:val="0"/>
          <w:sz w:val="30"/>
          <w:szCs w:val="30"/>
          <w:lang w:val="en-US" w:eastAsia="zh-CN"/>
        </w:rPr>
        <w:t>严格对照上级年度政务公开工作要点要求，结合科技创新工作实际，制定专项落实方案，明确责任分工与时间节点，逐项推进任务落实。重点完成政策公开、重点工作进展公开、政务服务公开等工作，持续提升政务公开标准化、规范化水平，充分发挥以公开促落实、促服务、促规范的作用。</w:t>
      </w:r>
    </w:p>
    <w:p w14:paraId="793B3E8A">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eastAsia" w:ascii="Times New Roman" w:hAnsi="Times New Roman" w:eastAsia="方正楷体简体" w:cs="Times New Roman"/>
          <w:b/>
          <w:bCs w:val="0"/>
          <w:sz w:val="30"/>
          <w:szCs w:val="30"/>
          <w:lang w:eastAsia="zh-CN"/>
        </w:rPr>
      </w:pPr>
      <w:r>
        <w:rPr>
          <w:rFonts w:hint="default" w:ascii="Times New Roman" w:hAnsi="Times New Roman" w:eastAsia="方正楷体简体" w:cs="Times New Roman"/>
          <w:b/>
          <w:bCs w:val="0"/>
          <w:sz w:val="30"/>
          <w:szCs w:val="30"/>
        </w:rPr>
        <w:t>（三）人大代表建议和政协提案办理结果公开情况</w:t>
      </w:r>
      <w:r>
        <w:rPr>
          <w:rFonts w:hint="eastAsia" w:ascii="Times New Roman" w:hAnsi="Times New Roman" w:eastAsia="方正楷体简体" w:cs="Times New Roman"/>
          <w:b/>
          <w:bCs w:val="0"/>
          <w:sz w:val="30"/>
          <w:szCs w:val="30"/>
          <w:lang w:eastAsia="zh-CN"/>
        </w:rPr>
        <w:t>：</w:t>
      </w:r>
    </w:p>
    <w:p w14:paraId="7C335150">
      <w:pPr>
        <w:keepNext w:val="0"/>
        <w:keepLines w:val="0"/>
        <w:pageBreakBefore w:val="0"/>
        <w:widowControl w:val="0"/>
        <w:kinsoku/>
        <w:wordWrap/>
        <w:overflowPunct/>
        <w:topLinePunct w:val="0"/>
        <w:autoSpaceDE/>
        <w:autoSpaceDN/>
        <w:bidi w:val="0"/>
        <w:adjustRightInd/>
        <w:snapToGrid/>
        <w:spacing w:line="560" w:lineRule="exact"/>
        <w:ind w:right="0" w:rightChars="0" w:firstLine="602" w:firstLineChars="200"/>
        <w:textAlignment w:val="auto"/>
        <w:rPr>
          <w:rFonts w:hint="default" w:ascii="Times New Roman" w:hAnsi="Times New Roman" w:eastAsia="方正仿宋简体" w:cs="Times New Roman"/>
          <w:b/>
          <w:bCs w:val="0"/>
          <w:sz w:val="30"/>
          <w:szCs w:val="30"/>
        </w:rPr>
      </w:pPr>
      <w:r>
        <w:rPr>
          <w:rStyle w:val="7"/>
          <w:rFonts w:hint="default" w:ascii="Times New Roman" w:hAnsi="Times New Roman" w:eastAsia="方正仿宋简体" w:cs="Times New Roman"/>
          <w:b/>
          <w:bCs w:val="0"/>
          <w:i w:val="0"/>
          <w:iCs w:val="0"/>
          <w:caps w:val="0"/>
          <w:color w:val="auto"/>
          <w:spacing w:val="0"/>
          <w:kern w:val="2"/>
          <w:sz w:val="30"/>
          <w:szCs w:val="30"/>
          <w:lang w:val="en-US" w:eastAsia="zh-CN" w:bidi="ar-SA"/>
        </w:rPr>
        <w:t>202</w:t>
      </w:r>
      <w:r>
        <w:rPr>
          <w:rStyle w:val="7"/>
          <w:rFonts w:hint="eastAsia" w:ascii="Times New Roman" w:hAnsi="Times New Roman" w:eastAsia="方正仿宋简体" w:cs="Times New Roman"/>
          <w:b/>
          <w:bCs w:val="0"/>
          <w:i w:val="0"/>
          <w:iCs w:val="0"/>
          <w:caps w:val="0"/>
          <w:color w:val="auto"/>
          <w:spacing w:val="0"/>
          <w:kern w:val="2"/>
          <w:sz w:val="30"/>
          <w:szCs w:val="30"/>
          <w:lang w:val="en-US" w:eastAsia="zh-CN" w:bidi="ar-SA"/>
        </w:rPr>
        <w:t>5</w:t>
      </w:r>
      <w:r>
        <w:rPr>
          <w:rStyle w:val="7"/>
          <w:rFonts w:hint="default" w:ascii="Times New Roman" w:hAnsi="Times New Roman" w:eastAsia="方正仿宋简体" w:cs="Times New Roman"/>
          <w:b/>
          <w:bCs w:val="0"/>
          <w:i w:val="0"/>
          <w:iCs w:val="0"/>
          <w:caps w:val="0"/>
          <w:color w:val="auto"/>
          <w:spacing w:val="0"/>
          <w:kern w:val="2"/>
          <w:sz w:val="30"/>
          <w:szCs w:val="30"/>
          <w:lang w:val="en-US" w:eastAsia="zh-CN" w:bidi="ar-SA"/>
        </w:rPr>
        <w:t>年我部门未收到人大代表建议和政协提案。</w:t>
      </w:r>
    </w:p>
    <w:p w14:paraId="1B6629E3">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楷体简体" w:cs="Times New Roman"/>
          <w:b/>
          <w:bCs w:val="0"/>
          <w:sz w:val="30"/>
          <w:szCs w:val="30"/>
        </w:rPr>
      </w:pPr>
      <w:r>
        <w:rPr>
          <w:rFonts w:hint="default" w:ascii="Times New Roman" w:hAnsi="Times New Roman" w:eastAsia="方正楷体简体" w:cs="Times New Roman"/>
          <w:b/>
          <w:bCs w:val="0"/>
          <w:sz w:val="30"/>
          <w:szCs w:val="30"/>
        </w:rPr>
        <w:t>（四）</w:t>
      </w:r>
      <w:r>
        <w:rPr>
          <w:rStyle w:val="7"/>
          <w:rFonts w:hint="eastAsia" w:ascii="方正楷体简体" w:hAnsi="方正楷体简体" w:eastAsia="方正楷体简体" w:cs="方正楷体简体"/>
          <w:sz w:val="32"/>
          <w:szCs w:val="32"/>
        </w:rPr>
        <w:t>其他有关文件专门要求通过政府信息公开工作年度报告予以报告的事项：</w:t>
      </w:r>
    </w:p>
    <w:p w14:paraId="269D6823">
      <w:pPr>
        <w:keepNext w:val="0"/>
        <w:keepLines w:val="0"/>
        <w:pageBreakBefore w:val="0"/>
        <w:kinsoku/>
        <w:wordWrap/>
        <w:overflowPunct/>
        <w:topLinePunct w:val="0"/>
        <w:autoSpaceDE/>
        <w:autoSpaceDN/>
        <w:bidi w:val="0"/>
        <w:adjustRightInd/>
        <w:snapToGrid/>
        <w:spacing w:line="560" w:lineRule="exact"/>
        <w:ind w:firstLine="602" w:firstLineChars="200"/>
        <w:textAlignment w:val="auto"/>
        <w:rPr>
          <w:rFonts w:hint="default" w:ascii="Times New Roman" w:hAnsi="Times New Roman" w:eastAsia="方正仿宋简体" w:cs="Times New Roman"/>
          <w:b/>
          <w:bCs w:val="0"/>
          <w:lang w:val="en-US" w:eastAsia="zh-CN"/>
        </w:rPr>
      </w:pPr>
      <w:r>
        <w:rPr>
          <w:rFonts w:hint="default" w:ascii="Times New Roman" w:hAnsi="Times New Roman" w:eastAsia="方正仿宋简体" w:cs="Times New Roman"/>
          <w:b/>
          <w:bCs w:val="0"/>
          <w:sz w:val="30"/>
          <w:szCs w:val="30"/>
          <w:lang w:val="en-US" w:eastAsia="zh-CN"/>
        </w:rPr>
        <w:t>无</w:t>
      </w:r>
      <w:r>
        <w:rPr>
          <w:rFonts w:hint="eastAsia" w:ascii="Times New Roman" w:hAnsi="Times New Roman" w:eastAsia="方正仿宋简体" w:cs="Times New Roman"/>
          <w:b/>
          <w:bCs w:val="0"/>
          <w:sz w:val="30"/>
          <w:szCs w:val="30"/>
          <w:lang w:val="en-US" w:eastAsia="zh-CN"/>
        </w:rPr>
        <w:t>。</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3000509000000000000"/>
    <w:charset w:val="86"/>
    <w:family w:val="auto"/>
    <w:pitch w:val="default"/>
    <w:sig w:usb0="00000001" w:usb1="080E0000" w:usb2="00000000" w:usb3="00000000" w:csb0="00040000" w:csb1="00000000"/>
  </w:font>
  <w:font w:name="方正仿宋简体">
    <w:panose1 w:val="03000509000000000000"/>
    <w:charset w:val="86"/>
    <w:family w:val="auto"/>
    <w:pitch w:val="default"/>
    <w:sig w:usb0="00000001" w:usb1="080E0000" w:usb2="00000000" w:usb3="00000000" w:csb0="00040000" w:csb1="00000000"/>
  </w:font>
  <w:font w:name="方正黑体简体">
    <w:altName w:val="微软雅黑"/>
    <w:panose1 w:val="02000000000000000000"/>
    <w:charset w:val="86"/>
    <w:family w:val="auto"/>
    <w:pitch w:val="default"/>
    <w:sig w:usb0="00000000" w:usb1="00000000" w:usb2="00000012" w:usb3="00000000" w:csb0="00040001" w:csb1="00000000"/>
  </w:font>
  <w:font w:name="微软雅黑">
    <w:panose1 w:val="020B0503020204020204"/>
    <w:charset w:val="86"/>
    <w:family w:val="auto"/>
    <w:pitch w:val="default"/>
    <w:sig w:usb0="80000287" w:usb1="280F3C52" w:usb2="00000016" w:usb3="00000000" w:csb0="0004001F" w:csb1="00000000"/>
  </w:font>
  <w:font w:name="方正楷体简体">
    <w:altName w:val="宋体"/>
    <w:panose1 w:val="02000000000000000000"/>
    <w:charset w:val="86"/>
    <w:family w:val="auto"/>
    <w:pitch w:val="default"/>
    <w:sig w:usb0="00000000" w:usb1="00000000" w:usb2="00000012" w:usb3="00000000" w:csb0="00040001"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4A79DC"/>
    <w:rsid w:val="0A8C7FBE"/>
    <w:rsid w:val="0D584A88"/>
    <w:rsid w:val="10910A68"/>
    <w:rsid w:val="11BC387F"/>
    <w:rsid w:val="13364A21"/>
    <w:rsid w:val="16730D17"/>
    <w:rsid w:val="18A97652"/>
    <w:rsid w:val="1ABC5AA3"/>
    <w:rsid w:val="1C3A0277"/>
    <w:rsid w:val="239E30F8"/>
    <w:rsid w:val="23F11F44"/>
    <w:rsid w:val="24BB0FC5"/>
    <w:rsid w:val="26113F4C"/>
    <w:rsid w:val="275C1A5D"/>
    <w:rsid w:val="2D7D7EAB"/>
    <w:rsid w:val="39E3559D"/>
    <w:rsid w:val="3AC00786"/>
    <w:rsid w:val="42395F96"/>
    <w:rsid w:val="4B2D2BE6"/>
    <w:rsid w:val="4E391564"/>
    <w:rsid w:val="4F0F5604"/>
    <w:rsid w:val="51CD0A22"/>
    <w:rsid w:val="5A0A2080"/>
    <w:rsid w:val="5C291399"/>
    <w:rsid w:val="5C8554FE"/>
    <w:rsid w:val="5CF4627F"/>
    <w:rsid w:val="615838CB"/>
    <w:rsid w:val="654A79DC"/>
    <w:rsid w:val="6A55371B"/>
    <w:rsid w:val="6AD87FF4"/>
    <w:rsid w:val="6B3929BF"/>
    <w:rsid w:val="72F571CC"/>
    <w:rsid w:val="73F95D7F"/>
    <w:rsid w:val="7544268D"/>
    <w:rsid w:val="7CF83C7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4">
    <w:name w:val="Normal (Web)"/>
    <w:basedOn w:val="1"/>
    <w:qFormat/>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2782</Words>
  <Characters>2878</Characters>
  <Lines>0</Lines>
  <Paragraphs>0</Paragraphs>
  <TotalTime>21</TotalTime>
  <ScaleCrop>false</ScaleCrop>
  <LinksUpToDate>false</LinksUpToDate>
  <CharactersWithSpaces>3036</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2025-01-15T08:21:00Z</dcterms:created>
  <dc:creator>西鱼</dc:creator>
  <cp:lastModifiedBy>糖炒栗子 ້໌ᮨ</cp:lastModifiedBy>
  <dcterms:modified xsi:type="dcterms:W3CDTF">2026-01-29T06:07:07Z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D746241188124980B4893240BD212C3B_13</vt:lpwstr>
  </property>
  <property fmtid="{D5CDD505-2E9C-101B-9397-08002B2CF9AE}" pid="4" name="KSOTemplateDocerSaveRecord">
    <vt:lpwstr>eyJoZGlkIjoiMDIzZTdhYmMzYmQ4MWZlMzhhOWQzOWZhOWJiZDRmZmIiLCJ1c2VySWQiOiIxMTQ4NjcwNDAzIn0=</vt:lpwstr>
  </property>
</Properties>
</file>