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600" w:lineRule="atLeast"/>
        <w:ind w:firstLine="630"/>
        <w:jc w:val="center"/>
        <w:rPr>
          <w:rStyle w:val="5"/>
          <w:rFonts w:ascii="黑体" w:hAnsi="宋体" w:eastAsia="黑体" w:cs="黑体"/>
          <w:color w:val="333333"/>
          <w:sz w:val="31"/>
          <w:szCs w:val="31"/>
          <w:shd w:val="clear" w:color="auto" w:fill="FFFFFF"/>
        </w:rPr>
      </w:pPr>
      <w:bookmarkStart w:id="0" w:name="_GoBack"/>
      <w:r>
        <w:rPr>
          <w:rStyle w:val="5"/>
          <w:rFonts w:hint="eastAsia" w:ascii="黑体" w:hAnsi="宋体" w:eastAsia="黑体" w:cs="黑体"/>
          <w:color w:val="333333"/>
          <w:sz w:val="31"/>
          <w:szCs w:val="31"/>
          <w:shd w:val="clear" w:color="auto" w:fill="FFFFFF"/>
        </w:rPr>
        <w:t>济宁市公安局高新交警大队2020年度政府信息公开工作报告</w:t>
      </w:r>
    </w:p>
    <w:bookmarkEnd w:id="0"/>
    <w:p>
      <w:pPr>
        <w:pStyle w:val="2"/>
        <w:widowControl/>
        <w:shd w:val="clear" w:color="auto" w:fill="FFFFFF"/>
        <w:spacing w:before="0" w:beforeAutospacing="0" w:after="0" w:afterAutospacing="0" w:line="600" w:lineRule="atLeast"/>
        <w:ind w:firstLine="630"/>
        <w:jc w:val="both"/>
        <w:rPr>
          <w:rFonts w:ascii="微软雅黑" w:hAnsi="微软雅黑" w:eastAsia="微软雅黑" w:cs="微软雅黑"/>
          <w:color w:val="333333"/>
          <w:sz w:val="27"/>
          <w:szCs w:val="27"/>
        </w:rPr>
      </w:pPr>
      <w:r>
        <w:rPr>
          <w:rStyle w:val="5"/>
          <w:rFonts w:ascii="黑体" w:hAnsi="宋体" w:eastAsia="黑体" w:cs="黑体"/>
          <w:color w:val="333333"/>
          <w:sz w:val="31"/>
          <w:szCs w:val="31"/>
          <w:shd w:val="clear" w:color="auto" w:fill="FFFFFF"/>
        </w:rPr>
        <w:t>一、总体情况</w:t>
      </w:r>
    </w:p>
    <w:p>
      <w:pPr>
        <w:pStyle w:val="2"/>
        <w:widowControl/>
        <w:spacing w:before="225" w:beforeAutospacing="0" w:after="0" w:afterAutospacing="0" w:line="600" w:lineRule="atLeast"/>
        <w:ind w:firstLine="645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ascii="仿宋_GB2312" w:hAnsi="微软雅黑" w:eastAsia="仿宋_GB2312" w:cs="仿宋_GB2312"/>
          <w:color w:val="333333"/>
          <w:sz w:val="31"/>
          <w:szCs w:val="31"/>
        </w:rPr>
        <w:t>2020年，济宁市公安局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</w:rPr>
        <w:t>交通警察支队</w:t>
      </w:r>
      <w:r>
        <w:rPr>
          <w:rFonts w:ascii="仿宋_GB2312" w:hAnsi="微软雅黑" w:eastAsia="仿宋_GB2312" w:cs="仿宋_GB2312"/>
          <w:color w:val="333333"/>
          <w:sz w:val="31"/>
          <w:szCs w:val="31"/>
        </w:rPr>
        <w:t>高新区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</w:rPr>
        <w:t>勤务大队</w:t>
      </w:r>
      <w:r>
        <w:rPr>
          <w:rFonts w:ascii="仿宋_GB2312" w:hAnsi="微软雅黑" w:eastAsia="仿宋_GB2312" w:cs="仿宋_GB2312"/>
          <w:color w:val="333333"/>
          <w:sz w:val="31"/>
          <w:szCs w:val="31"/>
        </w:rPr>
        <w:t>认真按照《中华人民共和国政府信息公开条例》和高新区党政办关于做好政府信息公开工作的具体要求，切实加强对政府信息公开工作的组织领导，不断完善政府信息公开相关配套制度和工作规范，积极拓展政府信息公开载体和形式，认真抓好相关警务信息的收集、整理、发布、更新工作，落实信息公开工作的监督、管理、考核、保障措施，政府信息公开工作取得明显成效。</w:t>
      </w:r>
    </w:p>
    <w:p>
      <w:pPr>
        <w:pStyle w:val="2"/>
        <w:widowControl/>
        <w:spacing w:before="225" w:beforeAutospacing="0" w:after="0" w:afterAutospacing="0" w:line="600" w:lineRule="atLeast"/>
        <w:ind w:firstLine="645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ascii="仿宋_GB2312" w:hAnsi="微软雅黑" w:eastAsia="仿宋_GB2312" w:cs="仿宋_GB2312"/>
          <w:color w:val="333333"/>
          <w:sz w:val="31"/>
          <w:szCs w:val="31"/>
        </w:rPr>
        <w:t>一是积极利用高新区门户网站,及时收集、整理、上传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</w:rPr>
        <w:t>大队</w:t>
      </w:r>
      <w:r>
        <w:rPr>
          <w:rFonts w:ascii="仿宋_GB2312" w:hAnsi="微软雅黑" w:eastAsia="仿宋_GB2312" w:cs="仿宋_GB2312"/>
          <w:color w:val="333333"/>
          <w:sz w:val="31"/>
          <w:szCs w:val="31"/>
        </w:rPr>
        <w:t>重要工作、重要会议、重大活动等方面的信息。二是利用“山东民生警务平台”办结落实各类民生诉求。三是利用“济宁高新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</w:rPr>
        <w:t>交警大队</w:t>
      </w:r>
      <w:r>
        <w:rPr>
          <w:rFonts w:ascii="仿宋_GB2312" w:hAnsi="微软雅黑" w:eastAsia="仿宋_GB2312" w:cs="仿宋_GB2312"/>
          <w:color w:val="333333"/>
          <w:sz w:val="31"/>
          <w:szCs w:val="31"/>
        </w:rPr>
        <w:t>”微博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</w:rPr>
        <w:t>、</w:t>
      </w:r>
      <w:r>
        <w:rPr>
          <w:rFonts w:ascii="仿宋_GB2312" w:hAnsi="微软雅黑" w:eastAsia="仿宋_GB2312" w:cs="仿宋_GB2312"/>
          <w:color w:val="333333"/>
          <w:sz w:val="31"/>
          <w:szCs w:val="31"/>
        </w:rPr>
        <w:t>微信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</w:rPr>
        <w:t>公众号</w:t>
      </w:r>
      <w:r>
        <w:rPr>
          <w:rFonts w:ascii="仿宋_GB2312" w:hAnsi="微软雅黑" w:eastAsia="仿宋_GB2312" w:cs="仿宋_GB2312"/>
          <w:color w:val="333333"/>
          <w:sz w:val="31"/>
          <w:szCs w:val="31"/>
        </w:rPr>
        <w:t>“济宁高新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</w:rPr>
        <w:t>大队</w:t>
      </w:r>
      <w:r>
        <w:rPr>
          <w:rFonts w:ascii="仿宋_GB2312" w:hAnsi="微软雅黑" w:eastAsia="仿宋_GB2312" w:cs="仿宋_GB2312"/>
          <w:color w:val="333333"/>
          <w:sz w:val="31"/>
          <w:szCs w:val="31"/>
        </w:rPr>
        <w:t>”宣传公安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</w:rPr>
        <w:t>交警</w:t>
      </w:r>
      <w:r>
        <w:rPr>
          <w:rFonts w:ascii="仿宋_GB2312" w:hAnsi="微软雅黑" w:eastAsia="仿宋_GB2312" w:cs="仿宋_GB2312"/>
          <w:color w:val="333333"/>
          <w:sz w:val="31"/>
          <w:szCs w:val="31"/>
        </w:rPr>
        <w:t>在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</w:rPr>
        <w:t>道路保畅、</w:t>
      </w:r>
      <w:r>
        <w:rPr>
          <w:rFonts w:ascii="仿宋_GB2312" w:hAnsi="微软雅黑" w:eastAsia="仿宋_GB2312" w:cs="仿宋_GB2312"/>
          <w:color w:val="333333"/>
          <w:sz w:val="31"/>
          <w:szCs w:val="31"/>
        </w:rPr>
        <w:t>服务群众等工作取得的成绩，在中央省市主流新闻媒体发先后刊发稿件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</w:rPr>
        <w:t>114</w:t>
      </w:r>
      <w:r>
        <w:rPr>
          <w:rFonts w:ascii="仿宋_GB2312" w:hAnsi="微软雅黑" w:eastAsia="仿宋_GB2312" w:cs="仿宋_GB2312"/>
          <w:color w:val="333333"/>
          <w:sz w:val="31"/>
          <w:szCs w:val="31"/>
        </w:rPr>
        <w:t>篇，编发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</w:rPr>
        <w:t>交警公众号</w:t>
      </w:r>
      <w:r>
        <w:rPr>
          <w:rFonts w:ascii="仿宋_GB2312" w:hAnsi="微软雅黑" w:eastAsia="仿宋_GB2312" w:cs="仿宋_GB2312"/>
          <w:color w:val="333333"/>
          <w:sz w:val="31"/>
          <w:szCs w:val="31"/>
        </w:rPr>
        <w:t>“济宁高新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</w:rPr>
        <w:t>大队</w:t>
      </w:r>
      <w:r>
        <w:rPr>
          <w:rFonts w:ascii="仿宋_GB2312" w:hAnsi="微软雅黑" w:eastAsia="仿宋_GB2312" w:cs="仿宋_GB2312"/>
          <w:color w:val="333333"/>
          <w:sz w:val="31"/>
          <w:szCs w:val="31"/>
        </w:rPr>
        <w:t>”和微博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</w:rPr>
        <w:t>530</w:t>
      </w:r>
      <w:r>
        <w:rPr>
          <w:rFonts w:ascii="仿宋_GB2312" w:hAnsi="微软雅黑" w:eastAsia="仿宋_GB2312" w:cs="仿宋_GB2312"/>
          <w:color w:val="333333"/>
          <w:sz w:val="31"/>
          <w:szCs w:val="31"/>
        </w:rPr>
        <w:t>条。四是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</w:rPr>
        <w:t>与</w:t>
      </w:r>
      <w:r>
        <w:rPr>
          <w:rFonts w:ascii="仿宋_GB2312" w:hAnsi="微软雅黑" w:eastAsia="仿宋_GB2312" w:cs="仿宋_GB2312"/>
          <w:color w:val="333333"/>
          <w:sz w:val="31"/>
          <w:szCs w:val="31"/>
        </w:rPr>
        <w:t>济宁电视台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</w:rPr>
        <w:t>、高新区广播电视台</w:t>
      </w:r>
      <w:r>
        <w:rPr>
          <w:rFonts w:ascii="仿宋_GB2312" w:hAnsi="微软雅黑" w:eastAsia="仿宋_GB2312" w:cs="仿宋_GB2312"/>
          <w:color w:val="333333"/>
          <w:sz w:val="31"/>
          <w:szCs w:val="31"/>
        </w:rPr>
        <w:t>等传统宣传阵地建立战略协作关系，采取集中采访、集中宣传等方式持续展示高新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</w:rPr>
        <w:t>交警</w:t>
      </w:r>
      <w:r>
        <w:rPr>
          <w:rFonts w:ascii="仿宋_GB2312" w:hAnsi="微软雅黑" w:eastAsia="仿宋_GB2312" w:cs="仿宋_GB2312"/>
          <w:color w:val="333333"/>
          <w:sz w:val="31"/>
          <w:szCs w:val="31"/>
        </w:rPr>
        <w:t>亮点工作，同时，适时组织民警开展送法进校园活动，开展小记者团走进警营等活动，加大宣传力度，丰富宣传载体。五是做好窗口单位的信息公开工作，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</w:rPr>
        <w:t>事故处理、违法处理、车管分所</w:t>
      </w:r>
      <w:r>
        <w:rPr>
          <w:rFonts w:ascii="仿宋_GB2312" w:hAnsi="微软雅黑" w:eastAsia="仿宋_GB2312" w:cs="仿宋_GB2312"/>
          <w:color w:val="333333"/>
          <w:sz w:val="31"/>
          <w:szCs w:val="31"/>
        </w:rPr>
        <w:t>在窗口单位的醒目位置设立政府信息公开墙或公开栏，公开行政许可、执法和收费的事项、依据、条件、数量、程序、期限以及需要提供的材料，为群众提供服务。</w:t>
      </w:r>
    </w:p>
    <w:p>
      <w:pPr>
        <w:pStyle w:val="2"/>
        <w:widowControl/>
        <w:spacing w:before="225" w:beforeAutospacing="0" w:after="0" w:afterAutospacing="0" w:line="600" w:lineRule="atLeast"/>
        <w:ind w:firstLine="645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ascii="仿宋_GB2312" w:hAnsi="微软雅黑" w:eastAsia="仿宋_GB2312" w:cs="仿宋_GB2312"/>
          <w:color w:val="333333"/>
          <w:sz w:val="31"/>
          <w:szCs w:val="31"/>
        </w:rPr>
        <w:t>据不完全统计，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</w:rPr>
        <w:t>2020</w:t>
      </w:r>
      <w:r>
        <w:rPr>
          <w:rFonts w:ascii="仿宋_GB2312" w:hAnsi="微软雅黑" w:eastAsia="仿宋_GB2312" w:cs="仿宋_GB2312"/>
          <w:color w:val="333333"/>
          <w:sz w:val="31"/>
          <w:szCs w:val="31"/>
        </w:rPr>
        <w:t>年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</w:rPr>
        <w:t>交警大队</w:t>
      </w:r>
      <w:r>
        <w:rPr>
          <w:rFonts w:ascii="仿宋_GB2312" w:hAnsi="微软雅黑" w:eastAsia="仿宋_GB2312" w:cs="仿宋_GB2312"/>
          <w:color w:val="333333"/>
          <w:sz w:val="31"/>
          <w:szCs w:val="31"/>
        </w:rPr>
        <w:t>共在高新区信息公开平台、山东民生警务平台、各类传统报刊杂志和政务新媒体发布各类信息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</w:rPr>
        <w:t>六百</w:t>
      </w:r>
      <w:r>
        <w:rPr>
          <w:rFonts w:ascii="仿宋_GB2312" w:hAnsi="微软雅黑" w:eastAsia="仿宋_GB2312" w:cs="仿宋_GB2312"/>
          <w:color w:val="333333"/>
          <w:sz w:val="31"/>
          <w:szCs w:val="31"/>
        </w:rPr>
        <w:t>余条，有力地提高了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</w:rPr>
        <w:t>交警</w:t>
      </w:r>
      <w:r>
        <w:rPr>
          <w:rFonts w:ascii="仿宋_GB2312" w:hAnsi="微软雅黑" w:eastAsia="仿宋_GB2312" w:cs="仿宋_GB2312"/>
          <w:color w:val="333333"/>
          <w:sz w:val="31"/>
          <w:szCs w:val="31"/>
        </w:rPr>
        <w:t>工作的透明度，保障了人民群众的知情权。</w:t>
      </w:r>
    </w:p>
    <w:p>
      <w:pPr>
        <w:pStyle w:val="2"/>
        <w:widowControl/>
        <w:shd w:val="clear" w:color="auto" w:fill="FFFFFF"/>
        <w:spacing w:before="0" w:beforeAutospacing="0" w:after="240" w:afterAutospacing="0" w:line="600" w:lineRule="atLeast"/>
        <w:ind w:firstLine="630"/>
        <w:jc w:val="both"/>
        <w:rPr>
          <w:rFonts w:hint="eastAsia" w:ascii="微软雅黑" w:hAnsi="微软雅黑" w:eastAsia="微软雅黑" w:cs="微软雅黑"/>
          <w:color w:val="333333"/>
          <w:sz w:val="27"/>
          <w:szCs w:val="27"/>
        </w:rPr>
      </w:pPr>
      <w:r>
        <w:rPr>
          <w:rStyle w:val="5"/>
          <w:rFonts w:hint="eastAsia" w:ascii="黑体" w:hAnsi="宋体" w:eastAsia="黑体" w:cs="黑体"/>
          <w:color w:val="333333"/>
          <w:sz w:val="31"/>
          <w:szCs w:val="31"/>
          <w:shd w:val="clear" w:color="auto" w:fill="FFFFFF"/>
        </w:rPr>
        <w:t> </w:t>
      </w:r>
    </w:p>
    <w:p>
      <w:pPr>
        <w:pStyle w:val="2"/>
        <w:widowControl/>
        <w:shd w:val="clear" w:color="auto" w:fill="FFFFFF"/>
        <w:spacing w:before="0" w:beforeAutospacing="0" w:after="240" w:afterAutospacing="0" w:line="450" w:lineRule="atLeast"/>
        <w:ind w:firstLine="630"/>
        <w:jc w:val="both"/>
        <w:rPr>
          <w:rFonts w:hint="eastAsia" w:ascii="微软雅黑" w:hAnsi="微软雅黑" w:eastAsia="微软雅黑" w:cs="微软雅黑"/>
          <w:color w:val="333333"/>
          <w:sz w:val="27"/>
          <w:szCs w:val="27"/>
        </w:rPr>
      </w:pPr>
      <w:r>
        <w:rPr>
          <w:rStyle w:val="5"/>
          <w:rFonts w:hint="eastAsia" w:ascii="黑体" w:hAnsi="宋体" w:eastAsia="黑体" w:cs="黑体"/>
          <w:color w:val="333333"/>
          <w:sz w:val="31"/>
          <w:szCs w:val="31"/>
          <w:shd w:val="clear" w:color="auto" w:fill="FFFFFF"/>
        </w:rPr>
        <w:t>二、主动公开政府信息情况</w:t>
      </w:r>
    </w:p>
    <w:tbl>
      <w:tblPr>
        <w:tblStyle w:val="3"/>
        <w:tblW w:w="135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71"/>
        <w:gridCol w:w="3108"/>
        <w:gridCol w:w="2113"/>
        <w:gridCol w:w="31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信息内容</w:t>
            </w:r>
          </w:p>
        </w:tc>
        <w:tc>
          <w:tcPr>
            <w:tcW w:w="1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本年新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制作数量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本年新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公开数量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信息内容</w:t>
            </w:r>
          </w:p>
        </w:tc>
        <w:tc>
          <w:tcPr>
            <w:tcW w:w="1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上一年项目数量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本年增</w:t>
            </w:r>
            <w:r>
              <w:rPr>
                <w:rFonts w:cs="Calibri"/>
                <w:color w:val="333333"/>
                <w:sz w:val="19"/>
                <w:szCs w:val="19"/>
              </w:rPr>
              <w:t>/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减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行政许可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31280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其他对外管理服务事项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814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信息内容</w:t>
            </w:r>
          </w:p>
        </w:tc>
        <w:tc>
          <w:tcPr>
            <w:tcW w:w="1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上一年项目数量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本年增</w:t>
            </w:r>
            <w:r>
              <w:rPr>
                <w:rFonts w:cs="Calibri"/>
                <w:color w:val="333333"/>
                <w:sz w:val="19"/>
                <w:szCs w:val="19"/>
              </w:rPr>
              <w:t>/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减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行政处罚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490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行政强制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128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上一年项目数量</w:t>
            </w:r>
          </w:p>
        </w:tc>
        <w:tc>
          <w:tcPr>
            <w:tcW w:w="31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本年增</w:t>
            </w:r>
            <w:r>
              <w:rPr>
                <w:rFonts w:cs="Calibri"/>
                <w:color w:val="333333"/>
                <w:sz w:val="19"/>
                <w:szCs w:val="19"/>
              </w:rPr>
              <w:t>/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行政事业性收费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采购项目数量</w:t>
            </w:r>
          </w:p>
        </w:tc>
        <w:tc>
          <w:tcPr>
            <w:tcW w:w="31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政府集中采购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6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6270000</w:t>
            </w:r>
          </w:p>
        </w:tc>
      </w:tr>
    </w:tbl>
    <w:p>
      <w:pPr>
        <w:pStyle w:val="2"/>
        <w:widowControl/>
        <w:shd w:val="clear" w:color="auto" w:fill="FFFFFF"/>
        <w:spacing w:before="0" w:beforeAutospacing="0" w:after="240" w:afterAutospacing="0" w:line="450" w:lineRule="atLeast"/>
        <w:ind w:firstLine="420"/>
        <w:jc w:val="both"/>
        <w:rPr>
          <w:rFonts w:hint="eastAsia" w:ascii="微软雅黑" w:hAnsi="微软雅黑" w:eastAsia="微软雅黑" w:cs="微软雅黑"/>
          <w:color w:val="333333"/>
          <w:sz w:val="27"/>
          <w:szCs w:val="27"/>
        </w:rPr>
      </w:pPr>
      <w:r>
        <w:rPr>
          <w:rStyle w:val="5"/>
          <w:rFonts w:hint="eastAsia" w:ascii="黑体" w:hAnsi="宋体" w:eastAsia="黑体" w:cs="黑体"/>
          <w:color w:val="333333"/>
          <w:sz w:val="31"/>
          <w:szCs w:val="31"/>
          <w:shd w:val="clear" w:color="auto" w:fill="FFFFFF"/>
        </w:rPr>
        <w:t> </w:t>
      </w:r>
    </w:p>
    <w:p>
      <w:pPr>
        <w:pStyle w:val="2"/>
        <w:widowControl/>
        <w:shd w:val="clear" w:color="auto" w:fill="FFFFFF"/>
        <w:spacing w:before="0" w:beforeAutospacing="0" w:after="240" w:afterAutospacing="0" w:line="450" w:lineRule="atLeast"/>
        <w:ind w:firstLine="420"/>
        <w:jc w:val="both"/>
        <w:rPr>
          <w:rFonts w:hint="eastAsia" w:ascii="微软雅黑" w:hAnsi="微软雅黑" w:eastAsia="微软雅黑" w:cs="微软雅黑"/>
          <w:color w:val="333333"/>
          <w:sz w:val="27"/>
          <w:szCs w:val="27"/>
        </w:rPr>
      </w:pPr>
      <w:r>
        <w:rPr>
          <w:rStyle w:val="5"/>
          <w:rFonts w:hint="eastAsia" w:ascii="黑体" w:hAnsi="宋体" w:eastAsia="黑体" w:cs="黑体"/>
          <w:color w:val="333333"/>
          <w:sz w:val="31"/>
          <w:szCs w:val="31"/>
          <w:shd w:val="clear" w:color="auto" w:fill="FFFFFF"/>
        </w:rPr>
        <w:t>三、收到和处理政府信息公开申请情况</w:t>
      </w:r>
    </w:p>
    <w:tbl>
      <w:tblPr>
        <w:tblStyle w:val="3"/>
        <w:tblW w:w="1350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3"/>
        <w:gridCol w:w="1270"/>
        <w:gridCol w:w="3097"/>
        <w:gridCol w:w="1203"/>
        <w:gridCol w:w="1114"/>
        <w:gridCol w:w="1114"/>
        <w:gridCol w:w="1203"/>
        <w:gridCol w:w="1448"/>
        <w:gridCol w:w="1069"/>
        <w:gridCol w:w="106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5520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自然人</w:t>
            </w:r>
          </w:p>
        </w:tc>
        <w:tc>
          <w:tcPr>
            <w:tcW w:w="400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法人或其他组织</w:t>
            </w:r>
          </w:p>
        </w:tc>
        <w:tc>
          <w:tcPr>
            <w:tcW w:w="69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商业企业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科研机构</w:t>
            </w:r>
          </w:p>
        </w:tc>
        <w:tc>
          <w:tcPr>
            <w:tcW w:w="8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社会公益组织</w:t>
            </w:r>
          </w:p>
        </w:tc>
        <w:tc>
          <w:tcPr>
            <w:tcW w:w="9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法律服务机构</w:t>
            </w: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其他</w:t>
            </w:r>
          </w:p>
        </w:tc>
        <w:tc>
          <w:tcPr>
            <w:tcW w:w="69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rPr>
                <w:color w:val="333333"/>
                <w:sz w:val="21"/>
                <w:szCs w:val="21"/>
              </w:rPr>
            </w:pPr>
            <w:r>
              <w:rPr>
                <w:rFonts w:ascii="楷体" w:hAnsi="楷体" w:eastAsia="楷体" w:cs="楷体"/>
                <w:color w:val="333333"/>
                <w:sz w:val="19"/>
                <w:szCs w:val="19"/>
              </w:rPr>
              <w:t>（一）予以公开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333333"/>
                <w:sz w:val="19"/>
                <w:szCs w:val="19"/>
              </w:rPr>
              <w:t>（二）部分公开（区分处理的，只计这一情形，不计其他情形）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333333"/>
                <w:sz w:val="19"/>
                <w:szCs w:val="19"/>
              </w:rPr>
              <w:t>（三）不予公开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333333"/>
                <w:sz w:val="19"/>
                <w:szCs w:val="19"/>
              </w:rPr>
              <w:t>1.属于国家秘密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333333"/>
                <w:sz w:val="19"/>
                <w:szCs w:val="19"/>
              </w:rPr>
              <w:t>2.其他法律行政法规禁止公开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333333"/>
                <w:sz w:val="19"/>
                <w:szCs w:val="19"/>
              </w:rPr>
              <w:t>3.危及“三安全一稳定”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333333"/>
                <w:sz w:val="19"/>
                <w:szCs w:val="19"/>
              </w:rPr>
              <w:t>4.保护第三方合法权益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333333"/>
                <w:sz w:val="19"/>
                <w:szCs w:val="19"/>
              </w:rPr>
              <w:t>5.属于三类内部事务信息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333333"/>
                <w:sz w:val="19"/>
                <w:szCs w:val="19"/>
              </w:rPr>
              <w:t>6.属于四类过程性信息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333333"/>
                <w:sz w:val="19"/>
                <w:szCs w:val="19"/>
              </w:rPr>
              <w:t>7.属于行政执法案卷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333333"/>
                <w:sz w:val="19"/>
                <w:szCs w:val="19"/>
              </w:rPr>
              <w:t>8.属于行政查询事项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333333"/>
                <w:sz w:val="19"/>
                <w:szCs w:val="19"/>
              </w:rPr>
              <w:t>（四）无法提供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333333"/>
                <w:sz w:val="19"/>
                <w:szCs w:val="19"/>
              </w:rPr>
              <w:t>1.本机关不掌握相关政府信息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333333"/>
                <w:sz w:val="19"/>
                <w:szCs w:val="19"/>
              </w:rPr>
              <w:t>2.没有现成信息需要另行制作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333333"/>
                <w:sz w:val="19"/>
                <w:szCs w:val="19"/>
              </w:rPr>
              <w:t>3.补正后申请内容仍不明确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333333"/>
                <w:sz w:val="19"/>
                <w:szCs w:val="19"/>
              </w:rPr>
              <w:t>（五）不予处理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333333"/>
                <w:sz w:val="19"/>
                <w:szCs w:val="19"/>
              </w:rPr>
              <w:t>1.信访举报投诉类申请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333333"/>
                <w:sz w:val="19"/>
                <w:szCs w:val="19"/>
              </w:rPr>
              <w:t>2.重复申请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333333"/>
                <w:sz w:val="19"/>
                <w:szCs w:val="19"/>
              </w:rPr>
              <w:t>3.要求提供公开出版物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cs="Calibri"/>
                <w:color w:val="333333"/>
                <w:sz w:val="19"/>
                <w:szCs w:val="19"/>
              </w:rPr>
              <w:t> </w:t>
            </w: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333333"/>
                <w:sz w:val="19"/>
                <w:szCs w:val="19"/>
              </w:rPr>
              <w:t>4.无正当理由大量反复申请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333333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333333"/>
                <w:sz w:val="19"/>
                <w:szCs w:val="19"/>
              </w:rPr>
              <w:t>（六）其他处理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333333"/>
                <w:sz w:val="19"/>
                <w:szCs w:val="19"/>
              </w:rPr>
              <w:t>（七）总计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四、结转下年度继续办理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</w:tr>
    </w:tbl>
    <w:p>
      <w:pPr>
        <w:pStyle w:val="2"/>
        <w:widowControl/>
        <w:shd w:val="clear" w:color="auto" w:fill="FFFFFF"/>
        <w:spacing w:before="0" w:beforeAutospacing="0" w:after="0" w:afterAutospacing="0" w:line="450" w:lineRule="atLeast"/>
        <w:ind w:firstLine="420"/>
        <w:jc w:val="both"/>
        <w:rPr>
          <w:rFonts w:hint="eastAsia" w:ascii="微软雅黑" w:hAnsi="微软雅黑" w:eastAsia="微软雅黑" w:cs="微软雅黑"/>
          <w:color w:val="333333"/>
          <w:sz w:val="27"/>
          <w:szCs w:val="27"/>
        </w:rPr>
      </w:pPr>
      <w:r>
        <w:rPr>
          <w:rStyle w:val="5"/>
          <w:rFonts w:hint="eastAsia" w:ascii="黑体" w:hAnsi="宋体" w:eastAsia="黑体" w:cs="黑体"/>
          <w:color w:val="333333"/>
          <w:sz w:val="31"/>
          <w:szCs w:val="31"/>
          <w:shd w:val="clear" w:color="auto" w:fill="FFFFFF"/>
        </w:rPr>
        <w:t> </w:t>
      </w:r>
    </w:p>
    <w:p>
      <w:pPr>
        <w:pStyle w:val="2"/>
        <w:widowControl/>
        <w:shd w:val="clear" w:color="auto" w:fill="FFFFFF"/>
        <w:spacing w:before="0" w:beforeAutospacing="0" w:after="0" w:afterAutospacing="0" w:line="450" w:lineRule="atLeast"/>
        <w:ind w:firstLine="420"/>
        <w:jc w:val="both"/>
        <w:rPr>
          <w:rFonts w:hint="eastAsia" w:ascii="微软雅黑" w:hAnsi="微软雅黑" w:eastAsia="微软雅黑" w:cs="微软雅黑"/>
          <w:color w:val="333333"/>
          <w:sz w:val="27"/>
          <w:szCs w:val="27"/>
        </w:rPr>
      </w:pPr>
      <w:r>
        <w:rPr>
          <w:rStyle w:val="5"/>
          <w:rFonts w:hint="eastAsia" w:ascii="黑体" w:hAnsi="宋体" w:eastAsia="黑体" w:cs="黑体"/>
          <w:color w:val="333333"/>
          <w:sz w:val="31"/>
          <w:szCs w:val="31"/>
          <w:shd w:val="clear" w:color="auto" w:fill="FFFFFF"/>
        </w:rPr>
        <w:t>四、政府信息公开行政复议、行政诉讼情况</w:t>
      </w:r>
    </w:p>
    <w:tbl>
      <w:tblPr>
        <w:tblStyle w:val="3"/>
        <w:tblW w:w="1350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892"/>
        <w:gridCol w:w="892"/>
        <w:gridCol w:w="892"/>
        <w:gridCol w:w="1003"/>
        <w:gridCol w:w="826"/>
        <w:gridCol w:w="893"/>
        <w:gridCol w:w="893"/>
        <w:gridCol w:w="893"/>
        <w:gridCol w:w="915"/>
        <w:gridCol w:w="893"/>
        <w:gridCol w:w="893"/>
        <w:gridCol w:w="893"/>
        <w:gridCol w:w="893"/>
        <w:gridCol w:w="93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行政复议</w:t>
            </w:r>
          </w:p>
        </w:tc>
        <w:tc>
          <w:tcPr>
            <w:tcW w:w="6000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尚未审结</w:t>
            </w:r>
          </w:p>
        </w:tc>
        <w:tc>
          <w:tcPr>
            <w:tcW w:w="66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结果纠正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其他结果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尚未审结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总计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结果维持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结果纠正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其他结果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尚未审结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180" w:afterAutospacing="0" w:line="450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</w:tr>
    </w:tbl>
    <w:p>
      <w:pPr>
        <w:pStyle w:val="2"/>
        <w:widowControl/>
        <w:shd w:val="clear" w:color="auto" w:fill="FFFFFF"/>
        <w:spacing w:before="225" w:beforeAutospacing="0" w:after="0" w:afterAutospacing="0" w:line="450" w:lineRule="atLeast"/>
        <w:ind w:firstLine="525"/>
        <w:jc w:val="center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宋体" w:hAnsi="宋体" w:cs="宋体"/>
          <w:color w:val="333333"/>
          <w:shd w:val="clear" w:color="auto" w:fill="FFFFFF"/>
        </w:rPr>
        <w:t> </w:t>
      </w:r>
    </w:p>
    <w:p>
      <w:pPr>
        <w:pStyle w:val="2"/>
        <w:widowControl/>
        <w:shd w:val="clear" w:color="auto" w:fill="FFFFFF"/>
        <w:spacing w:before="0" w:beforeAutospacing="0" w:after="0" w:afterAutospacing="0" w:line="450" w:lineRule="atLeast"/>
        <w:ind w:firstLine="585"/>
        <w:jc w:val="both"/>
        <w:rPr>
          <w:rFonts w:hint="eastAsia" w:ascii="微软雅黑" w:hAnsi="微软雅黑" w:eastAsia="微软雅黑" w:cs="微软雅黑"/>
          <w:color w:val="333333"/>
          <w:sz w:val="27"/>
          <w:szCs w:val="27"/>
        </w:rPr>
      </w:pPr>
      <w:r>
        <w:rPr>
          <w:rStyle w:val="5"/>
          <w:rFonts w:hint="eastAsia" w:ascii="黑体" w:hAnsi="宋体" w:eastAsia="黑体" w:cs="黑体"/>
          <w:color w:val="333333"/>
          <w:sz w:val="31"/>
          <w:szCs w:val="31"/>
          <w:shd w:val="clear" w:color="auto" w:fill="FFFFFF"/>
        </w:rPr>
        <w:t>五、存在的主要问题及改进情况</w:t>
      </w:r>
    </w:p>
    <w:p>
      <w:pPr>
        <w:pStyle w:val="2"/>
        <w:widowControl/>
        <w:spacing w:before="225" w:beforeAutospacing="0" w:after="0" w:afterAutospacing="0" w:line="600" w:lineRule="atLeast"/>
        <w:ind w:firstLine="645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ascii="仿宋_GB2312" w:hAnsi="微软雅黑" w:eastAsia="仿宋_GB2312" w:cs="仿宋_GB2312"/>
          <w:color w:val="333333"/>
          <w:sz w:val="31"/>
          <w:szCs w:val="31"/>
        </w:rPr>
        <w:t>2020年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</w:rPr>
        <w:t>交警大队</w:t>
      </w:r>
      <w:r>
        <w:rPr>
          <w:rFonts w:ascii="仿宋_GB2312" w:hAnsi="微软雅黑" w:eastAsia="仿宋_GB2312" w:cs="仿宋_GB2312"/>
          <w:color w:val="333333"/>
          <w:sz w:val="31"/>
          <w:szCs w:val="31"/>
        </w:rPr>
        <w:t>在顺利完成高新区管委会政府信息公开工作的同时，还存在着一些短板和问题，主要表现在：信息公开的知识和意识还有待进一步学习和提高；工作中对政府信息公开的推动力度还不够均衡；存在工作透明度不高、公开渠道不畅、公开形式相对单一等问题。针对以上问题和不足，下步工作中，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</w:rPr>
        <w:t>交警大队</w:t>
      </w:r>
      <w:r>
        <w:rPr>
          <w:rFonts w:ascii="仿宋_GB2312" w:hAnsi="微软雅黑" w:eastAsia="仿宋_GB2312" w:cs="仿宋_GB2312"/>
          <w:color w:val="333333"/>
          <w:sz w:val="31"/>
          <w:szCs w:val="31"/>
        </w:rPr>
        <w:t>将继续把政府信息公开工作作为服务群众、接受监督的重要举措来抓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</w:rPr>
        <w:t>，</w:t>
      </w:r>
      <w:r>
        <w:rPr>
          <w:rFonts w:ascii="仿宋_GB2312" w:hAnsi="微软雅黑" w:eastAsia="仿宋_GB2312" w:cs="仿宋_GB2312"/>
          <w:color w:val="333333"/>
          <w:sz w:val="31"/>
          <w:szCs w:val="31"/>
        </w:rPr>
        <w:t>进一步健全完善各项制度，切实规范公开内容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</w:rPr>
        <w:t>，</w:t>
      </w:r>
      <w:r>
        <w:rPr>
          <w:rFonts w:ascii="仿宋_GB2312" w:hAnsi="微软雅黑" w:eastAsia="仿宋_GB2312" w:cs="仿宋_GB2312"/>
          <w:color w:val="333333"/>
          <w:sz w:val="31"/>
          <w:szCs w:val="31"/>
        </w:rPr>
        <w:t>不断加强对信息公开工作进行的推动力度，确保工作效果。</w:t>
      </w:r>
    </w:p>
    <w:p>
      <w:pPr>
        <w:pStyle w:val="2"/>
        <w:widowControl/>
        <w:shd w:val="clear" w:color="auto" w:fill="FFFFFF"/>
        <w:spacing w:before="0" w:beforeAutospacing="0" w:after="0" w:afterAutospacing="0" w:line="450" w:lineRule="atLeast"/>
        <w:ind w:firstLine="630"/>
        <w:jc w:val="both"/>
        <w:rPr>
          <w:rFonts w:hint="eastAsia" w:ascii="微软雅黑" w:hAnsi="微软雅黑" w:eastAsia="微软雅黑" w:cs="微软雅黑"/>
          <w:color w:val="333333"/>
          <w:sz w:val="27"/>
          <w:szCs w:val="27"/>
        </w:rPr>
      </w:pPr>
      <w:r>
        <w:rPr>
          <w:rStyle w:val="5"/>
          <w:rFonts w:hint="eastAsia" w:ascii="黑体" w:hAnsi="宋体" w:eastAsia="黑体" w:cs="黑体"/>
          <w:color w:val="333333"/>
          <w:sz w:val="31"/>
          <w:szCs w:val="31"/>
          <w:shd w:val="clear" w:color="auto" w:fill="FFFFFF"/>
        </w:rPr>
        <w:t>六、其他需要报告的事项</w:t>
      </w:r>
    </w:p>
    <w:p>
      <w:pPr>
        <w:pStyle w:val="2"/>
        <w:widowControl/>
        <w:shd w:val="clear" w:color="auto" w:fill="FFFFFF"/>
        <w:spacing w:before="0" w:beforeAutospacing="0" w:after="0" w:afterAutospacing="0" w:line="450" w:lineRule="atLeast"/>
        <w:ind w:firstLine="645"/>
        <w:jc w:val="both"/>
        <w:rPr>
          <w:rFonts w:hint="eastAsia" w:ascii="微软雅黑" w:hAnsi="微软雅黑" w:eastAsia="微软雅黑" w:cs="微软雅黑"/>
          <w:color w:val="333333"/>
          <w:sz w:val="27"/>
          <w:szCs w:val="27"/>
        </w:rPr>
      </w:pPr>
      <w:r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8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2021-01-26T07:54:58Z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