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bCs/>
          <w:sz w:val="30"/>
        </w:rPr>
      </w:pPr>
      <w:bookmarkStart w:id="0" w:name="_GoBack"/>
      <w:r>
        <w:rPr>
          <w:rFonts w:hint="eastAsia" w:ascii="方正小标宋_GBK" w:hAnsi="方正小标宋_GBK" w:eastAsia="方正小标宋_GBK"/>
          <w:b/>
          <w:bCs/>
          <w:sz w:val="30"/>
        </w:rPr>
        <w:t>农村危房改造领域基层政务公开标准目录</w:t>
      </w:r>
    </w:p>
    <w:bookmarkEnd w:id="0"/>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0"/>
            <w:vAlign w:val="center"/>
          </w:tcPr>
          <w:p>
            <w:pPr>
              <w:widowControl/>
              <w:jc w:val="center"/>
              <w:rPr>
                <w:rFonts w:ascii="Times New Roman" w:hAnsi="Times New Roman"/>
                <w:b/>
                <w:bCs/>
                <w:color w:val="000000"/>
                <w:kern w:val="0"/>
                <w:sz w:val="22"/>
              </w:rPr>
            </w:pPr>
            <w:r>
              <w:rPr>
                <w:rFonts w:ascii="Times New Roman" w:hAnsi="宋体"/>
                <w:b/>
                <w:bCs/>
                <w:color w:val="000000"/>
                <w:kern w:val="0"/>
                <w:sz w:val="22"/>
              </w:rPr>
              <w:t>序号</w:t>
            </w:r>
          </w:p>
        </w:tc>
        <w:tc>
          <w:tcPr>
            <w:tcW w:w="2160" w:type="dxa"/>
            <w:gridSpan w:val="2"/>
            <w:shd w:val="clear" w:color="auto" w:fill="auto"/>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公开事项</w:t>
            </w:r>
          </w:p>
        </w:tc>
        <w:tc>
          <w:tcPr>
            <w:tcW w:w="1980" w:type="dxa"/>
            <w:vMerge w:val="restart"/>
            <w:shd w:val="clear" w:color="auto" w:fill="FFFFFF" w:themeFill="background1"/>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公开内容（要素）</w:t>
            </w:r>
          </w:p>
        </w:tc>
        <w:tc>
          <w:tcPr>
            <w:tcW w:w="1800" w:type="dxa"/>
            <w:vMerge w:val="restart"/>
            <w:shd w:val="clear" w:color="auto" w:fill="FFFFFF" w:themeFill="background1"/>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公开依据</w:t>
            </w:r>
          </w:p>
        </w:tc>
        <w:tc>
          <w:tcPr>
            <w:tcW w:w="1402" w:type="dxa"/>
            <w:vMerge w:val="restart"/>
            <w:shd w:val="clear" w:color="auto" w:fill="FFFFFF" w:themeFill="background1"/>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公开时限</w:t>
            </w:r>
          </w:p>
        </w:tc>
        <w:tc>
          <w:tcPr>
            <w:tcW w:w="1440" w:type="dxa"/>
            <w:vMerge w:val="restart"/>
            <w:shd w:val="clear" w:color="auto" w:fill="FFFFFF" w:themeFill="background1"/>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公开主体</w:t>
            </w:r>
          </w:p>
        </w:tc>
        <w:tc>
          <w:tcPr>
            <w:tcW w:w="2018" w:type="dxa"/>
            <w:vMerge w:val="restart"/>
            <w:shd w:val="clear" w:color="auto" w:fill="FFFFFF" w:themeFill="background1"/>
            <w:noWrap w:val="0"/>
            <w:vAlign w:val="center"/>
          </w:tcPr>
          <w:p>
            <w:pPr>
              <w:widowControl/>
              <w:jc w:val="center"/>
              <w:rPr>
                <w:rFonts w:ascii="黑体" w:hAnsi="宋体" w:eastAsia="黑体" w:cs="宋体"/>
                <w:b/>
                <w:bCs/>
                <w:kern w:val="0"/>
                <w:sz w:val="22"/>
              </w:rPr>
            </w:pPr>
            <w:r>
              <w:rPr>
                <w:rFonts w:hint="eastAsia" w:ascii="黑体" w:hAnsi="宋体" w:eastAsia="黑体" w:cs="宋体"/>
                <w:b/>
                <w:bCs/>
                <w:kern w:val="0"/>
                <w:sz w:val="22"/>
              </w:rPr>
              <w:t>公开渠道和载体</w:t>
            </w:r>
          </w:p>
        </w:tc>
        <w:tc>
          <w:tcPr>
            <w:tcW w:w="1429" w:type="dxa"/>
            <w:gridSpan w:val="2"/>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公开对象</w:t>
            </w:r>
          </w:p>
        </w:tc>
        <w:tc>
          <w:tcPr>
            <w:tcW w:w="1271" w:type="dxa"/>
            <w:gridSpan w:val="2"/>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公开方式</w:t>
            </w:r>
          </w:p>
        </w:tc>
        <w:tc>
          <w:tcPr>
            <w:tcW w:w="1440" w:type="dxa"/>
            <w:gridSpan w:val="2"/>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noWrap w:val="0"/>
            <w:vAlign w:val="center"/>
          </w:tcPr>
          <w:p>
            <w:pPr>
              <w:widowControl/>
              <w:jc w:val="left"/>
              <w:rPr>
                <w:rFonts w:ascii="Times New Roman" w:hAnsi="Times New Roman"/>
                <w:b/>
                <w:bCs/>
                <w:color w:val="000000"/>
                <w:kern w:val="0"/>
                <w:sz w:val="22"/>
              </w:rPr>
            </w:pPr>
          </w:p>
        </w:tc>
        <w:tc>
          <w:tcPr>
            <w:tcW w:w="900" w:type="dxa"/>
            <w:shd w:val="clear" w:color="auto" w:fill="auto"/>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一级事项</w:t>
            </w:r>
          </w:p>
        </w:tc>
        <w:tc>
          <w:tcPr>
            <w:tcW w:w="1260" w:type="dxa"/>
            <w:shd w:val="clear" w:color="auto" w:fill="auto"/>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二级事项</w:t>
            </w:r>
          </w:p>
        </w:tc>
        <w:tc>
          <w:tcPr>
            <w:tcW w:w="1980" w:type="dxa"/>
            <w:vMerge w:val="continue"/>
            <w:shd w:val="clear" w:color="auto" w:fill="FFFFFF" w:themeFill="background1"/>
            <w:noWrap w:val="0"/>
            <w:vAlign w:val="center"/>
          </w:tcPr>
          <w:p>
            <w:pPr>
              <w:widowControl/>
              <w:jc w:val="left"/>
              <w:rPr>
                <w:rFonts w:ascii="黑体" w:hAnsi="宋体" w:eastAsia="黑体" w:cs="宋体"/>
                <w:b/>
                <w:bCs/>
                <w:color w:val="000000"/>
                <w:kern w:val="0"/>
                <w:sz w:val="22"/>
              </w:rPr>
            </w:pPr>
          </w:p>
        </w:tc>
        <w:tc>
          <w:tcPr>
            <w:tcW w:w="1800" w:type="dxa"/>
            <w:vMerge w:val="continue"/>
            <w:shd w:val="clear" w:color="auto" w:fill="FFFFFF" w:themeFill="background1"/>
            <w:noWrap w:val="0"/>
            <w:vAlign w:val="center"/>
          </w:tcPr>
          <w:p>
            <w:pPr>
              <w:widowControl/>
              <w:jc w:val="left"/>
              <w:rPr>
                <w:rFonts w:ascii="黑体" w:hAnsi="宋体" w:eastAsia="黑体" w:cs="宋体"/>
                <w:b/>
                <w:bCs/>
                <w:color w:val="000000"/>
                <w:kern w:val="0"/>
                <w:sz w:val="22"/>
              </w:rPr>
            </w:pPr>
          </w:p>
        </w:tc>
        <w:tc>
          <w:tcPr>
            <w:tcW w:w="1402" w:type="dxa"/>
            <w:vMerge w:val="continue"/>
            <w:shd w:val="clear" w:color="auto" w:fill="FFFFFF" w:themeFill="background1"/>
            <w:noWrap w:val="0"/>
            <w:vAlign w:val="center"/>
          </w:tcPr>
          <w:p>
            <w:pPr>
              <w:widowControl/>
              <w:jc w:val="left"/>
              <w:rPr>
                <w:rFonts w:ascii="黑体" w:hAnsi="宋体" w:eastAsia="黑体" w:cs="宋体"/>
                <w:b/>
                <w:bCs/>
                <w:color w:val="000000"/>
                <w:kern w:val="0"/>
                <w:sz w:val="22"/>
              </w:rPr>
            </w:pPr>
          </w:p>
        </w:tc>
        <w:tc>
          <w:tcPr>
            <w:tcW w:w="1440" w:type="dxa"/>
            <w:vMerge w:val="continue"/>
            <w:shd w:val="clear" w:color="auto" w:fill="FFFFFF" w:themeFill="background1"/>
            <w:noWrap w:val="0"/>
            <w:vAlign w:val="center"/>
          </w:tcPr>
          <w:p>
            <w:pPr>
              <w:widowControl/>
              <w:jc w:val="left"/>
              <w:rPr>
                <w:rFonts w:ascii="黑体" w:hAnsi="宋体" w:eastAsia="黑体" w:cs="宋体"/>
                <w:b/>
                <w:bCs/>
                <w:color w:val="000000"/>
                <w:kern w:val="0"/>
                <w:sz w:val="22"/>
              </w:rPr>
            </w:pPr>
          </w:p>
        </w:tc>
        <w:tc>
          <w:tcPr>
            <w:tcW w:w="2018" w:type="dxa"/>
            <w:vMerge w:val="continue"/>
            <w:shd w:val="clear" w:color="auto" w:fill="FFFFFF" w:themeFill="background1"/>
            <w:noWrap w:val="0"/>
            <w:vAlign w:val="center"/>
          </w:tcPr>
          <w:p>
            <w:pPr>
              <w:widowControl/>
              <w:jc w:val="left"/>
              <w:rPr>
                <w:rFonts w:ascii="黑体" w:hAnsi="宋体" w:eastAsia="黑体" w:cs="宋体"/>
                <w:b/>
                <w:bCs/>
                <w:kern w:val="0"/>
                <w:sz w:val="22"/>
              </w:rPr>
            </w:pPr>
          </w:p>
        </w:tc>
        <w:tc>
          <w:tcPr>
            <w:tcW w:w="720"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全社会</w:t>
            </w:r>
          </w:p>
        </w:tc>
        <w:tc>
          <w:tcPr>
            <w:tcW w:w="709"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特定群众</w:t>
            </w:r>
          </w:p>
        </w:tc>
        <w:tc>
          <w:tcPr>
            <w:tcW w:w="551"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主动</w:t>
            </w:r>
          </w:p>
        </w:tc>
        <w:tc>
          <w:tcPr>
            <w:tcW w:w="720"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依申请公开</w:t>
            </w:r>
          </w:p>
        </w:tc>
        <w:tc>
          <w:tcPr>
            <w:tcW w:w="720"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县级</w:t>
            </w:r>
          </w:p>
        </w:tc>
        <w:tc>
          <w:tcPr>
            <w:tcW w:w="720" w:type="dxa"/>
            <w:noWrap w:val="0"/>
            <w:vAlign w:val="center"/>
          </w:tcPr>
          <w:p>
            <w:pPr>
              <w:widowControl/>
              <w:jc w:val="center"/>
              <w:rPr>
                <w:rFonts w:ascii="黑体" w:hAnsi="宋体" w:eastAsia="黑体" w:cs="宋体"/>
                <w:b/>
                <w:bCs/>
                <w:color w:val="000000"/>
                <w:kern w:val="0"/>
                <w:sz w:val="22"/>
              </w:rPr>
            </w:pPr>
            <w:r>
              <w:rPr>
                <w:rFonts w:hint="eastAsia" w:ascii="黑体" w:hAnsi="宋体" w:eastAsia="黑体" w:cs="宋体"/>
                <w:b/>
                <w:bCs/>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Times New Roman" w:hAnsi="Times New Roman"/>
                <w:b/>
                <w:bCs/>
                <w:color w:val="000000"/>
                <w:kern w:val="0"/>
                <w:sz w:val="16"/>
                <w:szCs w:val="16"/>
              </w:rPr>
            </w:pPr>
            <w:r>
              <w:rPr>
                <w:rFonts w:hint="eastAsia" w:ascii="Times New Roman" w:hAnsi="Times New Roman"/>
                <w:b/>
                <w:bCs/>
                <w:color w:val="000000"/>
                <w:kern w:val="0"/>
                <w:sz w:val="16"/>
                <w:szCs w:val="16"/>
              </w:rPr>
              <w:t>1</w:t>
            </w:r>
          </w:p>
        </w:tc>
        <w:tc>
          <w:tcPr>
            <w:tcW w:w="90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部门文件</w:t>
            </w:r>
          </w:p>
        </w:tc>
        <w:tc>
          <w:tcPr>
            <w:tcW w:w="1260" w:type="dxa"/>
            <w:noWrap w:val="0"/>
            <w:vAlign w:val="center"/>
          </w:tcPr>
          <w:p>
            <w:pP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农村危房改造相关文件</w:t>
            </w:r>
          </w:p>
        </w:tc>
        <w:tc>
          <w:tcPr>
            <w:tcW w:w="1980" w:type="dxa"/>
            <w:noWrap w:val="0"/>
            <w:vAlign w:val="center"/>
          </w:tcPr>
          <w:p>
            <w:pPr>
              <w:widowControl/>
              <w:rPr>
                <w:rFonts w:ascii="黑体" w:hAnsi="宋体" w:eastAsia="黑体" w:cs="宋体"/>
                <w:b/>
                <w:bCs/>
                <w:color w:val="000000"/>
                <w:kern w:val="0"/>
                <w:sz w:val="22"/>
              </w:rPr>
            </w:pPr>
            <w:r>
              <w:rPr>
                <w:rFonts w:hint="eastAsia" w:ascii="仿宋_GB2312" w:hAnsi="宋体" w:eastAsia="仿宋_GB2312"/>
                <w:b/>
                <w:bCs/>
                <w:color w:val="000000"/>
                <w:sz w:val="18"/>
                <w:szCs w:val="18"/>
              </w:rPr>
              <w:t>文件分类、生成日期、标题、文号、有效性、关键词和具体内容等</w:t>
            </w:r>
          </w:p>
        </w:tc>
        <w:tc>
          <w:tcPr>
            <w:tcW w:w="1800" w:type="dxa"/>
            <w:noWrap w:val="0"/>
            <w:vAlign w:val="center"/>
          </w:tcPr>
          <w:p>
            <w:pPr>
              <w:widowControl/>
              <w:rPr>
                <w:rFonts w:ascii="黑体" w:hAnsi="宋体" w:eastAsia="黑体" w:cs="宋体"/>
                <w:b/>
                <w:bCs/>
                <w:color w:val="000000"/>
                <w:kern w:val="0"/>
                <w:sz w:val="22"/>
              </w:rPr>
            </w:pPr>
            <w:r>
              <w:rPr>
                <w:rFonts w:hint="eastAsia" w:ascii="仿宋_GB2312" w:hAnsi="宋体" w:eastAsia="仿宋_GB2312"/>
                <w:b/>
                <w:bCs/>
                <w:color w:val="000000"/>
                <w:sz w:val="18"/>
                <w:szCs w:val="18"/>
              </w:rPr>
              <w:t>《政府信息公开条例》、《关于全面推进政务公开工作的意见》及其实施细则</w:t>
            </w:r>
          </w:p>
        </w:tc>
        <w:tc>
          <w:tcPr>
            <w:tcW w:w="1402" w:type="dxa"/>
            <w:noWrap w:val="0"/>
            <w:vAlign w:val="center"/>
          </w:tcPr>
          <w:p>
            <w:pPr>
              <w:widowControl/>
              <w:rPr>
                <w:rFonts w:ascii="黑体" w:hAnsi="宋体" w:eastAsia="黑体" w:cs="宋体"/>
                <w:b/>
                <w:bCs/>
                <w:color w:val="000000"/>
                <w:kern w:val="0"/>
                <w:sz w:val="22"/>
              </w:rPr>
            </w:pPr>
            <w:r>
              <w:rPr>
                <w:rFonts w:hint="eastAsia" w:ascii="仿宋_GB2312" w:hAnsi="宋体" w:eastAsia="仿宋_GB2312"/>
                <w:b/>
                <w:bCs/>
                <w:color w:val="000000"/>
                <w:sz w:val="18"/>
                <w:szCs w:val="18"/>
              </w:rPr>
              <w:t>信息形成之日起20个工作日内</w:t>
            </w:r>
          </w:p>
        </w:tc>
        <w:tc>
          <w:tcPr>
            <w:tcW w:w="1440" w:type="dxa"/>
            <w:noWrap w:val="0"/>
            <w:vAlign w:val="center"/>
          </w:tcPr>
          <w:p>
            <w:pPr>
              <w:widowControl/>
              <w:rPr>
                <w:rFonts w:ascii="黑体" w:hAnsi="宋体" w:eastAsia="黑体" w:cs="宋体"/>
                <w:b/>
                <w:bCs/>
                <w:color w:val="000000"/>
                <w:kern w:val="0"/>
                <w:sz w:val="22"/>
              </w:rPr>
            </w:pPr>
            <w:r>
              <w:rPr>
                <w:rFonts w:hint="eastAsia" w:ascii="仿宋_GB2312" w:hAnsi="宋体" w:eastAsia="仿宋_GB2312"/>
                <w:b/>
                <w:bCs/>
                <w:color w:val="000000"/>
                <w:sz w:val="18"/>
                <w:szCs w:val="18"/>
                <w:lang w:eastAsia="zh-CN"/>
              </w:rPr>
              <w:t>城乡建设和交通局</w:t>
            </w:r>
          </w:p>
        </w:tc>
        <w:tc>
          <w:tcPr>
            <w:tcW w:w="2018" w:type="dxa"/>
            <w:noWrap w:val="0"/>
            <w:vAlign w:val="center"/>
          </w:tcPr>
          <w:p>
            <w:pPr>
              <w:widowControl/>
              <w:rPr>
                <w:rFonts w:ascii="黑体" w:hAnsi="宋体" w:eastAsia="黑体" w:cs="宋体"/>
                <w:b/>
                <w:bCs/>
                <w:kern w:val="0"/>
                <w:sz w:val="22"/>
              </w:rPr>
            </w:pPr>
            <w:r>
              <w:rPr>
                <w:rFonts w:hint="eastAsia" w:ascii="仿宋_GB2312" w:hAnsi="宋体" w:eastAsia="仿宋_GB2312"/>
                <w:b/>
                <w:bCs/>
                <w:color w:val="000000"/>
                <w:sz w:val="18"/>
                <w:szCs w:val="18"/>
                <w:lang w:eastAsia="zh-CN"/>
              </w:rPr>
              <w:t>管委会</w:t>
            </w:r>
            <w:r>
              <w:rPr>
                <w:rFonts w:hint="eastAsia" w:ascii="仿宋_GB2312" w:hAnsi="宋体" w:eastAsia="仿宋_GB2312"/>
                <w:b/>
                <w:bCs/>
                <w:color w:val="000000"/>
                <w:sz w:val="18"/>
                <w:szCs w:val="18"/>
              </w:rPr>
              <w:t>门户网站、</w:t>
            </w:r>
            <w:r>
              <w:rPr>
                <w:rFonts w:hint="eastAsia" w:ascii="仿宋_GB2312" w:hAnsi="宋体" w:eastAsia="仿宋_GB2312"/>
                <w:b/>
                <w:bCs/>
                <w:color w:val="000000"/>
                <w:sz w:val="18"/>
                <w:szCs w:val="18"/>
                <w:lang w:val="en-US" w:eastAsia="zh-CN"/>
              </w:rPr>
              <w:t>村级</w:t>
            </w:r>
            <w:r>
              <w:rPr>
                <w:rFonts w:hint="eastAsia" w:ascii="仿宋_GB2312" w:hAnsi="宋体" w:eastAsia="仿宋_GB2312"/>
                <w:b/>
                <w:bCs/>
                <w:color w:val="000000"/>
                <w:sz w:val="18"/>
                <w:szCs w:val="18"/>
              </w:rPr>
              <w:t>公示栏</w:t>
            </w:r>
          </w:p>
        </w:tc>
        <w:tc>
          <w:tcPr>
            <w:tcW w:w="72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c>
          <w:tcPr>
            <w:tcW w:w="709" w:type="dxa"/>
            <w:noWrap w:val="0"/>
            <w:vAlign w:val="center"/>
          </w:tcPr>
          <w:p>
            <w:pPr>
              <w:jc w:val="center"/>
              <w:rPr>
                <w:rFonts w:hint="eastAsia" w:ascii="仿宋_GB2312" w:hAnsi="宋体" w:eastAsia="仿宋_GB2312"/>
                <w:b/>
                <w:bCs/>
                <w:color w:val="000000"/>
                <w:sz w:val="18"/>
                <w:szCs w:val="18"/>
              </w:rPr>
            </w:pPr>
          </w:p>
        </w:tc>
        <w:tc>
          <w:tcPr>
            <w:tcW w:w="551"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c>
          <w:tcPr>
            <w:tcW w:w="720" w:type="dxa"/>
            <w:noWrap w:val="0"/>
            <w:vAlign w:val="center"/>
          </w:tcPr>
          <w:p>
            <w:pPr>
              <w:jc w:val="center"/>
              <w:rPr>
                <w:rFonts w:hint="eastAsia" w:ascii="仿宋_GB2312" w:hAnsi="宋体" w:eastAsia="仿宋_GB2312"/>
                <w:b/>
                <w:bCs/>
                <w:color w:val="000000"/>
                <w:sz w:val="18"/>
                <w:szCs w:val="18"/>
              </w:rPr>
            </w:pPr>
          </w:p>
        </w:tc>
        <w:tc>
          <w:tcPr>
            <w:tcW w:w="72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c>
          <w:tcPr>
            <w:tcW w:w="72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Times New Roman" w:hAnsi="Times New Roman" w:eastAsia="宋体"/>
                <w:b/>
                <w:bCs/>
                <w:color w:val="000000"/>
                <w:kern w:val="0"/>
                <w:sz w:val="16"/>
                <w:szCs w:val="16"/>
                <w:lang w:eastAsia="zh-CN"/>
              </w:rPr>
            </w:pPr>
            <w:r>
              <w:rPr>
                <w:rFonts w:hint="eastAsia" w:ascii="Times New Roman" w:hAnsi="Times New Roman"/>
                <w:b/>
                <w:bCs/>
                <w:color w:val="000000"/>
                <w:kern w:val="0"/>
                <w:sz w:val="16"/>
                <w:szCs w:val="16"/>
                <w:lang w:val="en-US" w:eastAsia="zh-CN"/>
              </w:rPr>
              <w:t>2</w:t>
            </w:r>
          </w:p>
        </w:tc>
        <w:tc>
          <w:tcPr>
            <w:tcW w:w="90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计划实施</w:t>
            </w:r>
          </w:p>
        </w:tc>
        <w:tc>
          <w:tcPr>
            <w:tcW w:w="126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任务分配</w:t>
            </w:r>
          </w:p>
        </w:tc>
        <w:tc>
          <w:tcPr>
            <w:tcW w:w="1980" w:type="dxa"/>
            <w:noWrap w:val="0"/>
            <w:vAlign w:val="center"/>
          </w:tcPr>
          <w:p>
            <w:pP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及时公开农村危房改造补助农户名单</w:t>
            </w:r>
          </w:p>
        </w:tc>
        <w:tc>
          <w:tcPr>
            <w:tcW w:w="1800" w:type="dxa"/>
            <w:noWrap w:val="0"/>
            <w:vAlign w:val="center"/>
          </w:tcPr>
          <w:p>
            <w:pPr>
              <w:widowControl/>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《住房城乡建设部 财政部 国务院扶贫办关于加强和完善建档立卡贫困户等重点对象农村危房改造若干问题的通知》等</w:t>
            </w:r>
          </w:p>
        </w:tc>
        <w:tc>
          <w:tcPr>
            <w:tcW w:w="1402" w:type="dxa"/>
            <w:noWrap w:val="0"/>
            <w:vAlign w:val="center"/>
          </w:tcPr>
          <w:p>
            <w:pPr>
              <w:widowControl/>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分配结果确定后20个工作日内</w:t>
            </w:r>
          </w:p>
        </w:tc>
        <w:tc>
          <w:tcPr>
            <w:tcW w:w="1440" w:type="dxa"/>
            <w:noWrap w:val="0"/>
            <w:vAlign w:val="center"/>
          </w:tcPr>
          <w:p>
            <w:pP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住房和城乡建设等相关职能部门</w:t>
            </w:r>
          </w:p>
        </w:tc>
        <w:tc>
          <w:tcPr>
            <w:tcW w:w="2018" w:type="dxa"/>
            <w:noWrap w:val="0"/>
            <w:vAlign w:val="center"/>
          </w:tcPr>
          <w:p>
            <w:pP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lang w:eastAsia="zh-CN"/>
              </w:rPr>
              <w:t>管委会</w:t>
            </w:r>
            <w:r>
              <w:rPr>
                <w:rFonts w:hint="eastAsia" w:ascii="仿宋_GB2312" w:hAnsi="宋体" w:eastAsia="仿宋_GB2312"/>
                <w:b/>
                <w:bCs/>
                <w:color w:val="000000"/>
                <w:sz w:val="18"/>
                <w:szCs w:val="18"/>
              </w:rPr>
              <w:t>公示栏</w:t>
            </w:r>
          </w:p>
        </w:tc>
        <w:tc>
          <w:tcPr>
            <w:tcW w:w="72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c>
          <w:tcPr>
            <w:tcW w:w="709" w:type="dxa"/>
            <w:noWrap w:val="0"/>
            <w:vAlign w:val="center"/>
          </w:tcPr>
          <w:p>
            <w:pPr>
              <w:jc w:val="center"/>
              <w:rPr>
                <w:rFonts w:hint="eastAsia" w:ascii="仿宋_GB2312" w:hAnsi="宋体" w:eastAsia="仿宋_GB2312"/>
                <w:b/>
                <w:bCs/>
                <w:color w:val="000000"/>
                <w:sz w:val="18"/>
                <w:szCs w:val="18"/>
              </w:rPr>
            </w:pPr>
          </w:p>
        </w:tc>
        <w:tc>
          <w:tcPr>
            <w:tcW w:w="551"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c>
          <w:tcPr>
            <w:tcW w:w="720" w:type="dxa"/>
            <w:noWrap w:val="0"/>
            <w:vAlign w:val="center"/>
          </w:tcPr>
          <w:p>
            <w:pPr>
              <w:jc w:val="center"/>
              <w:rPr>
                <w:rFonts w:hint="eastAsia" w:ascii="仿宋_GB2312" w:hAnsi="宋体" w:eastAsia="仿宋_GB2312"/>
                <w:b/>
                <w:bCs/>
                <w:color w:val="000000"/>
                <w:sz w:val="18"/>
                <w:szCs w:val="18"/>
              </w:rPr>
            </w:pPr>
          </w:p>
        </w:tc>
        <w:tc>
          <w:tcPr>
            <w:tcW w:w="720" w:type="dxa"/>
            <w:noWrap w:val="0"/>
            <w:vAlign w:val="center"/>
          </w:tcPr>
          <w:p>
            <w:pPr>
              <w:jc w:val="center"/>
              <w:rPr>
                <w:rFonts w:hint="eastAsia" w:ascii="仿宋_GB2312" w:hAnsi="宋体" w:eastAsia="仿宋_GB2312"/>
                <w:b/>
                <w:bCs/>
                <w:color w:val="000000"/>
                <w:sz w:val="18"/>
                <w:szCs w:val="18"/>
              </w:rPr>
            </w:pPr>
          </w:p>
          <w:p>
            <w:pPr>
              <w:jc w:val="center"/>
              <w:rPr>
                <w:rFonts w:hint="eastAsia" w:ascii="仿宋_GB2312" w:hAnsi="宋体" w:eastAsia="仿宋_GB2312"/>
                <w:b/>
                <w:bCs/>
                <w:color w:val="000000"/>
                <w:sz w:val="18"/>
                <w:szCs w:val="18"/>
              </w:rPr>
            </w:pPr>
          </w:p>
        </w:tc>
        <w:tc>
          <w:tcPr>
            <w:tcW w:w="720" w:type="dxa"/>
            <w:noWrap w:val="0"/>
            <w:vAlign w:val="center"/>
          </w:tcPr>
          <w:p>
            <w:pPr>
              <w:jc w:val="center"/>
              <w:rPr>
                <w:rFonts w:hint="eastAsia" w:ascii="仿宋_GB2312" w:hAnsi="宋体" w:eastAsia="仿宋_GB2312"/>
                <w:b/>
                <w:bCs/>
                <w:color w:val="000000"/>
                <w:sz w:val="18"/>
                <w:szCs w:val="18"/>
              </w:rPr>
            </w:pPr>
            <w:r>
              <w:rPr>
                <w:rFonts w:hint="eastAsia" w:ascii="仿宋_GB2312" w:hAnsi="宋体" w:eastAsia="仿宋_GB2312"/>
                <w:b/>
                <w:bCs/>
                <w:color w:val="000000"/>
                <w:sz w:val="18"/>
                <w:szCs w:val="18"/>
              </w:rPr>
              <w:t>√</w:t>
            </w:r>
          </w:p>
        </w:tc>
      </w:tr>
    </w:tbl>
    <w:p>
      <w:pPr>
        <w:jc w:val="center"/>
        <w:rPr>
          <w:rFonts w:ascii="仿宋_GB2312" w:hAnsi="Times New Roman" w:eastAsia="仿宋_GB2312"/>
          <w:b/>
          <w:bCs/>
          <w:sz w:val="18"/>
          <w:szCs w:val="18"/>
        </w:rPr>
      </w:pPr>
    </w:p>
    <w:p>
      <w:r>
        <w:rPr>
          <w:rFonts w:ascii="仿宋_GB2312" w:eastAsia="仿宋_GB2312"/>
          <w:b/>
          <w:bCs/>
          <w:sz w:val="18"/>
          <w:szCs w:val="18"/>
        </w:rPr>
        <w:br w:type="page"/>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6459C"/>
    <w:rsid w:val="21B6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2020-09-10T01:14:00Z</dcterms:created>
  <dc:creator>Administrator</dc:creator>
  <cp:lastModifiedBy>Administrator</cp:lastModifiedBy>
  <dcterms:modified xsi:type="dcterms:W3CDTF">2020-09-10T01:15:08Z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