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600" w:before="0" w:after="0"/>
        <w:ind w:right="0" w:firstLine="196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vertAlign w:val="baseline"/>
          <w:b w:val="0"/>
          <w:color w:val="auto"/>
          <w:position w:val="0"/>
          <w:sz w:val="30"/>
          <w:szCs w:val="30"/>
          <w:smallCaps w:val="0"/>
          <w:rFonts w:ascii="宋体" w:eastAsia="宋体" w:hAnsi="宋体" w:hint="default"/>
        </w:rPr>
        <w:t>危险废物经营许可证延续</w:t>
      </w:r>
      <w:r>
        <w:rPr>
          <w:spacing w:val="0"/>
          <w:vertAlign w:val="baseline"/>
          <w:color w:val="auto"/>
          <w:position w:val="0"/>
          <w:sz w:val="30"/>
          <w:szCs w:val="30"/>
          <w:smallCaps w:val="0"/>
          <w:rFonts w:ascii="宋体" w:eastAsia="宋体" w:hAnsi="宋体" w:hint="default"/>
        </w:rPr>
        <w:t>“一</w:t>
      </w: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458"/>
        <w:gridCol w:w="582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基本建设项目综合窗口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行政许可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法人、其他组织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398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1、《中华人民共和国固体废物污染环境防治法》第五十七条；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2、《危险废物经营许可证管理办法》第二条、第三条、第七条；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1、符合国家产业政策和城市或园区规划要求。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2、申请收集、贮存机动车维修产生的废矿物油类危险废物经营许可证的企事业单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8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危险废物经营许可证申请报告。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环境影响评价报告书（报告表）批复及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“三同时”验收报告。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工商营业执照原件和复印件、注册资本证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明文件及复印件（经核对无误后，原件退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回申请单位，复印件留存）。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4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单位内部环境保护、安全管理制度有关原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件及复印件（经核对无误后，原件退回申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请单位，复印件留存）。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5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单位突发环境事件应急预案。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是 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8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建设单位提出申请→环保部门进行材料审查→材料齐全受理→环保部门对危险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废物经营单位现场核查→现场符合要求（或经整改符合要求）→发放危险废物经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营许可证。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20个工作日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54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0537-6239082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45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517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  <w:autoSpaceDE w:val="1"/>
        <w:autoSpaceDN w:val="1"/>
      </w:pP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1</Lines>
  <LinksUpToDate>false</LinksUpToDate>
  <Pages>1</Pages>
  <Paragraphs>1</Paragraphs>
  <Words>39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2018-09-28T07:32:00Z</dcterms:modified>
</cp:coreProperties>
</file>