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ocument.xml" ContentType="application/vnd.openxmlformats-officedocument.wordprocessingml.document.main+xml"/>
  <Override PartName="/word/fontTable.xml" ContentType="application/vnd.openxmlformats-officedocument.wordprocessingml.fontTable+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Relationship Id="rId2" Type="http://schemas.openxmlformats.org/officeDocument/2006/relationships/extended-properties" Target="docProps/app.xml"></Relationship><Relationship Id="rId3" Type="http://schemas.openxmlformats.org/officeDocument/2006/relationships/officeDocument" Target="word/document.xml"></Relationship></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p14="http://schemas.microsoft.com/office/word/2010/wordprocessingDrawing" xmlns:w10="urn:schemas-microsoft-com:office:word" xmlns:w="http://schemas.openxmlformats.org/wordprocessingml/2006/main" xmlns:wpg="http://schemas.microsoft.com/office/word/2010/wordprocessingGroup" xmlns:wne="http://schemas.microsoft.com/office/word/2006/wordml" xmlns:wps="http://schemas.microsoft.com/office/word/2010/wordprocessingShape" xmlns:wpc="http://schemas.microsoft.com/office/word/2010/wordprocessingCanvas" xmlns:mc="http://schemas.openxmlformats.org/markup-compatibility/2006" xmlns:w14="http://schemas.microsoft.com/office/word/2010/wordml" xmlns:wpi="http://schemas.microsoft.com/office/word/2010/wordprocessingInk" mc:Ignorable="w14 wp14">
  <w:body>
    <w:p>
      <w:pPr>
        <w:numPr>
          <w:ilvl w:val="0"/>
          <w:numId w:val="0"/>
        </w:numPr>
        <w:jc w:val="both"/>
        <w:spacing w:lineRule="auto" w:line="240" w:before="0" w:after="0"/>
        <w:ind w:right="0" w:firstLine="0"/>
        <w:rPr>
          <w:color w:val="auto"/>
          <w:position w:val="0"/>
          <w:sz w:val="21"/>
          <w:szCs w:val="21"/>
          <w:rFonts w:ascii="Calibri" w:eastAsia="宋体" w:hAnsi="宋体" w:hint="default"/>
        </w:rPr>
        <w:autoSpaceDE w:val="1"/>
        <w:autoSpaceDN w:val="1"/>
      </w:pPr>
    </w:p>
    <w:p>
      <w:pPr>
        <w:numPr>
          <w:ilvl w:val="0"/>
          <w:numId w:val="0"/>
        </w:numPr>
        <w:jc w:val="center"/>
        <w:spacing w:lineRule="exact" w:line="560" w:before="0" w:after="160"/>
        <w:ind w:right="0" w:firstLine="560"/>
        <w:rPr>
          <w:color w:val="000000"/>
          <w:position w:val="0"/>
          <w:sz w:val="28"/>
          <w:szCs w:val="28"/>
          <w:shd w:val="clear" w:color="000000" w:fill="FFFFFF"/>
          <w:rFonts w:ascii="仿宋_GB2312" w:eastAsia="仿宋_GB2312" w:hAnsi="仿宋_GB2312" w:hint="default"/>
        </w:rPr>
        <w:autoSpaceDE w:val="1"/>
        <w:autoSpaceDN w:val="1"/>
      </w:pPr>
      <w:r>
        <w:rPr>
          <w:color w:val="auto"/>
          <w:position w:val="0"/>
          <w:sz w:val="30"/>
          <w:szCs w:val="30"/>
          <w:rFonts w:ascii="宋体" w:eastAsia="宋体" w:hAnsi="宋体" w:hint="default"/>
        </w:rPr>
        <w:t>暂停使用防治设施“一次办好”服务指南</w:t>
      </w:r>
    </w:p>
    <w:tbl>
      <w:tblID w:val="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top w:w="0" w:type="dxa"/>
          <w:right w:w="108" w:type="dxa"/>
          <w:bottom w:w="0" w:type="dxa"/>
        </w:tblCellMar>
        <w:tblW w:w="8975" w:type="dxa"/>
        <w:jc w:val="center"/>
        <w:tblLook w:val="000000" w:firstRow="0" w:lastRow="0" w:firstColumn="0" w:lastColumn="0" w:noHBand="0" w:noVBand="0"/>
        <w:tblLayout w:type="fixed"/>
      </w:tblPr>
      <w:tblGrid>
        <w:gridCol w:w="1523"/>
        <w:gridCol w:w="517"/>
        <w:gridCol w:w="1966"/>
        <w:gridCol w:w="1188"/>
        <w:gridCol w:w="1051"/>
        <w:gridCol w:w="901"/>
        <w:gridCol w:w="900"/>
        <w:gridCol w:w="929"/>
      </w:tblGrid>
      <w:tr>
        <w:trPr>
          <w:cnfStyle w:val="000000100000" w:firstRow="0" w:lastRow="0" w:firstColumn="0" w:lastColumn="0" w:oddVBand="0" w:evenVBand="0" w:oddHBand="1" w:evenHBand="0" w:firstRowFirstColumn="0" w:firstRowLastColumn="0" w:lastRowFirstColumn="0" w:lastRowLastColumn="0"/>
          <w:trHeight w:hRule="atleast" w:val="106"/>
          <w:hidden w:val="0"/>
        </w:trPr>
        <w:tc>
          <w:tcPr>
            <w:tcW w:type="dxa" w:w="1523"/>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受理窗口</w:t>
            </w:r>
          </w:p>
        </w:tc>
        <w:tc>
          <w:tcPr>
            <w:tcW w:type="dxa" w:w="7452"/>
            <w:cnfStyle w:val="000001100000" w:firstRow="0" w:lastRow="0" w:firstColumn="0" w:lastColumn="0" w:oddVBand="0" w:evenVBand="1" w:oddHBand="1" w:evenHBand="0" w:firstRowFirstColumn="0" w:firstRowLastColumn="0" w:lastRowFirstColumn="0" w:lastRowLastColumn="0"/>
            <w:vAlign w:val="center"/>
            <w:gridSpan w:val="7"/>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基本建设项目综合窗口</w:t>
            </w:r>
          </w:p>
        </w:tc>
      </w:tr>
      <w:tr>
        <w:trPr>
          <w:cnfStyle w:val="000000010000" w:firstRow="0" w:lastRow="0" w:firstColumn="0" w:lastColumn="0" w:oddVBand="0" w:evenVBand="0" w:oddHBand="0" w:evenHBand="1" w:firstRowFirstColumn="0" w:firstRowLastColumn="0" w:lastRowFirstColumn="0" w:lastRowLastColumn="0"/>
          <w:trHeight w:hRule="atleast" w:val="69"/>
          <w:hidden w:val="0"/>
        </w:trPr>
        <w:tc>
          <w:tcPr>
            <w:tcW w:type="dxa" w:w="1523"/>
            <w:cnfStyle w:val="000010010000" w:firstRow="0" w:lastRow="0" w:firstColumn="0" w:lastColumn="0" w:oddVBand="1" w:evenVBand="0" w:oddHBand="0" w:evenHBand="1" w:firstRowFirstColumn="0" w:firstRowLastColumn="0" w:lastRowFirstColumn="0" w:lastRowLastColumn="0"/>
            <w:vAlign w:val="center"/>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事项类型</w:t>
            </w:r>
          </w:p>
        </w:tc>
        <w:tc>
          <w:tcPr>
            <w:tcW w:type="dxa" w:w="7452"/>
            <w:cnfStyle w:val="000001010000" w:firstRow="0" w:lastRow="0" w:firstColumn="0" w:lastColumn="0" w:oddVBand="0" w:evenVBand="1" w:oddHBand="0" w:evenHBand="1" w:firstRowFirstColumn="0" w:firstRowLastColumn="0" w:lastRowFirstColumn="0" w:lastRowLastColumn="0"/>
            <w:vAlign w:val="center"/>
            <w:gridSpan w:val="7"/>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行政许可事项</w:t>
            </w:r>
          </w:p>
        </w:tc>
      </w:tr>
      <w:tr>
        <w:trPr>
          <w:cnfStyle w:val="000000100000" w:firstRow="0" w:lastRow="0" w:firstColumn="0" w:lastColumn="0" w:oddVBand="0" w:evenVBand="0" w:oddHBand="1" w:evenHBand="0" w:firstRowFirstColumn="0" w:firstRowLastColumn="0" w:lastRowFirstColumn="0" w:lastRowLastColumn="0"/>
          <w:trHeight w:hRule="atleast" w:val="69"/>
          <w:hidden w:val="0"/>
        </w:trPr>
        <w:tc>
          <w:tcPr>
            <w:tcW w:type="dxa" w:w="1523"/>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办理对象</w:t>
            </w:r>
          </w:p>
        </w:tc>
        <w:tc>
          <w:tcPr>
            <w:tcW w:type="dxa" w:w="7452"/>
            <w:cnfStyle w:val="000001100000" w:firstRow="0" w:lastRow="0" w:firstColumn="0" w:lastColumn="0" w:oddVBand="0" w:evenVBand="1" w:oddHBand="1" w:evenHBand="0" w:firstRowFirstColumn="0" w:firstRowLastColumn="0" w:lastRowFirstColumn="0" w:lastRowLastColumn="0"/>
            <w:vAlign w:val="center"/>
            <w:gridSpan w:val="7"/>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法人、其他组织</w:t>
            </w:r>
          </w:p>
        </w:tc>
      </w:tr>
      <w:tr>
        <w:trPr>
          <w:cnfStyle w:val="000000010000" w:firstRow="0" w:lastRow="0" w:firstColumn="0" w:lastColumn="0" w:oddVBand="0" w:evenVBand="0" w:oddHBand="0" w:evenHBand="1" w:firstRowFirstColumn="0" w:firstRowLastColumn="0" w:lastRowFirstColumn="0" w:lastRowLastColumn="0"/>
          <w:trHeight w:hRule="atleast" w:val="3982"/>
          <w:hidden w:val="0"/>
        </w:trPr>
        <w:tc>
          <w:tcPr>
            <w:tcW w:type="dxa" w:w="1523"/>
            <w:cnfStyle w:val="000010010000" w:firstRow="0" w:lastRow="0" w:firstColumn="0" w:lastColumn="0" w:oddVBand="1" w:evenVBand="0" w:oddHBand="0" w:evenHBand="1" w:firstRowFirstColumn="0" w:firstRowLastColumn="0" w:lastRowFirstColumn="0" w:lastRowLastColumn="0"/>
            <w:vAlign w:val="center"/>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政策依据</w:t>
            </w:r>
          </w:p>
        </w:tc>
        <w:tc>
          <w:tcPr>
            <w:tcW w:type="dxa" w:w="7452"/>
            <w:cnfStyle w:val="000001010000" w:firstRow="0" w:lastRow="0" w:firstColumn="0" w:lastColumn="0" w:oddVBand="0" w:evenVBand="1" w:oddHBand="0" w:evenHBand="1" w:firstRowFirstColumn="0" w:firstRowLastColumn="0" w:lastRowFirstColumn="0" w:lastRowLastColumn="0"/>
            <w:vAlign w:val="center"/>
            <w:gridSpan w:val="7"/>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1.《中华人民共和国环境保护法》第四十一条：建设项目中防治污染的设施，应</w:t>
            </w:r>
            <w:r>
              <w:rPr>
                <w:color w:val="auto"/>
                <w:position w:val="0"/>
                <w:sz w:val="21"/>
                <w:szCs w:val="21"/>
                <w:rFonts w:ascii="宋体" w:eastAsia="宋体" w:hAnsi="宋体" w:hint="default"/>
              </w:rPr>
              <w:t>当与主体工程同时设计、同时施工、同时投产使用。防治污染的设施应当符合经</w:t>
            </w:r>
            <w:r>
              <w:rPr>
                <w:color w:val="auto"/>
                <w:position w:val="0"/>
                <w:sz w:val="21"/>
                <w:szCs w:val="21"/>
                <w:rFonts w:ascii="宋体" w:eastAsia="宋体" w:hAnsi="宋体" w:hint="default"/>
              </w:rPr>
              <w:t>批准的环境影响评价文件的要求，不得擅自拆除或者闲置。</w:t>
            </w:r>
          </w:p>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2.《中华人民共和国固体废物污染环境防治法》第三十四条：禁止擅自关闭、闲</w:t>
            </w:r>
            <w:r>
              <w:rPr>
                <w:color w:val="auto"/>
                <w:position w:val="0"/>
                <w:sz w:val="21"/>
                <w:szCs w:val="21"/>
                <w:rFonts w:ascii="宋体" w:eastAsia="宋体" w:hAnsi="宋体" w:hint="default"/>
              </w:rPr>
              <w:t>置或者拆除工业固体废物污染环境防治设施、场所；确有必要关闭、闲置或者拆</w:t>
            </w:r>
            <w:r>
              <w:rPr>
                <w:color w:val="auto"/>
                <w:position w:val="0"/>
                <w:sz w:val="21"/>
                <w:szCs w:val="21"/>
                <w:rFonts w:ascii="宋体" w:eastAsia="宋体" w:hAnsi="宋体" w:hint="default"/>
              </w:rPr>
              <w:t>除的，必须经所在地县级以上地方人民政府环境保护行政主管部门核准，并采取</w:t>
            </w:r>
            <w:r>
              <w:rPr>
                <w:color w:val="auto"/>
                <w:position w:val="0"/>
                <w:sz w:val="21"/>
                <w:szCs w:val="21"/>
                <w:rFonts w:ascii="宋体" w:eastAsia="宋体" w:hAnsi="宋体" w:hint="default"/>
              </w:rPr>
              <w:t>措施，防止污染环境。</w:t>
            </w:r>
          </w:p>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3．《中华人民共和国环境噪声污染防治法》第十五条：产生环境噪声污染的</w:t>
            </w:r>
            <w:r>
              <w:rPr>
                <w:color w:val="auto"/>
                <w:position w:val="0"/>
                <w:sz w:val="21"/>
                <w:szCs w:val="21"/>
                <w:rFonts w:ascii="宋体" w:eastAsia="宋体" w:hAnsi="宋体" w:hint="default"/>
              </w:rPr>
              <w:t>企业事业单位，必须保持防治环境噪声污染的设施的正常使用；拆除或者闲置环</w:t>
            </w:r>
            <w:r>
              <w:rPr>
                <w:color w:val="auto"/>
                <w:position w:val="0"/>
                <w:sz w:val="21"/>
                <w:szCs w:val="21"/>
                <w:rFonts w:ascii="宋体" w:eastAsia="宋体" w:hAnsi="宋体" w:hint="default"/>
              </w:rPr>
              <w:t>境噪声污染防治设施的，必须事先报经所在地的县级以上地方人民政府环境保</w:t>
            </w:r>
            <w:r>
              <w:rPr>
                <w:color w:val="auto"/>
                <w:position w:val="0"/>
                <w:sz w:val="21"/>
                <w:szCs w:val="21"/>
                <w:rFonts w:ascii="宋体" w:eastAsia="宋体" w:hAnsi="宋体" w:hint="default"/>
              </w:rPr>
              <w:t>护行政主管部门批准。</w:t>
            </w:r>
          </w:p>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p>
        </w:tc>
      </w:tr>
      <w:tr>
        <w:trPr>
          <w:cnfStyle w:val="000000100000" w:firstRow="0" w:lastRow="0" w:firstColumn="0" w:lastColumn="0" w:oddVBand="0" w:evenVBand="0" w:oddHBand="1" w:evenHBand="0" w:firstRowFirstColumn="0" w:firstRowLastColumn="0" w:lastRowFirstColumn="0" w:lastRowLastColumn="0"/>
          <w:trHeight w:hRule="atleast" w:val="1334"/>
          <w:hidden w:val="0"/>
        </w:trPr>
        <w:tc>
          <w:tcPr>
            <w:tcW w:type="dxa" w:w="1523"/>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受理条件</w:t>
            </w:r>
          </w:p>
        </w:tc>
        <w:tc>
          <w:tcPr>
            <w:tcW w:type="dxa" w:w="7452"/>
            <w:cnfStyle w:val="000001100000" w:firstRow="0" w:lastRow="0" w:firstColumn="0" w:lastColumn="0" w:oddVBand="0" w:evenVBand="1" w:oddHBand="1" w:evenHBand="0" w:firstRowFirstColumn="0" w:firstRowLastColumn="0" w:lastRowFirstColumn="0" w:lastRowLastColumn="0"/>
            <w:vAlign w:val="center"/>
            <w:gridSpan w:val="7"/>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1.有合法的建设项目环境影响报告（表）书或环境影响登记表的批准手续；</w:t>
            </w:r>
          </w:p>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2.已通过建设项目竣工环境保护验收；</w:t>
            </w:r>
          </w:p>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3.生产工艺变动或者生产结构调整，不再排放相关污染物的；</w:t>
            </w:r>
          </w:p>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4.生产工艺变动或者生产结构调整，污染物排放不经该污染处理设施、场所的处</w:t>
            </w:r>
            <w:r>
              <w:rPr>
                <w:color w:val="auto"/>
                <w:position w:val="0"/>
                <w:sz w:val="21"/>
                <w:szCs w:val="21"/>
                <w:rFonts w:ascii="宋体" w:eastAsia="宋体" w:hAnsi="宋体" w:hint="default"/>
              </w:rPr>
              <w:t>理即可达到国家和地方规定标准的；</w:t>
            </w:r>
          </w:p>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5.以新的污染防治设施、场所替代原有污染防治设施、场所的；</w:t>
            </w:r>
          </w:p>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6.水污染物排放方式由直接排入水环境改为经污水管网排入污水处理厂，且符</w:t>
            </w:r>
            <w:r>
              <w:rPr>
                <w:color w:val="auto"/>
                <w:position w:val="0"/>
                <w:sz w:val="21"/>
                <w:szCs w:val="21"/>
                <w:rFonts w:ascii="宋体" w:eastAsia="宋体" w:hAnsi="宋体" w:hint="default"/>
              </w:rPr>
              <w:t>合排入污水处理厂的相关规定。</w:t>
            </w:r>
          </w:p>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p>
        </w:tc>
      </w:tr>
      <w:tr>
        <w:trPr>
          <w:cnfStyle w:val="000000010000" w:firstRow="0" w:lastRow="0" w:firstColumn="0" w:lastColumn="0" w:oddVBand="0" w:evenVBand="0" w:oddHBand="0" w:evenHBand="1" w:firstRowFirstColumn="0" w:firstRowLastColumn="0" w:lastRowFirstColumn="0" w:lastRowLastColumn="0"/>
          <w:trHeight w:hRule="atleast" w:val="214"/>
          <w:hidden w:val="0"/>
        </w:trPr>
        <w:tc>
          <w:tcPr>
            <w:tcW w:type="dxa" w:w="1523"/>
            <w:cnfStyle w:val="000010010000" w:firstRow="0" w:lastRow="0" w:firstColumn="0" w:lastColumn="0" w:oddVBand="1" w:evenVBand="0" w:oddHBand="0" w:evenHBand="1" w:firstRowFirstColumn="0" w:firstRowLastColumn="0" w:lastRowFirstColumn="0" w:lastRowLastColumn="0"/>
            <w:vAlign w:val="center"/>
            <w:vMerge w:val="restart"/>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受理材料名称</w:t>
            </w:r>
          </w:p>
        </w:tc>
        <w:tc>
          <w:tcPr>
            <w:tcW w:type="dxa" w:w="517"/>
            <w:cnfStyle w:val="000001010000" w:firstRow="0" w:lastRow="0" w:firstColumn="0" w:lastColumn="0" w:oddVBand="0" w:evenVBand="1" w:oddHBand="0" w:evenHBand="1" w:firstRowFirstColumn="0" w:firstRowLastColumn="0" w:lastRowFirstColumn="0" w:lastRowLastColumn="0"/>
            <w:vAlign w:val="center"/>
          </w:tcPr>
          <w:p>
            <w:pPr>
              <w:numPr>
                <w:ilvl w:val="0"/>
                <w:numId w:val="0"/>
              </w:numPr>
              <w:jc w:val="center"/>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序</w:t>
            </w:r>
            <w:r>
              <w:rPr>
                <w:color w:val="auto"/>
                <w:position w:val="0"/>
                <w:sz w:val="21"/>
                <w:szCs w:val="21"/>
                <w:rFonts w:ascii="宋体" w:eastAsia="宋体" w:hAnsi="宋体" w:hint="default"/>
              </w:rPr>
              <w:t>号</w:t>
            </w:r>
          </w:p>
        </w:tc>
        <w:tc>
          <w:tcPr>
            <w:tcW w:type="dxa" w:w="4205"/>
            <w:cnfStyle w:val="000010010000" w:firstRow="0" w:lastRow="0" w:firstColumn="0" w:lastColumn="0" w:oddVBand="1" w:evenVBand="0" w:oddHBand="0" w:evenHBand="1" w:firstRowFirstColumn="0" w:firstRowLastColumn="0" w:lastRowFirstColumn="0" w:lastRowLastColumn="0"/>
            <w:vAlign w:val="center"/>
            <w:gridSpan w:val="3"/>
          </w:tcPr>
          <w:p>
            <w:pPr>
              <w:numPr>
                <w:ilvl w:val="0"/>
                <w:numId w:val="0"/>
              </w:numPr>
              <w:jc w:val="center"/>
              <w:spacing w:lineRule="exact" w:line="36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材料名称</w:t>
            </w:r>
          </w:p>
        </w:tc>
        <w:tc>
          <w:tcPr>
            <w:tcW w:type="dxa" w:w="901"/>
            <w:cnfStyle w:val="000001010000" w:firstRow="0" w:lastRow="0" w:firstColumn="0" w:lastColumn="0" w:oddVBand="0" w:evenVBand="1" w:oddHBand="0" w:evenHBand="1" w:firstRowFirstColumn="0" w:firstRowLastColumn="0" w:lastRowFirstColumn="0" w:lastRowLastColumn="0"/>
            <w:vAlign w:val="center"/>
          </w:tcPr>
          <w:p>
            <w:pPr>
              <w:numPr>
                <w:ilvl w:val="0"/>
                <w:numId w:val="0"/>
              </w:numPr>
              <w:jc w:val="center"/>
              <w:spacing w:lineRule="exact" w:line="36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是否必</w:t>
            </w:r>
            <w:r>
              <w:rPr>
                <w:color w:val="auto"/>
                <w:position w:val="0"/>
                <w:sz w:val="21"/>
                <w:szCs w:val="21"/>
                <w:rFonts w:ascii="宋体" w:eastAsia="宋体" w:hAnsi="宋体" w:hint="default"/>
              </w:rPr>
              <w:t>须</w:t>
            </w:r>
          </w:p>
        </w:tc>
        <w:tc>
          <w:tcPr>
            <w:tcW w:type="dxa" w:w="900"/>
            <w:cnfStyle w:val="000010010000" w:firstRow="0" w:lastRow="0" w:firstColumn="0" w:lastColumn="0" w:oddVBand="1" w:evenVBand="0" w:oddHBand="0" w:evenHBand="1" w:firstRowFirstColumn="0" w:firstRowLastColumn="0" w:lastRowFirstColumn="0" w:lastRowLastColumn="0"/>
            <w:vAlign w:val="center"/>
          </w:tcPr>
          <w:p>
            <w:pPr>
              <w:numPr>
                <w:ilvl w:val="0"/>
                <w:numId w:val="0"/>
              </w:numPr>
              <w:jc w:val="center"/>
              <w:spacing w:lineRule="exact" w:line="36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份数</w:t>
            </w:r>
          </w:p>
        </w:tc>
        <w:tc>
          <w:tcPr>
            <w:tcW w:type="dxa" w:w="929"/>
            <w:cnfStyle w:val="000001010000" w:firstRow="0" w:lastRow="0" w:firstColumn="0" w:lastColumn="0" w:oddVBand="0" w:evenVBand="1" w:oddHBand="0" w:evenHBand="1" w:firstRowFirstColumn="0" w:firstRowLastColumn="0" w:lastRowFirstColumn="0" w:lastRowLastColumn="0"/>
            <w:vAlign w:val="center"/>
          </w:tcPr>
          <w:p>
            <w:pPr>
              <w:numPr>
                <w:ilvl w:val="0"/>
                <w:numId w:val="0"/>
              </w:numPr>
              <w:jc w:val="center"/>
              <w:spacing w:lineRule="exact" w:line="36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是否需</w:t>
            </w:r>
            <w:r>
              <w:rPr>
                <w:color w:val="auto"/>
                <w:position w:val="0"/>
                <w:sz w:val="21"/>
                <w:szCs w:val="21"/>
                <w:rFonts w:ascii="宋体" w:eastAsia="宋体" w:hAnsi="宋体" w:hint="default"/>
              </w:rPr>
              <w:t>要电子</w:t>
            </w:r>
            <w:r>
              <w:rPr>
                <w:color w:val="auto"/>
                <w:position w:val="0"/>
                <w:sz w:val="21"/>
                <w:szCs w:val="21"/>
                <w:rFonts w:ascii="宋体" w:eastAsia="宋体" w:hAnsi="宋体" w:hint="default"/>
              </w:rPr>
              <w:t>版</w:t>
            </w:r>
          </w:p>
        </w:tc>
      </w:tr>
      <w:tr>
        <w:trPr>
          <w:cnfStyle w:val="000000100000" w:firstRow="0" w:lastRow="0" w:firstColumn="0" w:lastColumn="0" w:oddVBand="0" w:evenVBand="0" w:oddHBand="1" w:evenHBand="0" w:firstRowFirstColumn="0" w:firstRowLastColumn="0" w:lastRowFirstColumn="0" w:lastRowLastColumn="0"/>
          <w:trHeight w:hRule="atleast" w:val="214"/>
          <w:hidden w:val="0"/>
        </w:trPr>
        <w:tc>
          <w:tcPr>
            <w:tcW w:type="dxa" w:w="1523"/>
            <w:cnfStyle w:val="000010010000" w:firstRow="0" w:lastRow="0" w:firstColumn="0" w:lastColumn="0" w:oddVBand="1" w:evenVBand="0" w:oddHBand="0" w:evenHBand="1" w:firstRowFirstColumn="0" w:firstRowLastColumn="0" w:lastRowFirstColumn="0" w:lastRowLastColumn="0"/>
            <w:vAlign w:val="center"/>
            <w:vMerge/>
          </w:tcPr>
          <w:p/>
        </w:tc>
        <w:tc>
          <w:tcPr>
            <w:tcW w:type="dxa" w:w="517"/>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1</w:t>
            </w:r>
          </w:p>
        </w:tc>
        <w:tc>
          <w:tcPr>
            <w:tcW w:type="dxa" w:w="4205"/>
            <w:cnfStyle w:val="000001100000" w:firstRow="0" w:lastRow="0" w:firstColumn="0" w:lastColumn="0" w:oddVBand="0" w:evenVBand="1" w:oddHBand="1" w:evenHBand="0" w:firstRowFirstColumn="0" w:firstRowLastColumn="0" w:lastRowFirstColumn="0" w:lastRowLastColumn="0"/>
            <w:vAlign w:val="top"/>
            <w:gridSpan w:val="3"/>
          </w:tcPr>
          <w:p>
            <w:pPr>
              <w:numPr>
                <w:ilvl w:val="0"/>
                <w:numId w:val="0"/>
              </w:numPr>
              <w:jc w:val="left"/>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申请防治污染设施的暂停使用，应当向环</w:t>
            </w:r>
            <w:r>
              <w:rPr>
                <w:color w:val="auto"/>
                <w:position w:val="0"/>
                <w:sz w:val="21"/>
                <w:szCs w:val="21"/>
                <w:rFonts w:ascii="宋体" w:eastAsia="宋体" w:hAnsi="宋体" w:hint="default"/>
              </w:rPr>
              <w:t>保局提交申请报告，内容包括企业的生产</w:t>
            </w:r>
            <w:r>
              <w:rPr>
                <w:color w:val="auto"/>
                <w:position w:val="0"/>
                <w:sz w:val="21"/>
                <w:szCs w:val="21"/>
                <w:rFonts w:ascii="宋体" w:eastAsia="宋体" w:hAnsi="宋体" w:hint="default"/>
              </w:rPr>
              <w:t>经营情况，暂停使用防治污染设施的原因</w:t>
            </w:r>
            <w:r>
              <w:rPr>
                <w:color w:val="auto"/>
                <w:position w:val="0"/>
                <w:sz w:val="21"/>
                <w:szCs w:val="21"/>
                <w:rFonts w:ascii="宋体" w:eastAsia="宋体" w:hAnsi="宋体" w:hint="default"/>
              </w:rPr>
              <w:t>及暂停防治污染设施后采取的措施。</w:t>
            </w:r>
          </w:p>
          <w:p>
            <w:pPr>
              <w:numPr>
                <w:ilvl w:val="0"/>
                <w:numId w:val="0"/>
              </w:numPr>
              <w:jc w:val="center"/>
              <w:spacing w:lineRule="exact" w:line="360" w:before="0" w:after="0"/>
              <w:ind w:right="0" w:firstLine="0"/>
              <w:rPr>
                <w:color w:val="auto"/>
                <w:position w:val="0"/>
                <w:sz w:val="21"/>
                <w:szCs w:val="21"/>
                <w:rFonts w:ascii="宋体" w:eastAsia="宋体" w:hAnsi="宋体" w:hint="default"/>
              </w:rPr>
              <w:autoSpaceDE w:val="1"/>
              <w:autoSpaceDN w:val="1"/>
            </w:pPr>
          </w:p>
        </w:tc>
        <w:tc>
          <w:tcPr>
            <w:tcW w:type="dxa" w:w="901"/>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center"/>
              <w:spacing w:lineRule="exact" w:line="36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是</w:t>
            </w:r>
          </w:p>
        </w:tc>
        <w:tc>
          <w:tcPr>
            <w:tcW w:type="dxa" w:w="900"/>
            <w:cnfStyle w:val="000001100000" w:firstRow="0" w:lastRow="0" w:firstColumn="0" w:lastColumn="0" w:oddVBand="0" w:evenVBand="1" w:oddHBand="1" w:evenHBand="0" w:firstRowFirstColumn="0" w:firstRowLastColumn="0" w:lastRowFirstColumn="0" w:lastRowLastColumn="0"/>
            <w:vAlign w:val="center"/>
          </w:tcPr>
          <w:p>
            <w:pPr>
              <w:numPr>
                <w:ilvl w:val="0"/>
                <w:numId w:val="0"/>
              </w:numPr>
              <w:jc w:val="center"/>
              <w:spacing w:lineRule="exact" w:line="36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1</w:t>
            </w:r>
          </w:p>
        </w:tc>
        <w:tc>
          <w:tcPr>
            <w:tcW w:type="dxa" w:w="929"/>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center"/>
              <w:spacing w:lineRule="exact" w:line="36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是</w:t>
            </w:r>
          </w:p>
        </w:tc>
      </w:tr>
      <w:tr>
        <w:trPr>
          <w:cnfStyle w:val="000000010000" w:firstRow="0" w:lastRow="0" w:firstColumn="0" w:lastColumn="0" w:oddVBand="0" w:evenVBand="0" w:oddHBand="0" w:evenHBand="1" w:firstRowFirstColumn="0" w:firstRowLastColumn="0" w:lastRowFirstColumn="0" w:lastRowLastColumn="0"/>
          <w:trHeight w:hRule="atleast" w:val="69"/>
          <w:hidden w:val="0"/>
        </w:trPr>
        <w:tc>
          <w:tcPr>
            <w:tcW w:type="dxa" w:w="1523"/>
            <w:cnfStyle w:val="000010010000" w:firstRow="0" w:lastRow="0" w:firstColumn="0" w:lastColumn="0" w:oddVBand="1" w:evenVBand="0" w:oddHBand="0" w:evenHBand="1" w:firstRowFirstColumn="0" w:firstRowLastColumn="0" w:lastRowFirstColumn="0" w:lastRowLastColumn="0"/>
            <w:vAlign w:val="center"/>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办理程序</w:t>
            </w:r>
          </w:p>
        </w:tc>
        <w:tc>
          <w:tcPr>
            <w:tcW w:type="dxa" w:w="7452"/>
            <w:cnfStyle w:val="000001010000" w:firstRow="0" w:lastRow="0" w:firstColumn="0" w:lastColumn="0" w:oddVBand="0" w:evenVBand="1" w:oddHBand="0" w:evenHBand="1" w:firstRowFirstColumn="0" w:firstRowLastColumn="0" w:lastRowFirstColumn="0" w:lastRowLastColumn="0"/>
            <w:vAlign w:val="center"/>
            <w:gridSpan w:val="7"/>
          </w:tcPr>
          <w:p>
            <w:pPr>
              <w:numPr>
                <w:ilvl w:val="0"/>
                <w:numId w:val="0"/>
              </w:numPr>
              <w:jc w:val="left"/>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建设单位提出申请→提交暂停使用防治设施申请资料→环保部门受理→现场检</w:t>
            </w:r>
            <w:r>
              <w:rPr>
                <w:color w:val="auto"/>
                <w:position w:val="0"/>
                <w:sz w:val="21"/>
                <w:szCs w:val="21"/>
                <w:rFonts w:ascii="宋体" w:eastAsia="宋体" w:hAnsi="宋体" w:hint="default"/>
              </w:rPr>
              <w:t>查→作出行政许可决定</w:t>
            </w:r>
          </w:p>
        </w:tc>
      </w:tr>
      <w:tr>
        <w:trPr>
          <w:cnfStyle w:val="000000100000" w:firstRow="0" w:lastRow="0" w:firstColumn="0" w:lastColumn="0" w:oddVBand="0" w:evenVBand="0" w:oddHBand="1" w:evenHBand="0" w:firstRowFirstColumn="0" w:firstRowLastColumn="0" w:lastRowFirstColumn="0" w:lastRowLastColumn="0"/>
          <w:trHeight w:hRule="atleast" w:val="69"/>
          <w:hidden w:val="0"/>
        </w:trPr>
        <w:tc>
          <w:tcPr>
            <w:tcW w:type="dxa" w:w="1523"/>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法定期限</w:t>
            </w:r>
          </w:p>
        </w:tc>
        <w:tc>
          <w:tcPr>
            <w:tcW w:type="dxa" w:w="7452"/>
            <w:cnfStyle w:val="000001100000" w:firstRow="0" w:lastRow="0" w:firstColumn="0" w:lastColumn="0" w:oddVBand="0" w:evenVBand="1" w:oddHBand="1" w:evenHBand="0" w:firstRowFirstColumn="0" w:firstRowLastColumn="0" w:lastRowFirstColumn="0" w:lastRowLastColumn="0"/>
            <w:vAlign w:val="center"/>
            <w:gridSpan w:val="7"/>
          </w:tcPr>
          <w:p>
            <w:pPr>
              <w:numPr>
                <w:ilvl w:val="0"/>
                <w:numId w:val="0"/>
              </w:numPr>
              <w:jc w:val="left"/>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5个工作日</w:t>
            </w:r>
          </w:p>
        </w:tc>
      </w:tr>
      <w:tr>
        <w:trPr>
          <w:cnfStyle w:val="000000010000" w:firstRow="0" w:lastRow="0" w:firstColumn="0" w:lastColumn="0" w:oddVBand="0" w:evenVBand="0" w:oddHBand="0" w:evenHBand="1" w:firstRowFirstColumn="0" w:firstRowLastColumn="0" w:lastRowFirstColumn="0" w:lastRowLastColumn="0"/>
          <w:trHeight w:hRule="atleast" w:val="69"/>
          <w:hidden w:val="0"/>
        </w:trPr>
        <w:tc>
          <w:tcPr>
            <w:tcW w:type="dxa" w:w="1523"/>
            <w:cnfStyle w:val="000010010000" w:firstRow="0" w:lastRow="0" w:firstColumn="0" w:lastColumn="0" w:oddVBand="1" w:evenVBand="0" w:oddHBand="0" w:evenHBand="1" w:firstRowFirstColumn="0" w:firstRowLastColumn="0" w:lastRowFirstColumn="0" w:lastRowLastColumn="0"/>
            <w:vAlign w:val="center"/>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承诺时限</w:t>
            </w:r>
          </w:p>
        </w:tc>
        <w:tc>
          <w:tcPr>
            <w:tcW w:type="dxa" w:w="7452"/>
            <w:cnfStyle w:val="000001010000" w:firstRow="0" w:lastRow="0" w:firstColumn="0" w:lastColumn="0" w:oddVBand="0" w:evenVBand="1" w:oddHBand="0" w:evenHBand="1" w:firstRowFirstColumn="0" w:firstRowLastColumn="0" w:lastRowFirstColumn="0" w:lastRowLastColumn="0"/>
            <w:vAlign w:val="center"/>
            <w:gridSpan w:val="7"/>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1个工作日</w:t>
            </w:r>
          </w:p>
        </w:tc>
      </w:tr>
      <w:tr>
        <w:trPr>
          <w:cnfStyle w:val="000000100000" w:firstRow="0" w:lastRow="0" w:firstColumn="0" w:lastColumn="0" w:oddVBand="0" w:evenVBand="0" w:oddHBand="1" w:evenHBand="0" w:firstRowFirstColumn="0" w:firstRowLastColumn="0" w:lastRowFirstColumn="0" w:lastRowLastColumn="0"/>
          <w:trHeight w:hRule="atleast" w:val="69"/>
          <w:hidden w:val="0"/>
        </w:trPr>
        <w:tc>
          <w:tcPr>
            <w:tcW w:type="dxa" w:w="1523"/>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收费标准</w:t>
            </w:r>
          </w:p>
        </w:tc>
        <w:tc>
          <w:tcPr>
            <w:tcW w:type="dxa" w:w="7452"/>
            <w:cnfStyle w:val="000001100000" w:firstRow="0" w:lastRow="0" w:firstColumn="0" w:lastColumn="0" w:oddVBand="0" w:evenVBand="1" w:oddHBand="1" w:evenHBand="0" w:firstRowFirstColumn="0" w:firstRowLastColumn="0" w:lastRowFirstColumn="0" w:lastRowLastColumn="0"/>
            <w:vAlign w:val="center"/>
            <w:gridSpan w:val="7"/>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不收费</w:t>
            </w:r>
          </w:p>
        </w:tc>
      </w:tr>
      <w:tr>
        <w:trPr>
          <w:cnfStyle w:val="000000010000" w:firstRow="0" w:lastRow="0" w:firstColumn="0" w:lastColumn="0" w:oddVBand="0" w:evenVBand="0" w:oddHBand="0" w:evenHBand="1" w:firstRowFirstColumn="0" w:firstRowLastColumn="0" w:lastRowFirstColumn="0" w:lastRowLastColumn="0"/>
          <w:trHeight w:hRule="atleast" w:val="69"/>
          <w:hidden w:val="0"/>
        </w:trPr>
        <w:tc>
          <w:tcPr>
            <w:tcW w:type="dxa" w:w="1523"/>
            <w:cnfStyle w:val="000010010000" w:firstRow="0" w:lastRow="0" w:firstColumn="0" w:lastColumn="0" w:oddVBand="1" w:evenVBand="0" w:oddHBand="0" w:evenHBand="1" w:firstRowFirstColumn="0" w:firstRowLastColumn="0" w:lastRowFirstColumn="0" w:lastRowLastColumn="0"/>
            <w:vAlign w:val="center"/>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咨询电话</w:t>
            </w:r>
          </w:p>
        </w:tc>
        <w:tc>
          <w:tcPr>
            <w:tcW w:type="dxa" w:w="2483"/>
            <w:cnfStyle w:val="000001010000" w:firstRow="0" w:lastRow="0" w:firstColumn="0" w:lastColumn="0" w:oddVBand="0" w:evenVBand="1" w:oddHBand="0" w:evenHBand="1" w:firstRowFirstColumn="0" w:firstRowLastColumn="0" w:lastRowFirstColumn="0" w:lastRowLastColumn="0"/>
            <w:vAlign w:val="center"/>
            <w:gridSpan w:val="2"/>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0537-2363252</w:t>
            </w:r>
          </w:p>
        </w:tc>
        <w:tc>
          <w:tcPr>
            <w:tcW w:type="dxa" w:w="1188"/>
            <w:cnfStyle w:val="000010010000" w:firstRow="0" w:lastRow="0" w:firstColumn="0" w:lastColumn="0" w:oddVBand="1" w:evenVBand="0" w:oddHBand="0" w:evenHBand="1" w:firstRowFirstColumn="0" w:firstRowLastColumn="0" w:lastRowFirstColumn="0" w:lastRowLastColumn="0"/>
            <w:vAlign w:val="center"/>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投诉电话</w:t>
            </w:r>
          </w:p>
        </w:tc>
        <w:tc>
          <w:tcPr>
            <w:tcW w:type="dxa" w:w="3781"/>
            <w:cnfStyle w:val="000001010000" w:firstRow="0" w:lastRow="0" w:firstColumn="0" w:lastColumn="0" w:oddVBand="0" w:evenVBand="1" w:oddHBand="0" w:evenHBand="1" w:firstRowFirstColumn="0" w:firstRowLastColumn="0" w:lastRowFirstColumn="0" w:lastRowLastColumn="0"/>
            <w:vAlign w:val="center"/>
            <w:gridSpan w:val="4"/>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 w:eastAsia="Times New Roman" w:hAnsi="Times New Roman" w:hint="default"/>
              </w:rPr>
              <w:t xml:space="preserve">6539066   市</w:t>
            </w:r>
            <w:r>
              <w:rPr>
                <w:color w:val="auto"/>
                <w:position w:val="0"/>
                <w:sz w:val="21"/>
                <w:szCs w:val="21"/>
                <w:rFonts w:ascii="宋体" w:eastAsia="Times New Roman" w:hAnsi="Times New Roman" w:hint="default"/>
              </w:rPr>
              <w:t>长热线</w:t>
            </w:r>
            <w:r>
              <w:rPr>
                <w:color w:val="auto"/>
                <w:position w:val="0"/>
                <w:sz w:val="21"/>
                <w:szCs w:val="21"/>
                <w:rFonts w:ascii="??" w:eastAsia="Times New Roman" w:hAnsi="Times New Roman" w:hint="default"/>
              </w:rPr>
              <w:t>：12345</w:t>
            </w:r>
          </w:p>
        </w:tc>
      </w:tr>
      <w:tr>
        <w:trPr>
          <w:cnfStyle w:val="000000100000" w:firstRow="0" w:lastRow="0" w:firstColumn="0" w:lastColumn="0" w:oddVBand="0" w:evenVBand="0" w:oddHBand="1" w:evenHBand="0" w:firstRowFirstColumn="0" w:firstRowLastColumn="0" w:lastRowFirstColumn="0" w:lastRowLastColumn="0"/>
          <w:trHeight w:hRule="atleast" w:val="69"/>
          <w:hidden w:val="0"/>
        </w:trPr>
        <w:tc>
          <w:tcPr>
            <w:tcW w:type="dxa" w:w="1523"/>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结果送达</w:t>
            </w:r>
          </w:p>
        </w:tc>
        <w:tc>
          <w:tcPr>
            <w:tcW w:type="dxa" w:w="7452"/>
            <w:cnfStyle w:val="000001100000" w:firstRow="0" w:lastRow="0" w:firstColumn="0" w:lastColumn="0" w:oddVBand="0" w:evenVBand="1" w:oddHBand="1" w:evenHBand="0" w:firstRowFirstColumn="0" w:firstRowLastColumn="0" w:lastRowFirstColumn="0" w:lastRowLastColumn="0"/>
            <w:vAlign w:val="center"/>
            <w:gridSpan w:val="7"/>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济宁高新区市民中心统一接收：免费邮寄</w:t>
            </w:r>
          </w:p>
        </w:tc>
      </w:tr>
      <w:tr>
        <w:trPr>
          <w:cnfStyle w:val="000000010000" w:firstRow="0" w:lastRow="0" w:firstColumn="0" w:lastColumn="0" w:oddVBand="0" w:evenVBand="0" w:oddHBand="0" w:evenHBand="1" w:firstRowFirstColumn="0" w:firstRowLastColumn="0" w:lastRowFirstColumn="0" w:lastRowLastColumn="0"/>
          <w:trHeight w:hRule="atleast" w:val="69"/>
          <w:hidden w:val="0"/>
        </w:trPr>
        <w:tc>
          <w:tcPr>
            <w:tcW w:type="dxa" w:w="1523"/>
            <w:cnfStyle w:val="000010010000" w:firstRow="0" w:lastRow="0" w:firstColumn="0" w:lastColumn="0" w:oddVBand="1" w:evenVBand="0" w:oddHBand="0" w:evenHBand="1" w:firstRowFirstColumn="0" w:firstRowLastColumn="0" w:lastRowFirstColumn="0" w:lastRowLastColumn="0"/>
            <w:vAlign w:val="center"/>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受理地址</w:t>
            </w:r>
          </w:p>
        </w:tc>
        <w:tc>
          <w:tcPr>
            <w:tcW w:type="dxa" w:w="7452"/>
            <w:cnfStyle w:val="000001010000" w:firstRow="0" w:lastRow="0" w:firstColumn="0" w:lastColumn="0" w:oddVBand="0" w:evenVBand="1" w:oddHBand="0" w:evenHBand="1" w:firstRowFirstColumn="0" w:firstRowLastColumn="0" w:lastRowFirstColumn="0" w:lastRowLastColumn="0"/>
            <w:vAlign w:val="center"/>
            <w:gridSpan w:val="7"/>
          </w:tcPr>
          <w:p>
            <w:pPr>
              <w:numPr>
                <w:ilvl w:val="0"/>
                <w:numId w:val="0"/>
              </w:numPr>
              <w:jc w:val="left"/>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济宁市高新区崇文大道科技馆5566号市民中心三楼</w:t>
            </w:r>
          </w:p>
        </w:tc>
      </w:tr>
    </w:tbl>
    <w:p>
      <w:pPr>
        <w:numPr>
          <w:ilvl w:val="0"/>
          <w:numId w:val="0"/>
        </w:numPr>
        <w:jc w:val="center"/>
        <w:spacing w:lineRule="auto" w:line="240" w:before="0" w:after="0"/>
        <w:ind w:right="0" w:firstLine="0"/>
        <w:rPr>
          <w:color w:val="auto"/>
          <w:position w:val="0"/>
          <w:sz w:val="28"/>
          <w:szCs w:val="28"/>
          <w:rFonts w:ascii="??" w:eastAsia="Times New Roman" w:hAnsi="Times New Roman" w:hint="default"/>
        </w:rPr>
        <w:wordWrap w:val="off"/>
      </w:pPr>
      <w:r>
        <w:rPr>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 type="#_x0000_t75" style="position:static;width:225.0pt;height:225.0pt;z-index:251624961" filled="t">
            <v:imagedata r:id="rId5" o:title=" "/>
            <w10:wrap type="none"/>
            <w10:anchorlock/>
          </v:shape>
        </w:pict>
      </w:r>
    </w:p>
    <w:p>
      <w:pPr>
        <w:numPr>
          <w:ilvl w:val="0"/>
          <w:numId w:val="0"/>
        </w:numPr>
        <w:jc w:val="center"/>
        <w:spacing w:lineRule="auto" w:line="240" w:before="0" w:after="0"/>
        <w:ind w:right="0" w:firstLine="0"/>
        <w:rPr>
          <w:color w:val="auto"/>
          <w:position w:val="0"/>
          <w:sz w:val="21"/>
          <w:szCs w:val="21"/>
          <w:rFonts w:ascii="宋体" w:eastAsia="宋体" w:hAnsi="宋体" w:hint="default"/>
        </w:rPr>
        <w:wordWrap w:val="off"/>
      </w:pPr>
      <w:r>
        <w:rPr>
          <w:color w:val="auto"/>
          <w:position w:val="0"/>
          <w:sz w:val="28"/>
          <w:szCs w:val="28"/>
          <w:rFonts w:ascii="??" w:eastAsia="Times New Roman" w:hAnsi="Times New Roman" w:hint="default"/>
        </w:rPr>
        <w:t>http://jigxzwfw.sd.gov.cn/</w:t>
      </w:r>
    </w:p>
    <w:sectPr>
      <w:pgSz w:w="11906" w:h="16838"/>
      <w:pgMar w:top="1134" w:left="1588" w:bottom="1134" w:right="1474" w:header="851" w:footer="992" w:gutter="0"/>
      <w:pgNumType w:fmt="decimal"/>
      <w:docGrid w:type="lines" w:linePitch="312" w:charSpace="0"/>
    </w:sectPr>
  </w:body>
</w:document>
</file>

<file path=word/fontTable.xml><?xml version="1.0" encoding="utf-8"?>
<w:fonts xmlns:r="http://schemas.openxmlformats.org/officeDocument/2006/relationships" xmlns:w="http://schemas.openxmlformats.org/wordprocessingml/2006/main">
  <w:font w:name="宋体">
    <w:panose1 w:val="020F0502020204030204"/>
    <w:charset w:val="0"/>
    <w:family w:val="mordern"/>
    <w:pitch w:val="variable"/>
    <w:sig w:usb0="A00002EF" w:usb1="4000207B" w:usb2="00000000" w:usb3="00000000" w:csb0="FFFFFFFF" w:csb1="00000000"/>
  </w:font>
  <w:font w:name="Calibri">
    <w:panose1 w:val="020F0502020204030204"/>
    <w:charset w:val="0"/>
    <w:family w:val="mordern"/>
    <w:pitch w:val="variable"/>
    <w:sig w:usb0="A00002EF" w:usb1="4000207B" w:usb2="00000000" w:usb3="00000000" w:csb0="FFFFFFFF" w:csb1="00000000"/>
  </w:font>
  <w:font w:name="Wingdings">
    <w:panose1 w:val="020F0502020204030204"/>
    <w:charset w:val="0"/>
    <w:family w:val="mordern"/>
    <w:pitch w:val="variable"/>
    <w:sig w:usb0="A00002EF" w:usb1="4000207B" w:usb2="00000000" w:usb3="00000000" w:csb0="FFFFFFFF" w:csb1="00000000"/>
  </w:font>
  <w:font w:name="Times New Roman">
    <w:panose1 w:val="020F0502020204030204"/>
    <w:charset w:val="0"/>
    <w:family w:val="mordern"/>
    <w:pitch w:val="variable"/>
    <w:sig w:usb0="A00002EF" w:usb1="4000207B" w:usb2="00000000" w:usb3="00000000" w:csb0="FFFFFFFF" w:csb1="00000000"/>
  </w:font>
  <w:font w:name="仿宋_GB2312">
    <w:panose1 w:val="020F0502020204030204"/>
    <w:charset w:val="0"/>
    <w:family w:val="mordern"/>
    <w:pitch w:val="variable"/>
    <w:sig w:usb0="A00002EF" w:usb1="4000207B" w:usb2="00000000" w:usb3="00000000" w:csb0="FFFFFFFF" w:csb1="00000000"/>
  </w:font>
  <w:font w:name="맑은 고딕">
    <w:panose1 w:val="020F0502020204030204"/>
    <w:charset w:val="0"/>
    <w:family w:val="mordern"/>
    <w:pitch w:val="variable"/>
    <w:sig w:usb0="A00002EF" w:usb1="4000207B" w:usb2="00000000" w:usb3="00000000" w:csb0="FFFFFFFF" w:csb1="00000000"/>
  </w:font>
  <w:font w:name="??">
    <w:panose1 w:val="020F0502020204030204"/>
    <w:charset w:val="0"/>
    <w:family w:val="mordern"/>
    <w:pitch w:val="variable"/>
    <w:sig w:usb0="A00002EF" w:usb1="4000207B" w:usb2="00000000" w:usb3="00000000" w:csb0="FFFFFF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avePreviewPicture/>
  <w:proofState w:spelling="clean" w:grammar="clean"/>
  <w:defaultTabStop w:val="420"/>
  <w:displayHorizontalDrawingGridEvery w:val="0"/>
  <w:displayVerticalDrawingGridEvery w:val="2"/>
  <w:characterSpacingControl w:val="compressPunctuation"/>
  <w:bordersDoNotSurroundHeader/>
  <w:bordersDoNotSurroundFooter/>
  <w:compat>
    <w:balanceSingleByteDoubleByteWidth/>
    <w:adjustLineHeightInTable/>
    <w:useFELayout/>
    <w:compatSetting w:name="compatibilityMode" w:uri="http://schemas.microsoft.com/office/word" w:val="15"/>
    <w:ulTrailSpace/>
  </w:compat>
  <m:mathPr>
    <m:mathFont m:value="Cambria Math"/>
    <m:brkBin m:value="before"/>
    <m:brkBinSub m:value="--"/>
    <m:smallFrac m:value="off"/>
    <m:dispDef/>
    <m:lMargin m:value="0"/>
    <m:rMargin m:value="0"/>
    <m:defJc m:value="centerGroup"/>
    <m:wrapIndent m:value="1440"/>
    <m:intLim m:value="subSup"/>
    <m:naryLim m:value="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w:docDefaults>
    <w:pPrDefault>
      <w:pPr>
        <w:autoSpaceDE w:val="1"/>
        <w:autoSpaceDN w:val="1"/>
        <w:widowControl/>
        <w:wordWrap/>
      </w:pPr>
    </w:pPrDefault>
    <w:rPrDefault>
      <w:rPr>
        <w:rFonts w:ascii="Calibri" w:eastAsia="宋体" w:hAnsi="Calibri"/>
        <w:shd w:val="clear"/>
        <w:sz w:val="21"/>
        <w:szCs w:val="21"/>
        <w:w w:val="100"/>
      </w:rPr>
    </w:rPrDefault>
  </w:docDefaults>
  <w:style w:default="1" w:styleId="PO1" w:type="paragraph">
    <w:name w:val="Normal"/>
    <w:qFormat/>
    <w:uiPriority w:val="1"/>
    <w:pPr>
      <w:autoSpaceDE w:val="1"/>
      <w:autoSpaceDN w:val="1"/>
      <w:jc w:val="both"/>
      <w:widowControl/>
      <w:wordWrap/>
    </w:pPr>
  </w:style>
  <w:style w:default="1" w:styleId="PO2" w:type="character">
    <w:name w:val="Default Paragraph Font"/>
    <w:uiPriority w:val="2"/>
    <w:semiHidden/>
    <w:unhideWhenUsed/>
  </w:style>
  <w:style w:default="1" w:styleId="PO3" w:type="table">
    <w:name w:val="Normal Table"/>
    <w:basedOn w:val="PO3"/>
    <w:uiPriority w:val="3"/>
    <w:tblPr>
      <w:tblCellMar>
        <w:bottom w:type="dxa" w:w="0"/>
        <w:left w:type="dxa" w:w="108"/>
        <w:right w:type="dxa" w:w="108"/>
        <w:top w:type="dxa" w:w="0"/>
      </w:tblCellMar>
      <w:tblInd w:type="dxa" w:w="0"/>
    </w:tblPr>
  </w:style>
  <w:style w:default="1" w:styleId="PO4" w:type="numbering">
    <w:name w:val="No List"/>
    <w:uiPriority w:val="4"/>
    <w:semiHidden/>
    <w:unhideWhenUsed/>
  </w:style>
  <w:style w:styleId="PO5" w:type="paragraph">
    <w:name w:val="No Spacing"/>
    <w:link w:val="PO-1"/>
    <w:qFormat/>
    <w:uiPriority w:val="5"/>
    <w:pPr>
      <w:autoSpaceDE w:val="1"/>
      <w:autoSpaceDN w:val="1"/>
      <w:jc w:val="both"/>
      <w:widowControl/>
      <w:wordWrap/>
    </w:pPr>
    <w:rPr>
      <w:shd w:val="clear"/>
      <w:sz w:val="21"/>
      <w:szCs w:val="21"/>
      <w:w w:val="100"/>
    </w:rPr>
  </w:style>
  <w:style w:styleId="PO6" w:type="paragraph">
    <w:name w:val="Title"/>
    <w:link w:val="PO-1"/>
    <w:qFormat/>
    <w:uiPriority w:val="6"/>
    <w:pPr>
      <w:autoSpaceDE w:val="1"/>
      <w:autoSpaceDN w:val="1"/>
      <w:jc w:val="center"/>
      <w:widowControl/>
      <w:wordWrap/>
    </w:pPr>
    <w:rPr>
      <w:b/>
      <w:shd w:val="clear"/>
      <w:sz w:val="32"/>
      <w:szCs w:val="32"/>
      <w:w w:val="100"/>
    </w:rPr>
  </w:style>
  <w:style w:styleId="PO7" w:type="paragraph">
    <w:name w:val="heading 1"/>
    <w:link w:val="PO-1"/>
    <w:qFormat/>
    <w:uiPriority w:val="7"/>
    <w:pPr>
      <w:autoSpaceDE w:val="1"/>
      <w:autoSpaceDN w:val="1"/>
      <w:jc w:val="both"/>
      <w:widowControl/>
      <w:wordWrap/>
    </w:pPr>
    <w:rPr>
      <w:shd w:val="clear"/>
      <w:sz w:val="28"/>
      <w:szCs w:val="28"/>
      <w:w w:val="100"/>
    </w:rPr>
  </w:style>
  <w:style w:styleId="PO8" w:type="paragraph">
    <w:name w:val="heading 2"/>
    <w:link w:val="PO-1"/>
    <w:qFormat/>
    <w:uiPriority w:val="8"/>
    <w:pPr>
      <w:autoSpaceDE w:val="1"/>
      <w:autoSpaceDN w:val="1"/>
      <w:jc w:val="both"/>
      <w:widowControl/>
      <w:wordWrap/>
    </w:pPr>
    <w:rPr>
      <w:shd w:val="clear"/>
      <w:sz w:val="21"/>
      <w:szCs w:val="21"/>
      <w:w w:val="100"/>
    </w:rPr>
  </w:style>
  <w:style w:styleId="PO9" w:type="paragraph">
    <w:name w:val="heading 3"/>
    <w:link w:val="PO-1"/>
    <w:qFormat/>
    <w:uiPriority w:val="9"/>
    <w:pPr>
      <w:autoSpaceDE w:val="1"/>
      <w:autoSpaceDN w:val="1"/>
      <w:ind w:left="1000" w:hanging="400"/>
      <w:jc w:val="both"/>
      <w:widowControl/>
      <w:wordWrap/>
    </w:pPr>
    <w:rPr>
      <w:shd w:val="clear"/>
      <w:sz w:val="21"/>
      <w:szCs w:val="21"/>
      <w:w w:val="100"/>
    </w:rPr>
  </w:style>
  <w:style w:styleId="PO10" w:type="paragraph">
    <w:name w:val="heading 4"/>
    <w:link w:val="PO-1"/>
    <w:qFormat/>
    <w:uiPriority w:val="10"/>
    <w:pPr>
      <w:autoSpaceDE w:val="1"/>
      <w:autoSpaceDN w:val="1"/>
      <w:ind w:left="1200" w:hanging="400"/>
      <w:jc w:val="both"/>
      <w:widowControl/>
      <w:wordWrap/>
    </w:pPr>
    <w:rPr>
      <w:b/>
      <w:shd w:val="clear"/>
      <w:sz w:val="21"/>
      <w:szCs w:val="21"/>
      <w:w w:val="100"/>
    </w:rPr>
  </w:style>
  <w:style w:styleId="PO11" w:type="paragraph">
    <w:name w:val="heading 5"/>
    <w:link w:val="PO-1"/>
    <w:qFormat/>
    <w:uiPriority w:val="11"/>
    <w:pPr>
      <w:autoSpaceDE w:val="1"/>
      <w:autoSpaceDN w:val="1"/>
      <w:ind w:left="1400" w:hanging="400"/>
      <w:jc w:val="both"/>
      <w:widowControl/>
      <w:wordWrap/>
    </w:pPr>
    <w:rPr>
      <w:shd w:val="clear"/>
      <w:sz w:val="21"/>
      <w:szCs w:val="21"/>
      <w:w w:val="100"/>
    </w:rPr>
  </w:style>
  <w:style w:styleId="PO12" w:type="paragraph">
    <w:name w:val="heading 6"/>
    <w:link w:val="PO-1"/>
    <w:qFormat/>
    <w:uiPriority w:val="12"/>
    <w:pPr>
      <w:autoSpaceDE w:val="1"/>
      <w:autoSpaceDN w:val="1"/>
      <w:ind w:left="1600" w:hanging="400"/>
      <w:jc w:val="both"/>
      <w:widowControl/>
      <w:wordWrap/>
    </w:pPr>
    <w:rPr>
      <w:b/>
      <w:shd w:val="clear"/>
      <w:sz w:val="21"/>
      <w:szCs w:val="21"/>
      <w:w w:val="100"/>
    </w:rPr>
  </w:style>
  <w:style w:styleId="PO13" w:type="paragraph">
    <w:name w:val="heading 7"/>
    <w:link w:val="PO-1"/>
    <w:qFormat/>
    <w:uiPriority w:val="13"/>
    <w:pPr>
      <w:autoSpaceDE w:val="1"/>
      <w:autoSpaceDN w:val="1"/>
      <w:ind w:left="1800" w:hanging="400"/>
      <w:jc w:val="both"/>
      <w:widowControl/>
      <w:wordWrap/>
    </w:pPr>
    <w:rPr>
      <w:shd w:val="clear"/>
      <w:sz w:val="21"/>
      <w:szCs w:val="21"/>
      <w:w w:val="100"/>
    </w:rPr>
  </w:style>
  <w:style w:styleId="PO14" w:type="paragraph">
    <w:name w:val="heading 8"/>
    <w:link w:val="PO-1"/>
    <w:qFormat/>
    <w:uiPriority w:val="14"/>
    <w:pPr>
      <w:autoSpaceDE w:val="1"/>
      <w:autoSpaceDN w:val="1"/>
      <w:ind w:left="2000" w:hanging="400"/>
      <w:jc w:val="both"/>
      <w:widowControl/>
      <w:wordWrap/>
    </w:pPr>
    <w:rPr>
      <w:shd w:val="clear"/>
      <w:sz w:val="21"/>
      <w:szCs w:val="21"/>
      <w:w w:val="100"/>
    </w:rPr>
  </w:style>
  <w:style w:styleId="PO15" w:type="paragraph">
    <w:name w:val="heading 9"/>
    <w:link w:val="PO-1"/>
    <w:qFormat/>
    <w:uiPriority w:val="15"/>
    <w:pPr>
      <w:autoSpaceDE w:val="1"/>
      <w:autoSpaceDN w:val="1"/>
      <w:ind w:left="2200" w:hanging="400"/>
      <w:jc w:val="both"/>
      <w:widowControl/>
      <w:wordWrap/>
    </w:pPr>
    <w:rPr>
      <w:shd w:val="clear"/>
      <w:sz w:val="21"/>
      <w:szCs w:val="21"/>
      <w:w w:val="100"/>
    </w:rPr>
  </w:style>
  <w:style w:styleId="PO16" w:type="paragraph">
    <w:name w:val="Subtitle"/>
    <w:link w:val="PO-1"/>
    <w:qFormat/>
    <w:uiPriority w:val="16"/>
    <w:pPr>
      <w:autoSpaceDE w:val="1"/>
      <w:autoSpaceDN w:val="1"/>
      <w:jc w:val="center"/>
      <w:widowControl/>
      <w:wordWrap/>
    </w:pPr>
    <w:rPr>
      <w:shd w:val="clear"/>
      <w:sz w:val="24"/>
      <w:szCs w:val="24"/>
      <w:w w:val="100"/>
    </w:rPr>
  </w:style>
  <w:style w:styleId="PO17" w:type="character">
    <w:name w:val="Subtle Emphasis"/>
    <w:qFormat/>
    <w:uiPriority w:val="17"/>
    <w:rPr>
      <w:color w:val="404040"/>
      <w:i/>
      <w:shd w:val="clear"/>
      <w:sz w:val="21"/>
      <w:szCs w:val="21"/>
      <w:w w:val="100"/>
    </w:rPr>
  </w:style>
  <w:style w:styleId="PO18" w:type="character">
    <w:name w:val="Emphasis"/>
    <w:qFormat/>
    <w:uiPriority w:val="18"/>
    <w:rPr>
      <w:i/>
      <w:shd w:val="clear"/>
      <w:sz w:val="21"/>
      <w:szCs w:val="21"/>
      <w:w w:val="100"/>
    </w:rPr>
  </w:style>
  <w:style w:styleId="PO19" w:type="character">
    <w:name w:val="Intense Emphasis"/>
    <w:qFormat/>
    <w:uiPriority w:val="19"/>
    <w:rPr>
      <w:color w:val="5B9BD5"/>
      <w:i/>
      <w:shd w:val="clear"/>
      <w:sz w:val="21"/>
      <w:szCs w:val="21"/>
      <w:w w:val="100"/>
    </w:rPr>
  </w:style>
  <w:style w:styleId="PO20" w:type="character">
    <w:name w:val="Strong"/>
    <w:qFormat/>
    <w:uiPriority w:val="20"/>
    <w:rPr>
      <w:b/>
      <w:shd w:val="clear"/>
      <w:sz w:val="21"/>
      <w:szCs w:val="21"/>
      <w:w w:val="100"/>
    </w:rPr>
  </w:style>
  <w:style w:styleId="PO21" w:type="paragraph">
    <w:name w:val="Quote"/>
    <w:link w:val="PO-1"/>
    <w:qFormat/>
    <w:uiPriority w:val="21"/>
    <w:pPr>
      <w:autoSpaceDE w:val="1"/>
      <w:autoSpaceDN w:val="1"/>
      <w:ind w:left="864" w:right="864" w:firstLine="0"/>
      <w:jc w:val="center"/>
      <w:widowControl/>
      <w:wordWrap/>
    </w:pPr>
    <w:rPr>
      <w:color w:val="404040"/>
      <w:i/>
      <w:shd w:val="clear"/>
      <w:sz w:val="21"/>
      <w:szCs w:val="21"/>
      <w:w w:val="100"/>
    </w:rPr>
  </w:style>
  <w:style w:styleId="PO22" w:type="paragraph">
    <w:name w:val="Intense Quote"/>
    <w:link w:val="PO-1"/>
    <w:qFormat/>
    <w:uiPriority w:val="22"/>
    <w:pPr>
      <w:autoSpaceDE w:val="1"/>
      <w:autoSpaceDN w:val="1"/>
      <w:ind w:left="950" w:right="950" w:firstLine="0"/>
      <w:jc w:val="center"/>
      <w:widowControl/>
      <w:wordWrap/>
    </w:pPr>
    <w:rPr>
      <w:color w:val="5B9BD5"/>
      <w:i/>
      <w:shd w:val="clear"/>
      <w:sz w:val="21"/>
      <w:szCs w:val="21"/>
      <w:w w:val="100"/>
    </w:rPr>
  </w:style>
  <w:style w:styleId="PO23" w:type="character">
    <w:name w:val="Subtle Reference"/>
    <w:qFormat/>
    <w:uiPriority w:val="23"/>
    <w:rPr>
      <w:color w:val="5A5A5A"/>
      <w:shd w:val="clear"/>
      <w:smallCaps/>
      <w:sz w:val="21"/>
      <w:szCs w:val="21"/>
      <w:w w:val="100"/>
    </w:rPr>
  </w:style>
  <w:style w:styleId="PO24" w:type="character">
    <w:name w:val="Intense Reference"/>
    <w:qFormat/>
    <w:uiPriority w:val="24"/>
    <w:rPr>
      <w:color w:val="5B9BD5"/>
      <w:b/>
      <w:shd w:val="clear"/>
      <w:smallCaps/>
      <w:sz w:val="21"/>
      <w:szCs w:val="21"/>
      <w:w w:val="100"/>
    </w:rPr>
  </w:style>
  <w:style w:styleId="PO25" w:type="character">
    <w:name w:val="Book Title"/>
    <w:qFormat/>
    <w:uiPriority w:val="25"/>
    <w:rPr>
      <w:i/>
      <w:b/>
      <w:shd w:val="clear"/>
      <w:sz w:val="21"/>
      <w:szCs w:val="21"/>
      <w:w w:val="100"/>
    </w:rPr>
  </w:style>
  <w:style w:styleId="PO26" w:type="paragraph">
    <w:name w:val="List Paragraph"/>
    <w:link w:val="PO-1"/>
    <w:qFormat/>
    <w:uiPriority w:val="26"/>
    <w:pPr>
      <w:autoSpaceDE w:val="1"/>
      <w:autoSpaceDN w:val="1"/>
      <w:ind w:left="850" w:firstLine="0"/>
      <w:jc w:val="both"/>
      <w:widowControl/>
      <w:wordWrap/>
    </w:pPr>
    <w:rPr>
      <w:shd w:val="clear"/>
      <w:sz w:val="21"/>
      <w:szCs w:val="21"/>
      <w:w w:val="100"/>
    </w:rPr>
  </w:style>
  <w:style w:styleId="PO27" w:type="paragraph">
    <w:name w:val="TOC Heading"/>
    <w:link w:val="PO-1"/>
    <w:qFormat/>
    <w:uiPriority w:val="27"/>
    <w:unhideWhenUsed/>
    <w:pPr>
      <w:autoSpaceDE w:val="1"/>
      <w:autoSpaceDN w:val="1"/>
      <w:widowControl/>
      <w:wordWrap/>
    </w:pPr>
    <w:rPr>
      <w:color w:val="2E74B5"/>
      <w:shd w:val="clear"/>
      <w:sz w:val="32"/>
      <w:szCs w:val="32"/>
      <w:w w:val="100"/>
    </w:rPr>
  </w:style>
  <w:style w:styleId="PO28" w:type="paragraph">
    <w:name w:val="toc 1"/>
    <w:link w:val="PO-1"/>
    <w:qFormat/>
    <w:uiPriority w:val="28"/>
    <w:unhideWhenUsed/>
    <w:pPr>
      <w:autoSpaceDE w:val="1"/>
      <w:autoSpaceDN w:val="1"/>
      <w:jc w:val="both"/>
      <w:widowControl/>
      <w:wordWrap/>
    </w:pPr>
    <w:rPr>
      <w:shd w:val="clear"/>
      <w:sz w:val="21"/>
      <w:szCs w:val="21"/>
      <w:w w:val="100"/>
    </w:rPr>
  </w:style>
  <w:style w:styleId="PO29" w:type="paragraph">
    <w:name w:val="toc 2"/>
    <w:link w:val="PO-1"/>
    <w:qFormat/>
    <w:uiPriority w:val="29"/>
    <w:unhideWhenUsed/>
    <w:pPr>
      <w:autoSpaceDE w:val="1"/>
      <w:autoSpaceDN w:val="1"/>
      <w:ind w:left="425" w:firstLine="0"/>
      <w:jc w:val="both"/>
      <w:widowControl/>
      <w:wordWrap/>
    </w:pPr>
    <w:rPr>
      <w:shd w:val="clear"/>
      <w:sz w:val="21"/>
      <w:szCs w:val="21"/>
      <w:w w:val="100"/>
    </w:rPr>
  </w:style>
  <w:style w:styleId="PO30" w:type="paragraph">
    <w:name w:val="toc 3"/>
    <w:link w:val="PO-1"/>
    <w:qFormat/>
    <w:uiPriority w:val="30"/>
    <w:unhideWhenUsed/>
    <w:pPr>
      <w:autoSpaceDE w:val="1"/>
      <w:autoSpaceDN w:val="1"/>
      <w:ind w:left="850" w:firstLine="0"/>
      <w:jc w:val="both"/>
      <w:widowControl/>
      <w:wordWrap/>
    </w:pPr>
    <w:rPr>
      <w:shd w:val="clear"/>
      <w:sz w:val="21"/>
      <w:szCs w:val="21"/>
      <w:w w:val="100"/>
    </w:rPr>
  </w:style>
  <w:style w:styleId="PO31" w:type="paragraph">
    <w:name w:val="toc 4"/>
    <w:link w:val="PO-1"/>
    <w:qFormat/>
    <w:uiPriority w:val="31"/>
    <w:unhideWhenUsed/>
    <w:pPr>
      <w:autoSpaceDE w:val="1"/>
      <w:autoSpaceDN w:val="1"/>
      <w:ind w:left="1275" w:firstLine="0"/>
      <w:jc w:val="both"/>
      <w:widowControl/>
      <w:wordWrap/>
    </w:pPr>
    <w:rPr>
      <w:shd w:val="clear"/>
      <w:sz w:val="21"/>
      <w:szCs w:val="21"/>
      <w:w w:val="100"/>
    </w:rPr>
  </w:style>
  <w:style w:styleId="PO32" w:type="paragraph">
    <w:name w:val="toc 5"/>
    <w:link w:val="PO-1"/>
    <w:qFormat/>
    <w:uiPriority w:val="32"/>
    <w:unhideWhenUsed/>
    <w:pPr>
      <w:autoSpaceDE w:val="1"/>
      <w:autoSpaceDN w:val="1"/>
      <w:ind w:left="1700" w:firstLine="0"/>
      <w:jc w:val="both"/>
      <w:widowControl/>
      <w:wordWrap/>
    </w:pPr>
    <w:rPr>
      <w:shd w:val="clear"/>
      <w:sz w:val="21"/>
      <w:szCs w:val="21"/>
      <w:w w:val="100"/>
    </w:rPr>
  </w:style>
  <w:style w:styleId="PO33" w:type="paragraph">
    <w:name w:val="toc 6"/>
    <w:link w:val="PO-1"/>
    <w:qFormat/>
    <w:uiPriority w:val="33"/>
    <w:unhideWhenUsed/>
    <w:pPr>
      <w:autoSpaceDE w:val="1"/>
      <w:autoSpaceDN w:val="1"/>
      <w:ind w:left="2125" w:firstLine="0"/>
      <w:jc w:val="both"/>
      <w:widowControl/>
      <w:wordWrap/>
    </w:pPr>
    <w:rPr>
      <w:shd w:val="clear"/>
      <w:sz w:val="21"/>
      <w:szCs w:val="21"/>
      <w:w w:val="100"/>
    </w:rPr>
  </w:style>
  <w:style w:styleId="PO34" w:type="paragraph">
    <w:name w:val="toc 7"/>
    <w:link w:val="PO-1"/>
    <w:qFormat/>
    <w:uiPriority w:val="34"/>
    <w:unhideWhenUsed/>
    <w:pPr>
      <w:autoSpaceDE w:val="1"/>
      <w:autoSpaceDN w:val="1"/>
      <w:ind w:left="2550" w:firstLine="0"/>
      <w:jc w:val="both"/>
      <w:widowControl/>
      <w:wordWrap/>
    </w:pPr>
    <w:rPr>
      <w:shd w:val="clear"/>
      <w:sz w:val="21"/>
      <w:szCs w:val="21"/>
      <w:w w:val="100"/>
    </w:rPr>
  </w:style>
  <w:style w:styleId="PO35" w:type="paragraph">
    <w:name w:val="toc 8"/>
    <w:link w:val="PO-1"/>
    <w:qFormat/>
    <w:uiPriority w:val="35"/>
    <w:unhideWhenUsed/>
    <w:pPr>
      <w:autoSpaceDE w:val="1"/>
      <w:autoSpaceDN w:val="1"/>
      <w:ind w:left="2975" w:firstLine="0"/>
      <w:jc w:val="both"/>
      <w:widowControl/>
      <w:wordWrap/>
    </w:pPr>
    <w:rPr>
      <w:shd w:val="clear"/>
      <w:sz w:val="21"/>
      <w:szCs w:val="21"/>
      <w:w w:val="100"/>
    </w:rPr>
  </w:style>
  <w:style w:styleId="PO36" w:type="paragraph">
    <w:name w:val="toc 9"/>
    <w:link w:val="PO-1"/>
    <w:qFormat/>
    <w:uiPriority w:val="36"/>
    <w:unhideWhenUsed/>
    <w:pPr>
      <w:autoSpaceDE w:val="1"/>
      <w:autoSpaceDN w:val="1"/>
      <w:ind w:left="3400" w:firstLine="0"/>
      <w:jc w:val="both"/>
      <w:widowControl/>
      <w:wordWrap/>
    </w:pPr>
    <w:rPr>
      <w:shd w:val="clear"/>
      <w:sz w:val="21"/>
      <w:szCs w:val="21"/>
      <w:w w:val="100"/>
    </w:rPr>
  </w:style>
  <w:style w:default="1" w:styleId="PO37" w:type="table">
    <w:name w:val="Normal Table"/>
    <w:basedOn w:val="PO3"/>
    <w:uiPriority w:val="37"/>
    <w:tblPr>
      <w:tblCellMar>
        <w:bottom w:type="dxa" w:w="0"/>
        <w:left w:type="dxa" w:w="108"/>
        <w:right w:type="dxa" w:w="108"/>
        <w:top w:type="dxa" w:w="0"/>
      </w:tblCellMar>
      <w:tblInd w:type="dxa" w:w="0"/>
    </w:tblPr>
  </w:style>
  <w:style w:styleId="PO152" w:type="paragraph">
    <w:name w:val="header"/>
    <w:basedOn w:val="PO1"/>
    <w:link w:val="PO153"/>
    <w:uiPriority w:val="152"/>
    <w:semiHidden/>
    <w:unhideWhenUsed/>
    <w:pPr>
      <w:autoSpaceDE w:val="1"/>
      <w:autoSpaceDN w:val="1"/>
      <w:jc w:val="center"/>
      <w:tabs>
        <w:tab w:val="center" w:pos="4153"/>
        <w:tab w:val="right" w:pos="8306"/>
      </w:tabs>
      <w:widowControl/>
      <w:wordWrap/>
    </w:pPr>
    <w:rPr>
      <w:shd w:val="clear"/>
      <w:sz w:val="18"/>
      <w:szCs w:val="18"/>
      <w:w w:val="100"/>
    </w:rPr>
  </w:style>
  <w:style w:customStyle="1" w:styleId="PO153" w:type="character">
    <w:name w:val="页眉 Char"/>
    <w:basedOn w:val="PO2"/>
    <w:link w:val="PO152"/>
    <w:uiPriority w:val="153"/>
    <w:semiHidden/>
    <w:rPr>
      <w:shd w:val="clear"/>
      <w:sz w:val="18"/>
      <w:szCs w:val="18"/>
      <w:w w:val="100"/>
    </w:rPr>
  </w:style>
  <w:style w:styleId="PO154" w:type="paragraph">
    <w:name w:val="footer"/>
    <w:basedOn w:val="PO1"/>
    <w:link w:val="PO155"/>
    <w:uiPriority w:val="154"/>
    <w:semiHidden/>
    <w:unhideWhenUsed/>
    <w:pPr>
      <w:autoSpaceDE w:val="1"/>
      <w:autoSpaceDN w:val="1"/>
      <w:tabs>
        <w:tab w:val="center" w:pos="4153"/>
        <w:tab w:val="right" w:pos="8306"/>
      </w:tabs>
      <w:widowControl/>
      <w:wordWrap/>
    </w:pPr>
    <w:rPr>
      <w:shd w:val="clear"/>
      <w:sz w:val="18"/>
      <w:szCs w:val="18"/>
      <w:w w:val="100"/>
    </w:rPr>
  </w:style>
  <w:style w:customStyle="1" w:styleId="PO155" w:type="character">
    <w:name w:val="页脚 Char"/>
    <w:basedOn w:val="PO2"/>
    <w:link w:val="PO154"/>
    <w:uiPriority w:val="155"/>
    <w:semiHidden/>
    <w:rPr>
      <w:shd w:val="clear"/>
      <w:sz w:val="18"/>
      <w:szCs w:val="18"/>
      <w:w w:val="10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Relationships xmlns="http://schemas.openxmlformats.org/package/2006/relationships"><Relationship Id="rId1" Type="http://schemas.openxmlformats.org/officeDocument/2006/relationships/webSettings" Target="webSettings.xml"></Relationship><Relationship Id="rId2" Type="http://schemas.openxmlformats.org/officeDocument/2006/relationships/fontTable" Target="fontTable.xml"></Relationship><Relationship Id="rId3" Type="http://schemas.openxmlformats.org/officeDocument/2006/relationships/settings" Target="settings.xml"></Relationship><Relationship Id="rId4" Type="http://schemas.openxmlformats.org/officeDocument/2006/relationships/styles" Target="styles.xml"></Relationship><Relationship Id="rId5" Type="http://schemas.openxmlformats.org/officeDocument/2006/relationships/image" Target="media/fImage22381041.png"></Relationship><Relationship Id="rId6" Type="http://schemas.openxmlformats.org/officeDocument/2006/relationships/theme" Target="theme/theme1.xml"></Relationship></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JisuOffice Write</Application>
  <AppVersion>12.000</AppVersion>
  <Characters>0</Characters>
  <CharactersWithSpaces>0</CharactersWithSpaces>
  <Company>微软中国</Company>
  <DocSecurity>0</DocSecurity>
  <HyperlinksChanged>false</HyperlinksChanged>
  <Lines>6</Lines>
  <LinksUpToDate>false</LinksUpToDate>
  <Pages>2</Pages>
  <Paragraphs>1</Paragraphs>
  <Words>134</Words>
  <TotalTime>0</TotalTime>
  <MMClips>0</MMClips>
  <ScaleCrop>false</ScaleCrop>
  <HeadingPairs>
    <vt:vector size="2" baseType="variant">
      <vt:variant>
        <vt:lpstr>제목</vt:lpstr>
      </vt:variant>
      <vt:variant>
        <vt:i4>1</vt:i4>
      </vt:variant>
    </vt:vector>
  </HeadingPairs>
  <TitlesOfParts>
    <vt:vector size="1" baseType="lpstr">
      <vt:lpstr>Title text</vt:lpstr>
    </vt:vector>
  </TitlesOfParts>
  <SharedDoc>false</SharedDoc>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3</cp:revision>
  <dc:creator>政务服务中心收文</dc:creator>
  <cp:lastModifiedBy/>
  <dcterms:modified xsi:type="dcterms:W3CDTF">2018-09-28T08:25:00Z</dcterms:modified>
</cp:coreProperties>
</file>