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exact" w:line="560" w:before="0" w:after="160"/>
        <w:ind w:right="0" w:left="0" w:firstLine="860"/>
        <w:rPr>
          <w:color w:val="000000"/>
          <w:position w:val="0"/>
          <w:sz w:val="28"/>
          <w:szCs w:val="28"/>
          <w:shd w:val="clear" w:color="000000" w:fill="FFFFFF"/>
          <w:rFonts w:ascii="??_GB2312" w:eastAsia="??_GB2312" w:hAnsi="??_GB2312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拆除或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闲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置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染防治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设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3982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政策依据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法》第四十一条：建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目中防治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当与主体工程同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时设计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施工、同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使用。防治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价文件的要求，不得擅自拆除或者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境防治法》第三十四条：禁止擅自关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置或者拆除工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所；确有必要关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者拆除的，必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所在地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县级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以上地方人民政府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核准，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并采取措施，防止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．《中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染防治法》第十五条：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保持防治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施的正常使用；拆除或者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施的，必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所在地的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县级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以上地方人民政府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批准。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受理条件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有合法的建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告（表）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表的批准手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已通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目竣工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艺变动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整，不再排放相关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染物的；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艺变动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整，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经该污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理即可达到国家和地方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准的；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以新的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所替代原有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所的；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染物排放方式由直接排入水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为经污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水管网排入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理厂，且符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合排入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理厂的相关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受理材料名称</w:t>
            </w:r>
          </w:p>
        </w:tc>
        <w:tc>
          <w:tcPr>
            <w:tcW w:type="dxa" w:w="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置或拆除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委托有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资质处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明（涉及固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）或达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排放的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明（涉及水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施及大气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施拆除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置）（有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资质监测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出具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告原件、复印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件）；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涉及水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纳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入城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理厂或者集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中式市政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水排放管道的，需提交接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纳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明材料。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位提出申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提交拆除或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料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现场检查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作出行政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可决定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个月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不收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0537-2363252</w:t>
            </w:r>
          </w:p>
        </w:tc>
        <w:tc>
          <w:tcPr>
            <w:tcW w:type="dxa" w:w="1188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Times New Roman" w:eastAsia="Times New Roman" w:hAnsi="Times New Roman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Times New Roman" w:eastAsia="Times New Roman" w:hAnsi="Times New Roman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0" type="#_x0000_t75" style="position:static;width:146.2pt;height:148.5pt;z-index:251624961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Times New Roman" w:eastAsia="Times New Roman" w:hAnsi="Times New Roman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8"/>
          <w:szCs w:val="28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辐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射安全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许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可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证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申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请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初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审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33"/>
        <w:gridCol w:w="507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其他权利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法人或者其他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703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人民共和国放射性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br/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价法》；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、《放射性同位素与射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装置安全和防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条例》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院令第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449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)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、《放射性同位素与射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装置安全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部令第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)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售、使用放射性同位素和射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装置的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已通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、《放射性同位素与射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装置安全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部令第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第十三条到第十六条要求已落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到位。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0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tabs>
                <w:tab w:val="left" w:pos="1530"/>
              </w:tabs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射安全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表》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批文件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tabs>
                <w:tab w:val="left" w:pos="840"/>
              </w:tabs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足《放射性同位素与射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装置安全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部令第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号）第十三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条到第十六条要求的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明材料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tabs>
                <w:tab w:val="left" w:pos="870"/>
              </w:tabs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新增加的放射源和射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装置明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细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表》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tabs>
                <w:tab w:val="left" w:pos="870"/>
              </w:tabs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射工作安全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责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tabs>
                <w:tab w:val="left" w:pos="870"/>
              </w:tabs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&lt;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射安全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&gt;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表》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提出申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在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“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全国核技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利用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射安全申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</w:t>
            </w:r>
            <w:r>
              <w:fldChar w:fldCharType="begin"/>
            </w:r>
            <w:r>
              <w:instrText xml:space="preserve">HYPERLINK "http://rr.mep.gov.cn/"</w:instrText>
            </w:r>
            <w:r>
              <w:fldChar w:fldCharType="separate"/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http://rr.mep.gov.cn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fldChar w:fldCharType="end"/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)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行网上申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→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看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业对现场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存在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问题进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行整改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出具初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见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7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(0537)2363252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: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市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级环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境教育基地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环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保理念和知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识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教育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公共服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公民、法人或者其他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人民共和国政府信息公开条例》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境信息公开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教育部关于建立中小学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境教育社会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践基地的通知》（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〔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〕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113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属权限内受理范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、符合相关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政策和法律法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要求，申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全、符合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法定形式，或者申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人按要求提交全部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充申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材料，即可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人身份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</w:t>
            </w:r>
          </w:p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申请人提报材料至环保窗口→环保部门进行材料审查→材料齐全受理→根据申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请人要求有针对性的开展环保理念知识推广（可以通过电子邮件形式回复的将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以电子邮件形式回复。）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不收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2363252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宁高新区崇文大道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8"/>
          <w:szCs w:val="28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7" type="#_x0000_t75" style="position:static;width:225.0pt;height:225.0pt;z-index:251624965" filled="t">
            <v:imagedata r:id="rId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信息公开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公共服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公民、法人或者其他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人民共和国政府信息公开条例》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属权限内受理范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、符合相关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政策和法律法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要求，申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全、符合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法定形式，或者申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人按要求提交全部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充申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材料，即可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政府信息公开申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身份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明材料</w:t>
            </w:r>
          </w:p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保窗口或通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高新区网站提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子材料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http://www.jnhn.gov.cn/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全受理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通知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门领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取信息公开回复（或快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送达。可以通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件形式回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复的将以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件形式回复。）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不收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2363252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宁高新区崇文大道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9" type="#_x0000_t75" style="position:static;width:225.0pt;height:225.0pt;z-index:251624967" filled="t">
            <v:imagedata r:id="rId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8"/>
          <w:szCs w:val="28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8"/>
          <w:szCs w:val="28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000000"/>
          <w:position w:val="0"/>
          <w:sz w:val="28"/>
          <w:szCs w:val="28"/>
          <w:shd w:val="clear" w:color="000000" w:fill="FFFFFF"/>
          <w:rFonts w:ascii="??_GB2312" w:eastAsia="??_GB2312" w:hAnsi="??_GB2312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暂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停使用防治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设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法》第四十一条：建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目中防治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当与主体工程同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时设计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施工、同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使用。防治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价文件的要求，不得擅自拆除或者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境防治法》第三十四条：禁止擅自关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置或者拆除工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所；确有必要关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者拆除的，必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所在地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县级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以上地方人民政府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核准，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并采取措施，防止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．《中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染防治法》第十五条：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保持防治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施的正常使用；拆除或者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施的，必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所在地的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县级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以上地方人民政府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批准。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有合法的建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告（表）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表的批准手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已通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目竣工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艺变动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整，不再排放相关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染物的；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艺变动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整，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经该污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理即可达到国家和地方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准的；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以新的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所替代原有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所的；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染物排放方式由直接排入水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为经污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水管网排入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理厂，且符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合排入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理厂的相关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受理材料名称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停使用，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当向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保局提交申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告，内容包括企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情况，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停使用防治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施的原因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停防治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施后采取的措施。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位提出申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提交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停使用防治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料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作出行政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可决定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不收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0537-2363252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8"/>
          <w:szCs w:val="28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2" type="#_x0000_t75" style="position:static;width:225.0pt;height:225.0pt;z-index:251624969" filled="t">
            <v:imagedata r:id="rId8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  <w:r>
        <w:br w:type="page"/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建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设项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目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环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境保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护设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施竣工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验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收（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报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告表）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 xml:space="preserve"> 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68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目竣工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环规环评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[2017]4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目需要配套建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水、噪声或者固体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施的，新修改的《中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民共和国水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染防治法》生效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施前或者《中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防治法》《中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染防治法》修改完成前，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依法由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目水、噪声或者固体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染防治法》（１９９６年１０月通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）第十四条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目在投入生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或者使用之前，其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;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达不到国家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定要求的，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目不得投入生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或者使用。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境防治法》（２００４年１２月修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第十四条：固体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收合格后，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目方可投入生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或者使用。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当与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主体工程的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前期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施及其他措施等已按批准的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（表）的要求建成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试车检测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合格，其防治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染能力适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主体工程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的需要；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染物排放符合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（表）中提出的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准及核定的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的要求；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措施按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（表）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定的要求落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程中受到破坏并可恢复的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境已按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定采取了恢复措施；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调查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告（表）已按要求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制完成；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调查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告（表）原件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措施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行情况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告原件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目竣工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公示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公示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签发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个工作日（不含公示期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个工作日）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(0537)2363252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5" type="#_x0000_t75" style="position:static;width:225.0pt;height:225.0pt;z-index:251624971" filled="t">
            <v:imagedata r:id="rId9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8"/>
          <w:szCs w:val="28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  <w:r>
        <w:br w:type="page"/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建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设项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目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环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境保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护设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施竣工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验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收（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报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告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书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）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 xml:space="preserve"> 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69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目竣工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环规环评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[2017]4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目需要配套建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水、噪声或者固体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施的，新修改的《中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民共和国水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染防治法》生效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施前或者《中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防治法》《中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染防治法》修改完成前，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依法由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目水、噪声或者固体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染防治法》（１９９６年１０月通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）第十四条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目在投入生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或者使用之前，其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;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达不到国家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定要求的，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目不得投入生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或者使用。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境防治法》（２００４年１２月修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第十四条：固体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收合格后，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目方可投入生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或者使用。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当与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主体工程的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前期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施及其他措施等已按批准的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（表）的要求建成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试车检测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合格，其防治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染能力适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主体工程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的需要；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染物排放符合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（表）中提出的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准及核定的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的要求；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措施按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（表）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定的要求落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程中受到破坏并可恢复的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境已按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定采取了恢复措施；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调查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告（表）已按要求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制完成；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调查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告（表）原件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措施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行情况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告原件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目竣工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公示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公示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签发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个工作日（不含公示期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个工作日）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(0537)2363252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8" type="#_x0000_t75" style="position:static;width:225.0pt;height:225.0pt;z-index:251624973" filled="t">
            <v:imagedata r:id="rId10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  <w:r>
        <w:br w:type="page"/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建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设项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目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环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境影响登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记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表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备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案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305"/>
        <w:gridCol w:w="1140"/>
        <w:gridCol w:w="1760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其他权利事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价法》（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）第十六条：国家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根据建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境的影响程度，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行分类管理。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当按照下列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告表或者填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表。第二十五条：建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后未予批准的，建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位不得开工建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法》第五条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县级环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门负责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本行政区域内的建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案管理。第七条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案采用网上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案方式。</w:t>
            </w: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符合《建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》中登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表的事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入山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东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省建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http://58.56.98.90/REG/a/login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）自行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符合要求，即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理。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符合要求，即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理。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1822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(0537)2363252</w:t>
            </w:r>
          </w:p>
        </w:tc>
        <w:tc>
          <w:tcPr>
            <w:tcW w:type="dxa" w:w="114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449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1" type="#_x0000_t75" style="position:static;width:225.0pt;height:225.0pt;z-index:251624975" filled="t">
            <v:imagedata r:id="rId11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建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设项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目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环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境影响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评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价文件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批（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报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告表）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 xml:space="preserve"> 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(1989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)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十九条：建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设对环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境有影响的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价。未依法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价的开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利用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划，不得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;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价的建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目，不得开工建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价法》（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）第十六条：国家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根据建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境的影响程度，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行分类管理。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当按照下列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告表或者填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表。第二十五条：建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后未予批准的，建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位不得开工建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            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                                        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理条例》（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）第九条：依法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告表的建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当在开工建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前将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批权的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批；建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文件未依法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后未予批准的，建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位不得开工建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目类型及其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选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址、布局、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模等符合国家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和相关法定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染防治措施可行，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排放和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量控制要求。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根据《建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定，提交《建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告表》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认书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公示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环评单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位修改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公示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签发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个工作日（不含公示期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个工作日）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(0537)2363252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4" type="#_x0000_t75" style="position:static;width:225.0pt;height:225.0pt;z-index:251624977" filled="t">
            <v:imagedata r:id="rId12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建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设项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目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环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境影响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评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价文件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批（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报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告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书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）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 xml:space="preserve"> 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(1989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)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十九条：建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设对环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境有影响的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价。未依法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价的开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利用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划，不得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;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价的建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目，不得开工建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价法》（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）第十六条：国家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根据建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境的影响程度，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行分类管理。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当按照下列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告表或者填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表。第二十五条：建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后未予批准的，建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位不得开工建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            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                                        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理条例》（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）第九条：依法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告表的建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当在开工建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前将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批权的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批；建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文件未依法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后未予批准的，建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位不得开工建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目类型及其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选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址、布局、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模等符合国家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和相关法定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染防治措施可行，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排放和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量控制要求。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根据《建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定，提交《建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认书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公示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环评单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位修改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公示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签发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个工作日（不含公示期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个工作日）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(0537)2363252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3569066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7" type="#_x0000_t75" style="position:static;width:225.0pt;height:225.0pt;z-index:251624979" filled="t">
            <v:imagedata r:id="rId13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危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险废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物省内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转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移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审查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20"/>
        <w:gridCol w:w="1963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174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境防治法》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联单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</w:t>
            </w: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与省内危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业签订处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协议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的本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区企事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2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位的危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移申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告原件及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营业执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照复印件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划，包括：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）类别、数量、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分、物化特性；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、批次，运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划可以作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告的附件）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位与危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物接收企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业签订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的合同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协议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复印件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物接收企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复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印件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位与运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输单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合同或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协议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复印件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</w:t>
            </w: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输单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位及人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员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资质证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明复印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</w:p>
        </w:tc>
        <w:tc>
          <w:tcPr>
            <w:tcW w:type="dxa" w:w="4202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输过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程突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性事故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2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位向高新区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保分局提出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移申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并提交相关材料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高新区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保分局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位提交的相关材料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，向申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放危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转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联单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符合要求，即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理。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0537-6539082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223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42" type="#_x0000_t75" style="position:static;width:225.0pt;height:225.0pt;z-index:251624981" filled="t">
            <v:imagedata r:id="rId14" o:title=" "/>
            <w10:wrap type="none"/>
            <w10:anchorlock/>
          </v:shape>
        </w:pict>
      </w: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http://jigxzwfw.sd.gov.cn/</w:t>
      </w: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pStyle w:val="PO26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危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险废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物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经营许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可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证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核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发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“一次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办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好”服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务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295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244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境防治法》第五十七条；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法》第二条、第三条、第七条；</w:t>
            </w: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、符合国家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政策和城市或园区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划要求。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收集、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存机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动车维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物油类危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的企事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告；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告表）批复及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“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三同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告；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营业执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照原件和复印件、注册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本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明文件及复印件（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后，原件退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回申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位，复印件留存）；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位内部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、安全管理制度有关原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件及复印件（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后，原件退回申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位，复印件留存）。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境事件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案。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位提出申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全受理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符合要求（或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整改符合要求）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放危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0537-6239082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58" type="#_x0000_t75" style="position:static;width:225.0pt;height:225.0pt;z-index:251624984" filled="t">
            <v:imagedata r:id="rId1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危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险废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物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经营许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可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证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延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续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458"/>
        <w:gridCol w:w="582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2398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境防治法》第五十七条；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法》第二条、第三条、第七条；</w:t>
            </w:r>
          </w:p>
        </w:tc>
      </w:tr>
      <w:tr>
        <w:trPr>
          <w:trHeight w:hRule="atleast" w:val="1334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、符合国家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政策和城市或园区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划要求。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收集、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存机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动车维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物油类危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的企事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/>
          </w:tcPr>
          <w:p/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告。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/>
          </w:tcPr>
          <w:p/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告表）批复及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“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三同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验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告。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/>
          </w:tcPr>
          <w:p/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营业执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照原件和复印件、注册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本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明文件及复印件（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后，原件退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回申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位，复印件留存）。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/>
          </w:tcPr>
          <w:p/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位内部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、安全管理制度有关原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件及复印件（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后，原件退回申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位，复印件留存）。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/>
          </w:tcPr>
          <w:p/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境事件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案。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/>
          </w:tcPr>
          <w:p/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/>
          </w:tcPr>
          <w:p/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458"/>
            <w:vAlign w:val="center"/>
            <w:vMerge/>
          </w:tcPr>
          <w:p/>
        </w:tc>
        <w:tc>
          <w:tcPr>
            <w:tcW w:type="dxa" w:w="582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位提出申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全受理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符合要求（或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整改符合要求）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发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放危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548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0537-6239082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45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517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危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险废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物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经营许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可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证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注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销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9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2623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人民共和国固体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境防治法》第五十七条；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法》第二条、第三条、第七条；</w:t>
            </w: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、符合国家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政策和城市或园区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划要求。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收集、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存机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动车维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物油类危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的企事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份、复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印件一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份）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 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位提出申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全受理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查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符合要求（或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整改符合要求）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险废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0537-6239082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宁市高新区崇文大道科技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62" type="#_x0000_t75" style="position:static;width:225.0pt;height:225.0pt;z-index:251624987" filled="t">
            <v:imagedata r:id="rId1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2"/>
          <w:szCs w:val="32"/>
          <w:rFonts w:ascii="??????" w:eastAsia="??????" w:hAnsi="????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主要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染物排放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总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量控制指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标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确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认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2498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目主要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核及管理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暂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高新区内新建、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建、改建和迁建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境有影响的建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宁市建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目主要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（表）》（送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稿，需建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位盖章）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、根据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环评单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预测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染物排放情况并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合本地主要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量控制情况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以及相关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料提出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、来源和替代削减方案出具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核完后，出具建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目主要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认书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，并通知建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领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取。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2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0537-6239082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宁高新区崇文大道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br w:type="page"/>
      </w: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66" type="#_x0000_t75" style="position:static;width:225.0pt;height:225.0pt;z-index:251624989" filled="t">
            <v:imagedata r:id="rId1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排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污许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可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证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核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发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染防治法》第十九条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排放工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气或者本法第七十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八条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中所列有毒有害大气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染物的企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位、集中供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热设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源生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位以及其他依法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可的具体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染防治法》第二十条：直接或者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接向水体排放工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水和医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疗污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水以及其他按照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方可排放的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；城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水集中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可的具体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定。禁止企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位无排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违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反排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定向水体排放前款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号）全文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《固定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</w:tr>
      <w:tr>
        <w:trPr>
          <w:trHeight w:hRule="atleast" w:val="1920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纳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入固定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化管理的企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位和其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他生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产经营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者；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、依法取得建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，或者按照有关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地方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人民政府依法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理、整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顿规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范并符合要求的相关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明材料；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、采用的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施或者措施有能力达到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度要求；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度符合国家和地方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准，排放量符合《排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号）第十七条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、自行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方案符合相关技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术规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施后的新建、改建、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位存在通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染物排放等量或者减量替代削减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得重点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情况的，出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位已完成排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变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更。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表（全国排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管理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信息平台打印）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自行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方案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位法定代表人或者主要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负责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字或者盖章的承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诺书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位有关排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口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范化的情况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批文号，或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者按照有关国家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地方人民政府依法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理、整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顿规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范并符合要求的相关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料</w:t>
            </w:r>
          </w:p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水集中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还应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提供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纳污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纳污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、管网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布置、最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终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排放去向等材料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7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位存在通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染物排放等量或者减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量替代削减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得重点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情况的，且出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控制指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位已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当提供出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制指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位的排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完成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变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的相关材料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位提交的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明材料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存在疑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的开展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现场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→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出具排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0537-6539082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宁高新区崇文大道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68" type="#_x0000_t75" style="position:static;width:225.0pt;height:225.0pt;z-index:251624991" filled="t">
            <v:imagedata r:id="rId18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排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污许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可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证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延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续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染防治法》第十九条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排放工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气或者本法第七十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八条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中所列有毒有害大气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染物的企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位、集中供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热设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源生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位以及其他依法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可的具体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染防治法》第二十条：直接或者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接向水体排放工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水和医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疗污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水以及其他按照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方可排放的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；城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水集中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可的具体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定。禁止企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位无排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违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反排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定向水体排放前款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号）全文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《固定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纳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入固定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化管理的企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位和其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他生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产经营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者；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、依法取得建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，或者按照有关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地方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人民政府依法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理、整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顿规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范并符合要求的相关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明材料；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、采用的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施或者措施有能力达到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度要求；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度符合国家和地方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准，排放量符合《排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号）第十七条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、自行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方案符合相关技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术规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施后的新建、改建、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位存在通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染物排放等量或者减量替代削减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得重点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情况的，出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位已完成排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变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更。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位法定代表人或者主要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负责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字或者盖章的承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诺书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正本复印件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签发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无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0537-6539082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宁高新区崇文大道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71" type="#_x0000_t75" style="position:static;width:225.0pt;height:225.0pt;z-index:251624993" filled="t">
            <v:imagedata r:id="rId19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排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污许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可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证变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更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982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染防治法》第十九条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排放工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气或者本法第七十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八条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中所列有毒有害大气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染物的企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位、集中供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热设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源生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位以及其他依法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可的具体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染防治法》第二十条：直接或者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接向水体排放工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水和医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疗污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水以及其他按照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方可排放的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；城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水集中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可的具体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定。禁止企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位无排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违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反排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定向水体排放前款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号）全文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《固定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</w:tr>
      <w:tr>
        <w:trPr>
          <w:trHeight w:hRule="atleast" w:val="1334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纳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入固定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化管理的企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位和其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他生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产经营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者；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、依法取得建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，或者按照有关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地方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人民政府依法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理、整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顿规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范并符合要求的相关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明材料；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、采用的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施或者措施有能力达到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度要求；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度符合国家和地方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准，排放量符合《排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号）第十七条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、自行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监测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方案符合相关技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术规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范；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施后的新建、改建、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位存在通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染物排放等量或者减量替代削减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得重点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情况的，出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重点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量控制指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位已完成排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变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更。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5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变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更排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位法定代表人或者主要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负责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字或者盖章的承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诺书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214"/>
          <w:hidden w:val="0"/>
        </w:trPr>
        <w:tc>
          <w:tcPr>
            <w:tcW w:type="dxa" w:w="1523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420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正本复印件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签发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不收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3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0537-6539082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1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3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52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宁高新区崇文大道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73" type="#_x0000_t75" style="position:static;width:225.0pt;height:225.0pt;z-index:251624995" filled="t">
            <v:imagedata r:id="rId20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  <w:r>
        <w:br w:type="page"/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排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污许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可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证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注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销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一次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办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好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”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服</w:t>
      </w:r>
      <w:r>
        <w:rPr>
          <w:color w:val="auto"/>
          <w:position w:val="0"/>
          <w:sz w:val="30"/>
          <w:szCs w:val="30"/>
          <w:rFonts w:ascii="宋体" w:eastAsia="Times New Roman" w:hAnsi="Times New Roman" w:hint="default"/>
        </w:rPr>
        <w:t>务</w:t>
      </w:r>
      <w:r>
        <w:rPr>
          <w:color w:val="auto"/>
          <w:position w:val="0"/>
          <w:sz w:val="30"/>
          <w:szCs w:val="30"/>
          <w:rFonts w:ascii="??" w:eastAsia="Times New Roman" w:hAnsi="Times New Roman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5"/>
        <w:gridCol w:w="1521"/>
        <w:gridCol w:w="517"/>
        <w:gridCol w:w="1965"/>
        <w:gridCol w:w="1187"/>
        <w:gridCol w:w="1050"/>
        <w:gridCol w:w="901"/>
        <w:gridCol w:w="900"/>
        <w:gridCol w:w="929"/>
      </w:tblGrid>
      <w:tr>
        <w:trPr>
          <w:trHeight w:hRule="atleast" w:val="106"/>
          <w:hidden w:val="0"/>
        </w:trPr>
        <w:tc>
          <w:tcPr>
            <w:tcW w:type="dxa" w:w="1526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b w:val="1"/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6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</w:p>
        </w:tc>
      </w:tr>
      <w:tr>
        <w:trPr>
          <w:trHeight w:hRule="atleast" w:val="69"/>
          <w:hidden w:val="0"/>
        </w:trPr>
        <w:tc>
          <w:tcPr>
            <w:tcW w:type="dxa" w:w="1526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法人、其他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gridBefore w:val="1"/>
          <w:wBefore w:w="5"/>
          <w:trHeight w:hRule="atleast" w:val="3982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染防治法》第十九条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排放工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气或者本法第七十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八条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中所列有毒有害大气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染物的企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位、集中供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热设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施的燃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源生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位以及其他依法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可的具体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人民共和国水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染防治法》第二十条：直接或者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接向水体排放工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水和医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疗污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水以及其他按照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方可排放的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；城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镇污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水集中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施的运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营单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位，也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当取得排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可的具体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由国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定。禁止企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位无排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违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反排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定向水体排放前款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水。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法》（部令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号）全文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《固定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染源排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可分类管理名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》</w:t>
            </w:r>
          </w:p>
        </w:tc>
      </w:tr>
      <w:tr>
        <w:trPr>
          <w:gridBefore w:val="1"/>
          <w:wBefore w:w="5"/>
          <w:trHeight w:hRule="atleast" w:val="1334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有效期届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，未延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的；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位被依法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终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止的；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、依法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排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的其他情形。</w:t>
            </w:r>
          </w:p>
        </w:tc>
      </w:tr>
      <w:tr>
        <w:trPr>
          <w:gridBefore w:val="1"/>
          <w:wBefore w:w="5"/>
          <w:trHeight w:hRule="atleast" w:val="214"/>
          <w:hidden w:val="0"/>
        </w:trPr>
        <w:tc>
          <w:tcPr>
            <w:tcW w:type="dxa" w:w="1521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4202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gridBefore w:val="1"/>
          <w:wBefore w:w="5"/>
          <w:trHeight w:hRule="atleast" w:val="214"/>
          <w:hidden w:val="0"/>
        </w:trPr>
        <w:tc>
          <w:tcPr>
            <w:tcW w:type="dxa" w:w="1521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gridBefore w:val="1"/>
          <w:wBefore w:w="5"/>
          <w:trHeight w:hRule="atleast" w:val="214"/>
          <w:hidden w:val="0"/>
        </w:trPr>
        <w:tc>
          <w:tcPr>
            <w:tcW w:type="dxa" w:w="1521"/>
            <w:vAlign w:val="center"/>
            <w:vMerge/>
          </w:tcPr>
          <w:p/>
        </w:tc>
        <w:tc>
          <w:tcPr>
            <w:tcW w:type="dxa" w:w="51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420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染物排放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（正本、副本）</w:t>
            </w:r>
          </w:p>
        </w:tc>
        <w:tc>
          <w:tcPr>
            <w:tcW w:type="dxa" w:w="901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90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29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否</w:t>
            </w:r>
          </w:p>
        </w:tc>
      </w:tr>
      <w:tr>
        <w:trPr>
          <w:gridBefore w:val="1"/>
          <w:wBefore w:w="5"/>
          <w:trHeight w:hRule="atleast" w:val="69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核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签发</w:t>
            </w:r>
          </w:p>
        </w:tc>
      </w:tr>
      <w:tr>
        <w:trPr>
          <w:gridBefore w:val="1"/>
          <w:wBefore w:w="5"/>
          <w:trHeight w:hRule="atleast" w:val="69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gridBefore w:val="1"/>
          <w:wBefore w:w="5"/>
          <w:trHeight w:hRule="atleast" w:val="69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gridBefore w:val="1"/>
          <w:wBefore w:w="5"/>
          <w:trHeight w:hRule="atleast" w:val="69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不收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</w:t>
            </w:r>
          </w:p>
        </w:tc>
      </w:tr>
      <w:tr>
        <w:trPr>
          <w:gridBefore w:val="1"/>
          <w:wBefore w:w="5"/>
          <w:trHeight w:hRule="atleast" w:val="69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482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0537-6539082</w:t>
            </w:r>
          </w:p>
        </w:tc>
        <w:tc>
          <w:tcPr>
            <w:tcW w:type="dxa" w:w="11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gridBefore w:val="1"/>
          <w:wBefore w:w="5"/>
          <w:trHeight w:hRule="atleast" w:val="69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gridBefore w:val="1"/>
          <w:wBefore w:w="5"/>
          <w:trHeight w:hRule="atleast" w:val="69"/>
          <w:hidden w:val="0"/>
        </w:trPr>
        <w:tc>
          <w:tcPr>
            <w:tcW w:type="dxa" w:w="1521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49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16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宁高新区崇文大道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  <w:r>
        <w:br w:type="page"/>
      </w: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77" type="#_x0000_t75" style="position:static;width:225.0pt;height:225.0pt;z-index:251624997" filled="t">
            <v:imagedata r:id="rId21" o:title=" "/>
            <w10:wrap type="none"/>
            <w10:anchorlock/>
          </v:shape>
        </w:pict>
      </w: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30"/>
          <w:szCs w:val="30"/>
          <w:rFonts w:ascii="??" w:eastAsia="??" w:hAnsi="??" w:hint="default"/>
        </w:rPr>
        <w:outlineLvl w:val="1"/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夜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间产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生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环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境噪声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污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染的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连续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建筑施工作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业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“一次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办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好”服</w:t>
      </w:r>
      <w:r>
        <w:rPr>
          <w:color w:val="auto"/>
          <w:position w:val="0"/>
          <w:sz w:val="30"/>
          <w:szCs w:val="30"/>
          <w:rFonts w:ascii="宋体" w:eastAsia="??" w:hAnsi="??" w:hint="default"/>
        </w:rPr>
        <w:t>务</w:t>
      </w:r>
      <w:r>
        <w:rPr>
          <w:color w:val="auto"/>
          <w:position w:val="0"/>
          <w:sz w:val="30"/>
          <w:szCs w:val="30"/>
          <w:rFonts w:ascii="??" w:eastAsia="??" w:hAnsi="??" w:hint="default"/>
        </w:rPr>
        <w:t>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487"/>
        <w:gridCol w:w="540"/>
        <w:gridCol w:w="12"/>
        <w:gridCol w:w="1965"/>
        <w:gridCol w:w="1188"/>
        <w:gridCol w:w="209"/>
        <w:gridCol w:w="855"/>
        <w:gridCol w:w="1787"/>
        <w:gridCol w:w="932"/>
      </w:tblGrid>
      <w:tr>
        <w:trPr>
          <w:trHeight w:hRule="atleast" w:val="106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受理窗口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基本建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综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合窗口</w:t>
            </w:r>
          </w:p>
        </w:tc>
      </w:tr>
      <w:tr>
        <w:trPr>
          <w:trHeight w:hRule="atleast" w:val="69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类型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许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</w:t>
            </w:r>
          </w:p>
        </w:tc>
      </w:tr>
      <w:tr>
        <w:trPr>
          <w:trHeight w:hRule="atleast" w:val="69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象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公民、法人或者其他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组织</w:t>
            </w:r>
          </w:p>
        </w:tc>
      </w:tr>
      <w:tr>
        <w:trPr>
          <w:trHeight w:hRule="atleast" w:val="3257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定依据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染防治法》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1996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10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）第三十条：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“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在城市市区噪声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敏感建筑物集中区域内，禁止夜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染的建筑施工作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抢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修、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抢险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和因生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上要求或者特殊需要必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须连续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的除外。因特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殊需要必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须连续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的，必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县级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以上人民政府或者其有关主管部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。前款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公告附近居民。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”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《山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东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染防治条例》（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2003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，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2018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月第二次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修正）第二十三条：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“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在噪声敏感建筑物集中区域内，禁止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生噪声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染的夜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建筑施工作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；但因特殊需要必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在夜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间连续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施工作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当有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境保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护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行政主管部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出具的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明，并采取有效的防治措施。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进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行前款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应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当提前三日公告噪声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染影响范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内的居民。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”</w:t>
            </w:r>
          </w:p>
        </w:tc>
      </w:tr>
      <w:tr>
        <w:trPr>
          <w:trHeight w:hRule="atleast" w:val="1334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条件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21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因生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产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艺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上要求或特殊需要必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须连续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业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建筑施工，具体包括施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工工序：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）不可中断的混凝土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搅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拌施工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）关系安全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量的深基坑开挖（含渣土装运）施工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）关系工程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桩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量的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孔灌注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桩钻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孔施工（混凝土灌注除外）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）特殊情况下的建筑物、构筑物拆除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2.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不属于中高考期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或市政府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定的其它禁止夜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施工的特殊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段内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3.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同一工地两次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批准的夜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施工之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24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以上的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隔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4.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染防治措施落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5.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施工的当月内未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违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反夜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施工管理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定，且未造成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民的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   6.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可移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隔声屏障和各类建筑施工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的消声器、隔声罩等噪声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染防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治措施</w:t>
            </w:r>
          </w:p>
        </w:tc>
      </w:tr>
      <w:tr>
        <w:trPr>
          <w:trHeight w:hRule="atleast" w:val="214"/>
          <w:hidden w:val="0"/>
        </w:trPr>
        <w:tc>
          <w:tcPr>
            <w:tcW w:type="dxa" w:w="1487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</w:t>
            </w:r>
          </w:p>
        </w:tc>
        <w:tc>
          <w:tcPr>
            <w:tcW w:type="dxa" w:w="552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</w:t>
            </w:r>
          </w:p>
        </w:tc>
        <w:tc>
          <w:tcPr>
            <w:tcW w:type="dxa" w:w="3362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材料名称</w:t>
            </w:r>
          </w:p>
        </w:tc>
        <w:tc>
          <w:tcPr>
            <w:tcW w:type="dxa" w:w="855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须</w:t>
            </w:r>
          </w:p>
        </w:tc>
        <w:tc>
          <w:tcPr>
            <w:tcW w:type="dxa" w:w="178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份数</w:t>
            </w:r>
          </w:p>
        </w:tc>
        <w:tc>
          <w:tcPr>
            <w:tcW w:type="dxa" w:w="932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子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版</w:t>
            </w:r>
          </w:p>
        </w:tc>
      </w:tr>
      <w:tr>
        <w:trPr>
          <w:trHeight w:hRule="atleast" w:val="423"/>
          <w:hidden w:val="0"/>
        </w:trPr>
        <w:tc>
          <w:tcPr>
            <w:tcW w:type="dxa" w:w="1487"/>
            <w:vAlign w:val="center"/>
            <w:vMerge/>
          </w:tcPr>
          <w:p/>
        </w:tc>
        <w:tc>
          <w:tcPr>
            <w:tcW w:type="dxa" w:w="552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3362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建筑施工申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表</w:t>
            </w:r>
          </w:p>
        </w:tc>
        <w:tc>
          <w:tcPr>
            <w:tcW w:type="dxa" w:w="855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178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份，复印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</w:t>
            </w:r>
          </w:p>
        </w:tc>
        <w:tc>
          <w:tcPr>
            <w:tcW w:type="dxa" w:w="932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440"/>
          <w:hidden w:val="0"/>
        </w:trPr>
        <w:tc>
          <w:tcPr>
            <w:tcW w:type="dxa" w:w="1487"/>
            <w:vAlign w:val="center"/>
            <w:vMerge/>
          </w:tcPr>
          <w:p/>
        </w:tc>
        <w:tc>
          <w:tcPr>
            <w:tcW w:type="dxa" w:w="54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</w:p>
        </w:tc>
        <w:tc>
          <w:tcPr>
            <w:tcW w:type="dxa" w:w="3374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设项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境影响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价文件</w:t>
            </w:r>
          </w:p>
        </w:tc>
        <w:tc>
          <w:tcPr>
            <w:tcW w:type="dxa" w:w="855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178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复印件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份</w:t>
            </w:r>
          </w:p>
        </w:tc>
        <w:tc>
          <w:tcPr>
            <w:tcW w:type="dxa" w:w="932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634"/>
          <w:hidden w:val="0"/>
        </w:trPr>
        <w:tc>
          <w:tcPr>
            <w:tcW w:type="dxa" w:w="1487"/>
            <w:vAlign w:val="center"/>
            <w:vMerge/>
          </w:tcPr>
          <w:p/>
        </w:tc>
        <w:tc>
          <w:tcPr>
            <w:tcW w:type="dxa" w:w="54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</w:p>
        </w:tc>
        <w:tc>
          <w:tcPr>
            <w:tcW w:type="dxa" w:w="3374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建筑施工承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诺书</w:t>
            </w:r>
          </w:p>
        </w:tc>
        <w:tc>
          <w:tcPr>
            <w:tcW w:type="dxa" w:w="855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178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32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634"/>
          <w:hidden w:val="0"/>
        </w:trPr>
        <w:tc>
          <w:tcPr>
            <w:tcW w:type="dxa" w:w="1487"/>
            <w:vAlign w:val="center"/>
            <w:vMerge/>
          </w:tcPr>
          <w:p/>
        </w:tc>
        <w:tc>
          <w:tcPr>
            <w:tcW w:type="dxa" w:w="54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4</w:t>
            </w:r>
          </w:p>
        </w:tc>
        <w:tc>
          <w:tcPr>
            <w:tcW w:type="dxa" w:w="3374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间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建筑施工公告</w:t>
            </w:r>
          </w:p>
        </w:tc>
        <w:tc>
          <w:tcPr>
            <w:tcW w:type="dxa" w:w="855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  <w:tc>
          <w:tcPr>
            <w:tcW w:type="dxa" w:w="1787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原件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</w:p>
        </w:tc>
        <w:tc>
          <w:tcPr>
            <w:tcW w:type="dxa" w:w="932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是</w:t>
            </w:r>
          </w:p>
        </w:tc>
      </w:tr>
      <w:tr>
        <w:trPr>
          <w:trHeight w:hRule="atleast" w:val="69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理程序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设单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位提出申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；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、受理并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审查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有关材料；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环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保部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门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按照有关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规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定出具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批意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见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。</w:t>
            </w:r>
          </w:p>
        </w:tc>
      </w:tr>
      <w:tr>
        <w:trPr>
          <w:trHeight w:hRule="atleast" w:val="69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法定期限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3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个工作日</w:t>
            </w:r>
          </w:p>
        </w:tc>
      </w:tr>
      <w:tr>
        <w:trPr>
          <w:trHeight w:hRule="atleast" w:val="69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承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诺时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限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当日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办结</w:t>
            </w:r>
          </w:p>
        </w:tc>
      </w:tr>
      <w:tr>
        <w:trPr>
          <w:trHeight w:hRule="atleast" w:val="69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费标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准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不收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</w:t>
            </w:r>
          </w:p>
        </w:tc>
      </w:tr>
      <w:tr>
        <w:trPr>
          <w:trHeight w:hRule="atleast" w:val="69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询电话</w:t>
            </w:r>
          </w:p>
        </w:tc>
        <w:tc>
          <w:tcPr>
            <w:tcW w:type="dxa" w:w="2517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0537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）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2363252</w:t>
            </w:r>
          </w:p>
        </w:tc>
        <w:tc>
          <w:tcPr>
            <w:tcW w:type="dxa" w:w="1188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投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诉电话</w:t>
            </w:r>
          </w:p>
        </w:tc>
        <w:tc>
          <w:tcPr>
            <w:tcW w:type="dxa" w:w="3783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 xml:space="preserve">6539066   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12345</w:t>
            </w:r>
          </w:p>
        </w:tc>
      </w:tr>
      <w:tr>
        <w:trPr>
          <w:trHeight w:hRule="atleast" w:val="69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结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果送达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宁高新区市民中心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统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一接收：免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费邮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寄</w:t>
            </w:r>
          </w:p>
        </w:tc>
      </w:tr>
      <w:tr>
        <w:trPr>
          <w:trHeight w:hRule="atleast" w:val="287"/>
          <w:hidden w:val="0"/>
        </w:trPr>
        <w:tc>
          <w:tcPr>
            <w:tcW w:type="dxa" w:w="1487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受理地址</w:t>
            </w:r>
          </w:p>
        </w:tc>
        <w:tc>
          <w:tcPr>
            <w:tcW w:type="dxa" w:w="7488"/>
            <w:vAlign w:val="center"/>
            <w:gridSpan w:val="8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left="0" w:firstLine="0"/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济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宁高新区崇文大道</w:t>
            </w:r>
            <w:r>
              <w:rPr>
                <w:color w:val="auto"/>
                <w:position w:val="0"/>
                <w:sz w:val="21"/>
                <w:szCs w:val="21"/>
                <w:rFonts w:ascii="??" w:eastAsia="??" w:hAnsi="??" w:hint="default"/>
              </w:rPr>
              <w:t>5566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号市民中心三楼</w:t>
            </w:r>
          </w:p>
        </w:tc>
      </w:tr>
    </w:tbl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21"/>
          <w:szCs w:val="21"/>
          <w:rFonts w:ascii="Calibri" w:eastAsia="??" w:hAnsi="??" w:hint="default"/>
        </w:rPr>
        <w:outlineLvl w:val="1"/>
        <w:wordWrap w:val="off"/>
        <w:autoSpaceDE w:val="1"/>
        <w:autoSpaceDN w:val="1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79" type="#_x0000_t75" style="position:static;width:225.0pt;height:225.0pt;z-index:251624999" filled="t">
            <v:imagedata r:id="rId22" o:title=" "/>
            <w10:wrap type="none"/>
            <w10:anchorlock/>
          </v:shape>
        </w:pict>
      </w:r>
    </w:p>
    <w:p>
      <w:pPr>
        <w:pStyle w:val="PO165"/>
        <w:numPr>
          <w:ilvl w:val="0"/>
          <w:numId w:val="0"/>
        </w:numPr>
        <w:jc w:val="both"/>
        <w:spacing w:lineRule="auto" w:line="360" w:before="0" w:after="0"/>
        <w:ind w:right="0" w:left="0" w:firstLine="0"/>
        <w:rPr>
          <w:color w:val="auto"/>
          <w:position w:val="0"/>
          <w:sz w:val="21"/>
          <w:szCs w:val="21"/>
          <w:rFonts w:ascii="Calibri" w:eastAsia="??" w:hAnsi="??" w:hint="default"/>
        </w:rPr>
        <w:outlineLvl w:val="1"/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160"/>
        <w:ind w:right="0" w:left="0" w:firstLine="0"/>
        <w:rPr>
          <w:color w:val="auto"/>
          <w:position w:val="0"/>
          <w:sz w:val="21"/>
          <w:szCs w:val="21"/>
          <w:rFonts w:ascii="Calibri" w:eastAsia="??" w:hAnsi="??" w:hint="default"/>
        </w:rPr>
        <w:wordWrap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</w:p>
    <w:sect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????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noLineBreaksAfter w:lang="ko-KR" w:val="$([{£¥·‘“〈《「『【〔〖〝﹙﹛﹝＄（．［｛￡￥"/>
  <w:noLineBreaksBefore w:lang="ko-KR" w:val="$([{£¥·‘“〈《「『【〔〖〝﹙﹛﹝＄（．［｛￡￥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  <w:rPr>
      <w:shd w:val="clear"/>
      <w:sz w:val="20"/>
      <w:szCs w:val="20"/>
      <w:w w:val="100"/>
    </w:rPr>
  </w:style>
  <w:style w:default="1" w:styleId="PO2" w:type="character">
    <w:name w:val="Default Paragraph Font"/>
    <w:uiPriority w:val="2"/>
    <w:semiHidden/>
  </w:style>
  <w:style w:default="1" w:styleId="PO3" w:type="table">
    <w:name w:val="Normal Table"/>
    <w:qFormat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qFormat/>
    <w:uiPriority w:val="5"/>
    <w:pPr>
      <w:autoSpaceDE w:val="1"/>
      <w:autoSpaceDN w:val="1"/>
      <w:jc w:val="both"/>
      <w:widowControl/>
      <w:wordWrap/>
    </w:pPr>
    <w:rPr>
      <w:shd w:val="clear"/>
      <w:sz w:val="20"/>
      <w:szCs w:val="20"/>
      <w:w w:val="100"/>
    </w:rPr>
  </w:style>
  <w:style w:styleId="PO6" w:type="paragraph">
    <w:name w:val="Title"/>
    <w:basedOn w:val="PO1"/>
    <w:link w:val="PO16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basedOn w:val="PO1"/>
    <w:link w:val="PO152"/>
    <w:qFormat/>
    <w:uiPriority w:val="7"/>
    <w:pPr>
      <w:autoSpaceDE w:val="1"/>
      <w:autoSpaceDN w:val="1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basedOn w:val="PO1"/>
    <w:link w:val="PO153"/>
    <w:qFormat/>
    <w:uiPriority w:val="8"/>
    <w:pPr>
      <w:autoSpaceDE w:val="1"/>
      <w:autoSpaceDN w:val="1"/>
      <w:widowControl/>
      <w:wordWrap/>
    </w:pPr>
  </w:style>
  <w:style w:styleId="PO9" w:type="paragraph">
    <w:name w:val="heading 3"/>
    <w:basedOn w:val="PO1"/>
    <w:link w:val="PO154"/>
    <w:qFormat/>
    <w:uiPriority w:val="9"/>
    <w:pPr>
      <w:autoSpaceDE w:val="1"/>
      <w:autoSpaceDN w:val="1"/>
      <w:ind w:left="1000" w:hanging="400"/>
      <w:widowControl/>
      <w:wordWrap/>
    </w:pPr>
  </w:style>
  <w:style w:styleId="PO10" w:type="paragraph">
    <w:name w:val="heading 4"/>
    <w:basedOn w:val="PO1"/>
    <w:link w:val="PO155"/>
    <w:qFormat/>
    <w:uiPriority w:val="10"/>
    <w:pPr>
      <w:autoSpaceDE w:val="1"/>
      <w:autoSpaceDN w:val="1"/>
      <w:ind w:left="1200" w:hanging="400"/>
      <w:widowControl/>
      <w:wordWrap/>
    </w:pPr>
    <w:rPr>
      <w:b/>
      <w:shd w:val="clear"/>
      <w:sz w:val="20"/>
      <w:szCs w:val="20"/>
      <w:w w:val="100"/>
    </w:rPr>
  </w:style>
  <w:style w:styleId="PO11" w:type="paragraph">
    <w:name w:val="heading 5"/>
    <w:basedOn w:val="PO1"/>
    <w:link w:val="PO156"/>
    <w:qFormat/>
    <w:uiPriority w:val="11"/>
    <w:pPr>
      <w:autoSpaceDE w:val="1"/>
      <w:autoSpaceDN w:val="1"/>
      <w:ind w:left="1400" w:hanging="400"/>
      <w:widowControl/>
      <w:wordWrap/>
    </w:pPr>
  </w:style>
  <w:style w:styleId="PO12" w:type="paragraph">
    <w:name w:val="heading 6"/>
    <w:basedOn w:val="PO1"/>
    <w:link w:val="PO157"/>
    <w:qFormat/>
    <w:uiPriority w:val="12"/>
    <w:pPr>
      <w:autoSpaceDE w:val="1"/>
      <w:autoSpaceDN w:val="1"/>
      <w:ind w:left="1600" w:hanging="400"/>
      <w:widowControl/>
      <w:wordWrap/>
    </w:pPr>
    <w:rPr>
      <w:b/>
      <w:shd w:val="clear"/>
      <w:sz w:val="20"/>
      <w:szCs w:val="20"/>
      <w:w w:val="100"/>
    </w:rPr>
  </w:style>
  <w:style w:styleId="PO13" w:type="paragraph">
    <w:name w:val="heading 7"/>
    <w:basedOn w:val="PO1"/>
    <w:link w:val="PO158"/>
    <w:qFormat/>
    <w:uiPriority w:val="13"/>
    <w:pPr>
      <w:autoSpaceDE w:val="1"/>
      <w:autoSpaceDN w:val="1"/>
      <w:ind w:left="1800" w:hanging="400"/>
      <w:widowControl/>
      <w:wordWrap/>
    </w:pPr>
  </w:style>
  <w:style w:styleId="PO14" w:type="paragraph">
    <w:name w:val="heading 8"/>
    <w:basedOn w:val="PO1"/>
    <w:link w:val="PO159"/>
    <w:qFormat/>
    <w:uiPriority w:val="14"/>
    <w:pPr>
      <w:autoSpaceDE w:val="1"/>
      <w:autoSpaceDN w:val="1"/>
      <w:ind w:left="2000" w:hanging="400"/>
      <w:widowControl/>
      <w:wordWrap/>
    </w:pPr>
  </w:style>
  <w:style w:styleId="PO15" w:type="paragraph">
    <w:name w:val="heading 9"/>
    <w:basedOn w:val="PO1"/>
    <w:link w:val="PO160"/>
    <w:qFormat/>
    <w:uiPriority w:val="15"/>
    <w:pPr>
      <w:autoSpaceDE w:val="1"/>
      <w:autoSpaceDN w:val="1"/>
      <w:ind w:left="2200" w:hanging="400"/>
      <w:widowControl/>
      <w:wordWrap/>
    </w:pPr>
  </w:style>
  <w:style w:styleId="PO16" w:type="paragraph">
    <w:name w:val="Subtitle"/>
    <w:basedOn w:val="PO1"/>
    <w:link w:val="PO162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basedOn w:val="PO2"/>
    <w:qFormat/>
    <w:uiPriority w:val="17"/>
    <w:rPr>
      <w:color w:val="404040"/>
      <w:i/>
      <w:rFonts w:ascii="宋体" w:eastAsia="Times New Roman" w:hAnsi="宋体"/>
      <w:shd w:val="clear" w:color="000000"/>
      <w:sz w:val="21"/>
      <w:szCs w:val="21"/>
      <w:w w:val="100"/>
    </w:rPr>
  </w:style>
  <w:style w:styleId="PO18" w:type="character">
    <w:name w:val="Emphasis"/>
    <w:basedOn w:val="PO2"/>
    <w:qFormat/>
    <w:uiPriority w:val="18"/>
    <w:rPr>
      <w:i/>
      <w:rFonts w:ascii="宋体" w:eastAsia="Times New Roman" w:hAnsi="宋体"/>
      <w:shd w:val="clear" w:color="000000"/>
      <w:sz w:val="21"/>
      <w:szCs w:val="21"/>
      <w:w w:val="100"/>
    </w:rPr>
  </w:style>
  <w:style w:styleId="PO19" w:type="character">
    <w:name w:val="Intense Emphasis"/>
    <w:basedOn w:val="PO2"/>
    <w:qFormat/>
    <w:uiPriority w:val="19"/>
    <w:rPr>
      <w:color w:val="5B9BD5"/>
      <w:i/>
      <w:rFonts w:ascii="宋体" w:eastAsia="Times New Roman" w:hAnsi="宋体"/>
      <w:shd w:val="clear" w:color="000000"/>
      <w:sz w:val="21"/>
      <w:szCs w:val="21"/>
      <w:w w:val="100"/>
    </w:rPr>
  </w:style>
  <w:style w:styleId="PO20" w:type="character">
    <w:name w:val="Strong"/>
    <w:basedOn w:val="PO2"/>
    <w:qFormat/>
    <w:uiPriority w:val="20"/>
    <w:rPr>
      <w:rFonts w:ascii="宋体" w:eastAsia="Times New Roman" w:hAnsi="宋体"/>
      <w:b/>
      <w:shd w:val="clear" w:color="000000"/>
      <w:sz w:val="21"/>
      <w:szCs w:val="21"/>
      <w:w w:val="100"/>
    </w:rPr>
  </w:style>
  <w:style w:styleId="PO21" w:type="paragraph">
    <w:name w:val="Quote"/>
    <w:basedOn w:val="PO1"/>
    <w:link w:val="PO163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0"/>
      <w:szCs w:val="20"/>
      <w:w w:val="100"/>
    </w:rPr>
  </w:style>
  <w:style w:styleId="PO22" w:type="paragraph">
    <w:name w:val="Intense Quote"/>
    <w:basedOn w:val="PO1"/>
    <w:link w:val="PO164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0"/>
      <w:szCs w:val="20"/>
      <w:w w:val="100"/>
    </w:rPr>
  </w:style>
  <w:style w:styleId="PO23" w:type="character">
    <w:name w:val="Subtle Reference"/>
    <w:basedOn w:val="PO2"/>
    <w:qFormat/>
    <w:uiPriority w:val="23"/>
    <w:rPr>
      <w:color w:val="5A5A5A"/>
      <w:rFonts w:ascii="宋体" w:eastAsia="Times New Roman" w:hAnsi="宋体"/>
      <w:shd w:val="clear" w:color="000000"/>
      <w:smallCaps/>
      <w:sz w:val="21"/>
      <w:szCs w:val="21"/>
      <w:w w:val="100"/>
    </w:rPr>
  </w:style>
  <w:style w:styleId="PO24" w:type="character">
    <w:name w:val="Intense Reference"/>
    <w:basedOn w:val="PO2"/>
    <w:qFormat/>
    <w:uiPriority w:val="24"/>
    <w:rPr>
      <w:color w:val="5B9BD5"/>
      <w:rFonts w:ascii="宋体" w:eastAsia="Times New Roman" w:hAnsi="宋体"/>
      <w:b/>
      <w:shd w:val="clear" w:color="000000"/>
      <w:smallCaps/>
      <w:sz w:val="21"/>
      <w:szCs w:val="21"/>
      <w:w w:val="100"/>
    </w:rPr>
  </w:style>
  <w:style w:styleId="PO25" w:type="character">
    <w:name w:val="Book Title"/>
    <w:basedOn w:val="PO2"/>
    <w:qFormat/>
    <w:uiPriority w:val="25"/>
    <w:rPr>
      <w:i/>
      <w:rFonts w:ascii="宋体" w:eastAsia="Times New Roman" w:hAnsi="宋体"/>
      <w:b/>
      <w:shd w:val="clear" w:color="000000"/>
      <w:sz w:val="21"/>
      <w:szCs w:val="21"/>
      <w:w w:val="100"/>
    </w:rPr>
  </w:style>
  <w:style w:styleId="PO26" w:type="paragraph">
    <w:name w:val="List Paragraph"/>
    <w:basedOn w:val="PO1"/>
    <w:qFormat/>
    <w:uiPriority w:val="26"/>
    <w:pPr>
      <w:autoSpaceDE w:val="1"/>
      <w:autoSpaceDN w:val="1"/>
      <w:ind w:firstLine="420"/>
      <w:widowControl/>
      <w:wordWrap/>
    </w:pPr>
    <w:rPr>
      <w:rFonts w:ascii="??" w:eastAsia="??" w:hAnsi="??"/>
      <w:shd w:val="clear"/>
      <w:sz w:val="20"/>
      <w:szCs w:val="20"/>
      <w:w w:val="100"/>
    </w:rPr>
  </w:style>
  <w:style w:styleId="PO27" w:type="paragraph">
    <w:name w:val="TOC Heading"/>
    <w:basedOn w:val="PO7"/>
    <w:qFormat/>
    <w:uiPriority w:val="27"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basedOn w:val="PO1"/>
    <w:uiPriority w:val="28"/>
  </w:style>
  <w:style w:styleId="PO29" w:type="paragraph">
    <w:name w:val="toc 2"/>
    <w:basedOn w:val="PO1"/>
    <w:uiPriority w:val="29"/>
    <w:pPr>
      <w:autoSpaceDE w:val="1"/>
      <w:autoSpaceDN w:val="1"/>
      <w:ind w:left="425" w:firstLine="0"/>
      <w:widowControl/>
      <w:wordWrap/>
    </w:pPr>
  </w:style>
  <w:style w:styleId="PO30" w:type="paragraph">
    <w:name w:val="toc 3"/>
    <w:basedOn w:val="PO1"/>
    <w:uiPriority w:val="30"/>
    <w:pPr>
      <w:autoSpaceDE w:val="1"/>
      <w:autoSpaceDN w:val="1"/>
      <w:ind w:left="850" w:firstLine="0"/>
      <w:widowControl/>
      <w:wordWrap/>
    </w:pPr>
  </w:style>
  <w:style w:styleId="PO31" w:type="paragraph">
    <w:name w:val="toc 4"/>
    <w:basedOn w:val="PO1"/>
    <w:uiPriority w:val="31"/>
    <w:pPr>
      <w:autoSpaceDE w:val="1"/>
      <w:autoSpaceDN w:val="1"/>
      <w:ind w:left="1275" w:firstLine="0"/>
      <w:widowControl/>
      <w:wordWrap/>
    </w:pPr>
  </w:style>
  <w:style w:styleId="PO32" w:type="paragraph">
    <w:name w:val="toc 5"/>
    <w:basedOn w:val="PO1"/>
    <w:uiPriority w:val="32"/>
    <w:pPr>
      <w:autoSpaceDE w:val="1"/>
      <w:autoSpaceDN w:val="1"/>
      <w:ind w:left="1700" w:firstLine="0"/>
      <w:widowControl/>
      <w:wordWrap/>
    </w:pPr>
  </w:style>
  <w:style w:styleId="PO33" w:type="paragraph">
    <w:name w:val="toc 6"/>
    <w:basedOn w:val="PO1"/>
    <w:uiPriority w:val="33"/>
    <w:pPr>
      <w:autoSpaceDE w:val="1"/>
      <w:autoSpaceDN w:val="1"/>
      <w:ind w:left="2125" w:firstLine="0"/>
      <w:widowControl/>
      <w:wordWrap/>
    </w:pPr>
  </w:style>
  <w:style w:styleId="PO34" w:type="paragraph">
    <w:name w:val="toc 7"/>
    <w:basedOn w:val="PO1"/>
    <w:uiPriority w:val="34"/>
    <w:pPr>
      <w:autoSpaceDE w:val="1"/>
      <w:autoSpaceDN w:val="1"/>
      <w:ind w:left="2550" w:firstLine="0"/>
      <w:widowControl/>
      <w:wordWrap/>
    </w:pPr>
  </w:style>
  <w:style w:styleId="PO35" w:type="paragraph">
    <w:name w:val="toc 8"/>
    <w:basedOn w:val="PO1"/>
    <w:uiPriority w:val="35"/>
    <w:pPr>
      <w:autoSpaceDE w:val="1"/>
      <w:autoSpaceDN w:val="1"/>
      <w:ind w:left="2975" w:firstLine="0"/>
      <w:widowControl/>
      <w:wordWrap/>
    </w:pPr>
  </w:style>
  <w:style w:styleId="PO36" w:type="paragraph">
    <w:name w:val="toc 9"/>
    <w:basedOn w:val="PO1"/>
    <w:uiPriority w:val="36"/>
    <w:pPr>
      <w:autoSpaceDE w:val="1"/>
      <w:autoSpaceDN w:val="1"/>
      <w:ind w:left="3400" w:firstLine="0"/>
      <w:widowControl/>
      <w:wordWrap/>
    </w:p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customStyle="1" w:styleId="PO152" w:type="character">
    <w:name w:val="Heading 1 Char"/>
    <w:basedOn w:val="PO2"/>
    <w:link w:val="PO7"/>
    <w:uiPriority w:val="152"/>
    <w:rPr>
      <w:rFonts w:ascii="宋体" w:eastAsia="Times New Roman" w:hAnsi="宋体"/>
      <w:b/>
      <w:shd w:val="clear"/>
      <w:sz w:val="44"/>
      <w:szCs w:val="44"/>
      <w:w w:val="100"/>
    </w:rPr>
  </w:style>
  <w:style w:customStyle="1" w:styleId="PO153" w:type="character">
    <w:name w:val="Heading 2 Char"/>
    <w:basedOn w:val="PO2"/>
    <w:link w:val="PO8"/>
    <w:uiPriority w:val="153"/>
    <w:semiHidden/>
    <w:rPr>
      <w:rFonts w:ascii="Cambria" w:eastAsia="Times New Roman" w:hAnsi="Cambria"/>
      <w:b/>
      <w:shd w:val="clear"/>
      <w:sz w:val="32"/>
      <w:szCs w:val="32"/>
      <w:w w:val="100"/>
    </w:rPr>
  </w:style>
  <w:style w:customStyle="1" w:styleId="PO154" w:type="character">
    <w:name w:val="Heading 3 Char"/>
    <w:basedOn w:val="PO2"/>
    <w:link w:val="PO9"/>
    <w:uiPriority w:val="154"/>
    <w:semiHidden/>
    <w:rPr>
      <w:rFonts w:ascii="宋体" w:eastAsia="Times New Roman" w:hAnsi="宋体"/>
      <w:b/>
      <w:shd w:val="clear"/>
      <w:sz w:val="32"/>
      <w:szCs w:val="32"/>
      <w:w w:val="100"/>
    </w:rPr>
  </w:style>
  <w:style w:customStyle="1" w:styleId="PO155" w:type="character">
    <w:name w:val="Heading 4 Char"/>
    <w:basedOn w:val="PO2"/>
    <w:link w:val="PO10"/>
    <w:uiPriority w:val="155"/>
    <w:semiHidden/>
    <w:rPr>
      <w:rFonts w:ascii="Cambria" w:eastAsia="Times New Roman" w:hAnsi="Cambria"/>
      <w:b/>
      <w:shd w:val="clear"/>
      <w:sz w:val="28"/>
      <w:szCs w:val="28"/>
      <w:w w:val="100"/>
    </w:rPr>
  </w:style>
  <w:style w:customStyle="1" w:styleId="PO156" w:type="character">
    <w:name w:val="Heading 5 Char"/>
    <w:basedOn w:val="PO2"/>
    <w:link w:val="PO11"/>
    <w:uiPriority w:val="156"/>
    <w:semiHidden/>
    <w:rPr>
      <w:rFonts w:ascii="宋体" w:eastAsia="Times New Roman" w:hAnsi="宋体"/>
      <w:b/>
      <w:shd w:val="clear"/>
      <w:sz w:val="28"/>
      <w:szCs w:val="28"/>
      <w:w w:val="100"/>
    </w:rPr>
  </w:style>
  <w:style w:customStyle="1" w:styleId="PO157" w:type="character">
    <w:name w:val="Heading 6 Char"/>
    <w:basedOn w:val="PO2"/>
    <w:link w:val="PO12"/>
    <w:uiPriority w:val="157"/>
    <w:semiHidden/>
    <w:rPr>
      <w:rFonts w:ascii="Cambria" w:eastAsia="Times New Roman" w:hAnsi="Cambria"/>
      <w:b/>
      <w:shd w:val="clear"/>
      <w:sz w:val="24"/>
      <w:szCs w:val="24"/>
      <w:w w:val="100"/>
    </w:rPr>
  </w:style>
  <w:style w:customStyle="1" w:styleId="PO158" w:type="character">
    <w:name w:val="Heading 7 Char"/>
    <w:basedOn w:val="PO2"/>
    <w:link w:val="PO13"/>
    <w:uiPriority w:val="158"/>
    <w:semiHidden/>
    <w:rPr>
      <w:rFonts w:ascii="宋体" w:eastAsia="Times New Roman" w:hAnsi="宋体"/>
      <w:b/>
      <w:shd w:val="clear"/>
      <w:sz w:val="24"/>
      <w:szCs w:val="24"/>
      <w:w w:val="100"/>
    </w:rPr>
  </w:style>
  <w:style w:customStyle="1" w:styleId="PO159" w:type="character">
    <w:name w:val="Heading 8 Char"/>
    <w:basedOn w:val="PO2"/>
    <w:link w:val="PO14"/>
    <w:uiPriority w:val="159"/>
    <w:semiHidden/>
    <w:rPr>
      <w:rFonts w:ascii="Cambria" w:eastAsia="Times New Roman" w:hAnsi="Cambria"/>
      <w:shd w:val="clear"/>
      <w:sz w:val="24"/>
      <w:szCs w:val="24"/>
      <w:w w:val="100"/>
    </w:rPr>
  </w:style>
  <w:style w:customStyle="1" w:styleId="PO160" w:type="character">
    <w:name w:val="Heading 9 Char"/>
    <w:basedOn w:val="PO2"/>
    <w:link w:val="PO15"/>
    <w:uiPriority w:val="160"/>
    <w:semiHidden/>
    <w:rPr>
      <w:rFonts w:ascii="Cambria" w:eastAsia="Times New Roman" w:hAnsi="Cambria"/>
      <w:shd w:val="clear"/>
      <w:sz w:val="21"/>
      <w:szCs w:val="21"/>
      <w:w w:val="100"/>
    </w:rPr>
  </w:style>
  <w:style w:customStyle="1" w:styleId="PO161" w:type="character">
    <w:name w:val="Title Char"/>
    <w:basedOn w:val="PO2"/>
    <w:link w:val="PO6"/>
    <w:uiPriority w:val="161"/>
    <w:rPr>
      <w:rFonts w:ascii="Cambria" w:eastAsia="Times New Roman" w:hAnsi="Cambria"/>
      <w:b/>
      <w:shd w:val="clear"/>
      <w:sz w:val="32"/>
      <w:szCs w:val="32"/>
      <w:w w:val="100"/>
    </w:rPr>
  </w:style>
  <w:style w:customStyle="1" w:styleId="PO162" w:type="character">
    <w:name w:val="Subtitle Char"/>
    <w:basedOn w:val="PO2"/>
    <w:link w:val="PO16"/>
    <w:uiPriority w:val="162"/>
    <w:rPr>
      <w:rFonts w:ascii="Cambria" w:eastAsia="Times New Roman" w:hAnsi="Cambria"/>
      <w:b/>
      <w:shd w:val="clear"/>
      <w:sz w:val="32"/>
      <w:szCs w:val="32"/>
      <w:w w:val="100"/>
    </w:rPr>
  </w:style>
  <w:style w:customStyle="1" w:styleId="PO163" w:type="character">
    <w:name w:val="Quote Char"/>
    <w:basedOn w:val="PO2"/>
    <w:link w:val="PO21"/>
    <w:uiPriority w:val="163"/>
    <w:rPr>
      <w:color w:val="000000"/>
      <w:i/>
      <w:rFonts w:ascii="宋体" w:eastAsia="Times New Roman" w:hAnsi="宋体"/>
      <w:shd w:val="clear"/>
      <w:sz w:val="21"/>
      <w:szCs w:val="21"/>
      <w:w w:val="100"/>
    </w:rPr>
  </w:style>
  <w:style w:customStyle="1" w:styleId="PO164" w:type="character">
    <w:name w:val="Intense Quote Char"/>
    <w:basedOn w:val="PO2"/>
    <w:link w:val="PO22"/>
    <w:uiPriority w:val="164"/>
    <w:rPr>
      <w:color w:val="4F81BD"/>
      <w:i/>
      <w:rFonts w:ascii="宋体" w:eastAsia="Times New Roman" w:hAnsi="宋体"/>
      <w:b/>
      <w:shd w:val="clear"/>
      <w:sz w:val="21"/>
      <w:szCs w:val="21"/>
      <w:w w:val="100"/>
    </w:rPr>
  </w:style>
  <w:style w:customStyle="1" w:styleId="PO165" w:type="paragraph">
    <w:name w:val="HP正文"/>
    <w:basedOn w:val="PO1"/>
    <w:uiPriority w:val="165"/>
    <w:pPr>
      <w:autoSpaceDE w:val="1"/>
      <w:autoSpaceDN w:val="1"/>
      <w:ind w:firstLine="200"/>
      <w:widowControl/>
      <w:wordWrap/>
    </w:pPr>
    <w:rPr>
      <w:rFonts w:ascii="??" w:eastAsia="??" w:hAnsi="??"/>
      <w:shd w:val="clear"/>
      <w:sz w:val="24"/>
      <w:szCs w:val="24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image1.png"></Relationship><Relationship Id="rId6" Type="http://schemas.openxmlformats.org/officeDocument/2006/relationships/image" Target="media/image2.png"></Relationship><Relationship Id="rId7" Type="http://schemas.openxmlformats.org/officeDocument/2006/relationships/image" Target="media/image3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6.png"></Relationship><Relationship Id="rId11" Type="http://schemas.openxmlformats.org/officeDocument/2006/relationships/image" Target="media/image7.png"></Relationship><Relationship Id="rId12" Type="http://schemas.openxmlformats.org/officeDocument/2006/relationships/image" Target="media/image8.png"></Relationship><Relationship Id="rId13" Type="http://schemas.openxmlformats.org/officeDocument/2006/relationships/image" Target="media/image9.png"></Relationship><Relationship Id="rId14" Type="http://schemas.openxmlformats.org/officeDocument/2006/relationships/image" Target="media/image10.png"></Relationship><Relationship Id="rId15" Type="http://schemas.openxmlformats.org/officeDocument/2006/relationships/image" Target="media/image11.png"></Relationship><Relationship Id="rId16" Type="http://schemas.openxmlformats.org/officeDocument/2006/relationships/image" Target="media/image12.png"></Relationship><Relationship Id="rId17" Type="http://schemas.openxmlformats.org/officeDocument/2006/relationships/image" Target="media/image13.png"></Relationship><Relationship Id="rId18" Type="http://schemas.openxmlformats.org/officeDocument/2006/relationships/image" Target="media/image14.png"></Relationship><Relationship Id="rId19" Type="http://schemas.openxmlformats.org/officeDocument/2006/relationships/image" Target="media/image15.png"></Relationship><Relationship Id="rId20" Type="http://schemas.openxmlformats.org/officeDocument/2006/relationships/image" Target="media/image15.png"></Relationship><Relationship Id="rId21" Type="http://schemas.openxmlformats.org/officeDocument/2006/relationships/image" Target="media/image16.png"></Relationship><Relationship Id="rId22" Type="http://schemas.openxmlformats.org/officeDocument/2006/relationships/image" Target="media/image17.png"></Relationship><Relationship Id="rId23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37</Pages>
  <Paragraphs>0</Paragraphs>
  <Words>2678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  <dcterms:modified xsi:type="dcterms:W3CDTF">2018-09-30T01:38:00Z</dcterms:modified>
</cp:coreProperties>
</file>