
<file path=[Content_Types].xml><?xml version="1.0" encoding="utf-8"?>
<Types xmlns="http://schemas.openxmlformats.org/package/2006/content-types">
  <Default Extension="png" ContentType="image/png"/>
  <Default Extension="bin" ContentType="application/vnd.openxmlformats-officedocument.oleObject"/>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16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auto" w:line="240" w:before="0" w:after="160"/>
        <w:ind w:right="0" w:firstLine="0"/>
        <w:rPr>
          <w:color w:val="auto"/>
          <w:position w:val="0"/>
          <w:sz w:val="30"/>
          <w:szCs w:val="30"/>
          <w:rFonts w:ascii="宋体" w:eastAsia="宋体" w:hAnsi="宋体" w:hint="default"/>
        </w:rPr>
        <w:autoSpaceDE w:val="1"/>
        <w:autoSpaceDN w:val="1"/>
      </w:pPr>
      <w:r>
        <w:rPr>
          <w:color w:val="auto"/>
          <w:position w:val="0"/>
          <w:sz w:val="32"/>
          <w:szCs w:val="32"/>
          <w:rFonts w:ascii="方正仿宋简体" w:eastAsia="方正仿宋简体" w:hAnsi="方正仿宋简体" w:hint="default"/>
        </w:rPr>
        <w:t>主要污染物排放总量控制指标确认</w:t>
      </w:r>
      <w:r>
        <w:rPr>
          <w:color w:val="auto"/>
          <w:position w:val="0"/>
          <w:sz w:val="30"/>
          <w:szCs w:val="30"/>
          <w:rFonts w:ascii="宋体" w:eastAsia="宋体" w:hAnsi="宋体" w:hint="default"/>
        </w:rPr>
        <w:t>“一次办好”服务指南</w:t>
      </w:r>
    </w:p>
    <w:tbl>
      <w:tblID w:val="0"/>
      <w:tblPr>
        <w:tblStyle w:val="PO37"/>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b w:val="1"/>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行政确认事项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cnfStyle w:val="000000010000" w:firstRow="0" w:lastRow="0" w:firstColumn="0" w:lastColumn="0" w:oddVBand="0" w:evenVBand="0" w:oddHBand="0" w:evenHBand="1" w:firstRowFirstColumn="0" w:firstRowLastColumn="0" w:lastRowFirstColumn="0" w:lastRowLastColumn="0"/>
          <w:trHeight w:hRule="atleast" w:val="248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《建设项目主要污染物排放总量指标审核及管理暂行办法》</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1334"/>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申报条件</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高新区内新建、扩建、改建和迁建对环境有影响的建设项目。</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17"/>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《济宁市建设项目主要污染物总量确认</w:t>
            </w:r>
            <w:r>
              <w:rPr>
                <w:color w:val="auto"/>
                <w:position w:val="0"/>
                <w:sz w:val="21"/>
                <w:szCs w:val="21"/>
                <w:rFonts w:ascii="宋体" w:eastAsia="宋体" w:hAnsi="宋体" w:hint="default"/>
              </w:rPr>
              <w:t>书》</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w:t>
            </w: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《建设项目环境影响报告书（表）》（送</w:t>
            </w:r>
            <w:r>
              <w:rPr>
                <w:color w:val="auto"/>
                <w:position w:val="0"/>
                <w:sz w:val="21"/>
                <w:szCs w:val="21"/>
                <w:rFonts w:ascii="宋体" w:eastAsia="宋体" w:hAnsi="宋体" w:hint="default"/>
              </w:rPr>
              <w:t>审稿，需建设单位盖章）</w:t>
            </w: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1、根据环评单位预测的污染物排放情况并结合本地主要污染物总量控制情况以</w:t>
            </w:r>
            <w:r>
              <w:rPr>
                <w:color w:val="auto"/>
                <w:position w:val="0"/>
                <w:sz w:val="21"/>
                <w:szCs w:val="21"/>
                <w:rFonts w:ascii="宋体" w:eastAsia="宋体" w:hAnsi="宋体" w:hint="default"/>
              </w:rPr>
              <w:t>及相关资料提出总量指标、来源和替代削减方案出具审核意见。</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2、审核完后，出具建设项目主要污染物总量确认书，并通知建设单位领取。</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10个工作日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5个工作日</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无</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cnfStyle w:val="000001100000" w:firstRow="0" w:lastRow="0" w:firstColumn="0" w:lastColumn="0" w:oddVBand="0" w:evenVBand="1" w:oddHBand="1" w:evenHBand="0" w:firstRowFirstColumn="0" w:firstRowLastColumn="0" w:lastRowFirstColumn="0" w:lastRowLastColumn="0"/>
            <w:vAlign w:val="center"/>
            <w:gridSpan w:val="2"/>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0537-6239082</w:t>
            </w:r>
          </w:p>
        </w:tc>
        <w:tc>
          <w:tcPr>
            <w:tcW w:type="dxa" w:w="11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cnfStyle w:val="000001100000" w:firstRow="0" w:lastRow="0" w:firstColumn="0" w:lastColumn="0" w:oddVBand="0" w:evenVBand="1" w:oddHBand="1" w:evenHBand="0" w:firstRowFirstColumn="0" w:firstRowLastColumn="0" w:lastRowFirstColumn="0" w:lastRowLastColumn="0"/>
            <w:vAlign w:val="center"/>
            <w:gridSpan w:val="4"/>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center"/>
        <w:spacing w:lineRule="auto" w:line="240" w:before="0" w:after="160"/>
        <w:ind w:right="0" w:firstLine="0"/>
        <w:rPr>
          <w:color w:val="auto"/>
          <w:position w:val="0"/>
          <w:sz w:val="30"/>
          <w:szCs w:val="30"/>
          <w:rFonts w:ascii="??" w:eastAsia="??" w:hAnsi="??" w:hint="default"/>
        </w:rPr>
        <w:wordWrap w:val="off"/>
        <w:autoSpaceDE w:val="1"/>
        <w:autoSpaceDN w:val="1"/>
      </w:pPr>
    </w:p>
    <w:p>
      <w:pPr>
        <w:numPr>
          <w:ilvl w:val="0"/>
          <w:numId w:val="0"/>
        </w:numPr>
        <w:jc w:val="center"/>
        <w:spacing w:lineRule="auto" w:line="240" w:before="0" w:after="160"/>
        <w:ind w:right="0" w:firstLine="0"/>
        <w:rPr>
          <w:color w:val="auto"/>
          <w:position w:val="0"/>
          <w:sz w:val="30"/>
          <w:szCs w:val="30"/>
          <w:rFonts w:ascii="??" w:eastAsia="??" w:hAnsi="??" w:hint="default"/>
        </w:rPr>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 type="#_x0000_t75" style="position:static;width:225.0pt;height:225.0pt;z-index:251624961" filled="t">
            <v:imagedata r:id="rId5" o:title=" "/>
            <w10:wrap type="none"/>
            <w10:anchorlock/>
          </v:shape>
        </w:pict>
      </w:r>
    </w:p>
    <w:p>
      <w:pPr>
        <w:numPr>
          <w:ilvl w:val="0"/>
          <w:numId w:val="0"/>
        </w:numPr>
        <w:jc w:val="center"/>
        <w:spacing w:lineRule="auto" w:line="240" w:before="0" w:after="160"/>
        <w:ind w:right="0" w:firstLine="0"/>
        <w:rPr>
          <w:color w:val="auto"/>
          <w:position w:val="0"/>
          <w:sz w:val="21"/>
          <w:szCs w:val="21"/>
          <w:rFonts w:ascii="宋体" w:eastAsia="宋体" w:hAnsi="宋体" w:hint="default"/>
        </w:rPr>
        <w:wordWrap w:val="off"/>
      </w:pPr>
      <w:r>
        <w:rPr>
          <w:color w:val="auto"/>
          <w:position w:val="0"/>
          <w:sz w:val="30"/>
          <w:szCs w:val="30"/>
          <w:rFonts w:ascii="??" w:eastAsia="??" w:hAnsi="??"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方正仿宋简体">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Calibri" w:eastAsia="Times New Roman" w:hAnsi="Calibri"/>
        <w:shd w:val="clear"/>
        <w:sz w:val="20"/>
        <w:szCs w:val="20"/>
        <w:w w:val="100"/>
      </w:rPr>
    </w:rPrDefault>
  </w:docDefaults>
  <w:style w:default="1" w:styleId="PO1" w:type="paragraph">
    <w:name w:val="Normal"/>
    <w:qFormat/>
    <w:uiPriority w:val="1"/>
    <w:pPr>
      <w:autoSpaceDE w:val="1"/>
      <w:autoSpaceDN w:val="1"/>
      <w:jc w:val="both"/>
      <w:widowControl/>
      <w:wordWrap/>
    </w:pPr>
    <w:rPr>
      <w:rFonts w:ascii="Calibri" w:eastAsia="宋体" w:hAnsi="Calibri"/>
      <w:shd w:val="clear"/>
      <w:sz w:val="21"/>
      <w:szCs w:val="21"/>
      <w:w w:val="100"/>
    </w:rPr>
  </w:style>
  <w:style w:default="1" w:styleId="PO2" w:type="character">
    <w:name w:val="Default Paragraph Font"/>
    <w:uiPriority w:val="2"/>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basedOn w:val="PO1"/>
    <w:qFormat/>
    <w:uiPriority w:val="26"/>
    <w:pPr>
      <w:autoSpaceDE w:val="1"/>
      <w:autoSpaceDN w:val="1"/>
      <w:ind w:firstLine="420"/>
      <w:widowControl/>
      <w:wordWrap/>
    </w:p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6412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微软中国</Company>
  <DocSecurity>0</DocSecurity>
  <HyperlinksChanged>false</HyperlinksChanged>
  <Lines>11</Lines>
  <LinksUpToDate>false</LinksUpToDate>
  <Pages>2</Pages>
  <Paragraphs>3</Paragraphs>
  <Words>233</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2018-09-28T08:28:17Z</dcterms:modified>
</cp:coreProperties>
</file>