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信息公开“一次办好”服务指南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06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受理窗口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基本建设项目综合窗口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事项类型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公共服务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办理对象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公民、法人或者其他组织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3982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设定依据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1、《中华人民共和国政府信息公开条例》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334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申报条件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属权限内受理范围、符合相关产业政策和法律法规要求，申请材料齐全、符合法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定形式，或者申请人按要求提交全部补充申请材料，即可办理。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申报材料</w:t>
            </w:r>
          </w:p>
        </w:tc>
        <w:tc>
          <w:tcPr>
            <w:tcW w:type="dxa" w:w="51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号</w:t>
            </w:r>
          </w:p>
        </w:tc>
        <w:tc>
          <w:tcPr>
            <w:tcW w:type="dxa" w:w="420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材料名称</w:t>
            </w:r>
          </w:p>
        </w:tc>
        <w:tc>
          <w:tcPr>
            <w:tcW w:type="dxa" w:w="901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须</w:t>
            </w:r>
          </w:p>
        </w:tc>
        <w:tc>
          <w:tcPr>
            <w:tcW w:type="dxa" w:w="90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份数</w:t>
            </w:r>
          </w:p>
        </w:tc>
        <w:tc>
          <w:tcPr>
            <w:tcW w:type="dxa" w:w="92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要电子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政府信息公开申请表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2</w:t>
            </w: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身份证明材料</w:t>
            </w:r>
          </w:p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办理程序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申请人提报材料至环保窗口或通过高新区网站提报电子材料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http://www.jnhn.gov.cn/）→环保部门进行材料审查→材料齐全受理→通知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申请人到环保部门领取信息公开回复（或快递送达。可以通过电子邮件形式回复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的将以电子邮件形式回复。）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法定期限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15个工作日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承诺时限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5个工作日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收费标准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不收费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咨询电话</w:t>
            </w:r>
          </w:p>
        </w:tc>
        <w:tc>
          <w:tcPr>
            <w:tcW w:type="dxa" w:w="248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（0537）2363252</w:t>
            </w:r>
          </w:p>
        </w:tc>
        <w:tc>
          <w:tcPr>
            <w:tcW w:type="dxa" w:w="118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投诉电话</w:t>
            </w:r>
          </w:p>
        </w:tc>
        <w:tc>
          <w:tcPr>
            <w:tcW w:type="dxa" w:w="3781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 xml:space="preserve">6539066   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：12345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结果送达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济宁高新区市民中心统一接收：免费邮寄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受理地址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济宁高新区崇文大道5566号市民中心三楼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0"/>
          <w:szCs w:val="20"/>
          <w:rFonts w:ascii="??" w:eastAsia="Times New Roman" w:hAnsi="Times New Roman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0" type="#_x0000_t75" style="position:static;width:225.0pt;height:225.0pt;z-index:251624961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0"/>
          <w:szCs w:val="20"/>
          <w:rFonts w:ascii="??" w:eastAsia="Times New Roman" w:hAnsi="Times New Roman" w:hint="default"/>
        </w:rPr>
        <w:wordWrap w:val="off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8"/>
          <w:szCs w:val="28"/>
          <w:rFonts w:ascii="??" w:eastAsia="Times New Roman" w:hAnsi="Times New Roman" w:hint="default"/>
        </w:rPr>
        <w:wordWrap w:val="off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wordWrap w:val="off"/>
      </w:pPr>
      <w:r>
        <w:rPr>
          <w:color w:val="auto"/>
          <w:position w:val="0"/>
          <w:sz w:val="28"/>
          <w:szCs w:val="28"/>
          <w:rFonts w:ascii="??" w:eastAsia="Times New Roman" w:hAnsi="Times New Roman" w:hint="default"/>
        </w:rPr>
        <w:t>http://jigxzwfw.sd.gov.cn/</w:t>
      </w:r>
    </w:p>
    <w:sectPr>
      <w:pgSz w:w="11906" w:h="16838"/>
      <w:pgMar w:top="1134" w:left="1588" w:bottom="1134" w:right="1474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??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宋体" w:hAnsi="Calibri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basedOn w:val="PO1"/>
    <w:qFormat/>
    <w:uiPriority w:val="26"/>
    <w:pPr>
      <w:autoSpaceDE w:val="1"/>
      <w:autoSpaceDN w:val="1"/>
      <w:ind w:firstLine="420"/>
      <w:widowControl/>
      <w:wordWrap/>
    </w:pPr>
    <w:rPr>
      <w:rFonts w:ascii="Calibri" w:eastAsia="Times New Roman" w:hAnsi="Calibri"/>
      <w:shd w:val="clear"/>
      <w:sz w:val="20"/>
      <w:szCs w:val="20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paragraph">
    <w:name w:val="header"/>
    <w:basedOn w:val="PO1"/>
    <w:link w:val="PO153"/>
    <w:uiPriority w:val="152"/>
    <w:semiHidden/>
    <w:unhideWhenUsed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3" w:type="character">
    <w:name w:val="页眉 Char"/>
    <w:basedOn w:val="PO2"/>
    <w:link w:val="PO152"/>
    <w:uiPriority w:val="153"/>
    <w:semiHidden/>
    <w:rPr>
      <w:shd w:val="clear"/>
      <w:sz w:val="18"/>
      <w:szCs w:val="18"/>
      <w:w w:val="100"/>
    </w:rPr>
  </w:style>
  <w:style w:styleId="PO154" w:type="paragraph">
    <w:name w:val="footer"/>
    <w:basedOn w:val="PO1"/>
    <w:link w:val="PO155"/>
    <w:uiPriority w:val="154"/>
    <w:semiHidden/>
    <w:unhideWhenUsed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5" w:type="character">
    <w:name w:val="页脚 Char"/>
    <w:basedOn w:val="PO2"/>
    <w:link w:val="PO154"/>
    <w:uiPriority w:val="155"/>
    <w:semiHidden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22931041.png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微软中国</Company>
  <DocSecurity>0</DocSecurity>
  <HyperlinksChanged>false</HyperlinksChanged>
  <Lines>3</Lines>
  <LinksUpToDate>false</LinksUpToDate>
  <Pages>2</Pages>
  <Paragraphs>1</Paragraphs>
  <Words>69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政务服务中心收文</dc:creator>
  <cp:lastModifiedBy/>
  <dcterms:modified xsi:type="dcterms:W3CDTF">2018-09-28T08:11:00Z</dcterms:modified>
</cp:coreProperties>
</file>