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Calibri" w:eastAsia="宋体" w:hAnsi="宋体" w:hint="default"/>
        </w:rPr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30"/>
          <w:szCs w:val="30"/>
          <w:rFonts w:ascii="宋体" w:eastAsia="宋体" w:hAnsi="宋体" w:hint="default"/>
        </w:rPr>
        <w:autoSpaceDE w:val="1"/>
        <w:autoSpaceDN w:val="1"/>
      </w:pPr>
      <w:r>
        <w:rPr>
          <w:color w:val="auto"/>
          <w:position w:val="0"/>
          <w:sz w:val="30"/>
          <w:szCs w:val="30"/>
          <w:rFonts w:ascii="宋体" w:eastAsia="宋体" w:hAnsi="宋体" w:hint="default"/>
        </w:rPr>
        <w:t>建设项目环境影响登记表备案“一次办好”服务指南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1523"/>
        <w:gridCol w:w="517"/>
        <w:gridCol w:w="1966"/>
        <w:gridCol w:w="1188"/>
        <w:gridCol w:w="1051"/>
        <w:gridCol w:w="901"/>
        <w:gridCol w:w="900"/>
        <w:gridCol w:w="929"/>
      </w:tblGrid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106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受理窗口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基本建设项目综合窗口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事项类型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其他权利事项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办理对象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法人、其他组织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3982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设定依据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1、《中华人民共和国环境影响评价法》（2016年7月修订）第十六条：国家根据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建设项目对环境的影响程度，对建设项目的环境影响评价实行分类管理。建设单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位应当按照下列规定组织编制环境影响报告书、环境影响报告表或者填报环境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影响登记表。第二十五条：建设项目的环境影响评价文件未依法经审批部门审查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或者审查后未予批准的，建设单位不得开工建设。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2、《建设项目环境影响登记表备案管理办法》第五条  县级环境保护主管部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门负责本行政区域内的建设项目环境影响登记表备案管理。第七条  建设项目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环境影响登记表备案采用网上备案方式。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1334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申报条件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符合《建设项目环境影响分类管理名录》中登记表的事项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申报材料</w:t>
            </w:r>
          </w:p>
        </w:tc>
        <w:tc>
          <w:tcPr>
            <w:tcW w:type="dxa" w:w="517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序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号</w:t>
            </w:r>
          </w:p>
        </w:tc>
        <w:tc>
          <w:tcPr>
            <w:tcW w:type="dxa" w:w="4205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材料名称</w:t>
            </w:r>
          </w:p>
        </w:tc>
        <w:tc>
          <w:tcPr>
            <w:tcW w:type="dxa" w:w="901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是否必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须</w:t>
            </w:r>
          </w:p>
        </w:tc>
        <w:tc>
          <w:tcPr>
            <w:tcW w:type="dxa" w:w="90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份数</w:t>
            </w:r>
          </w:p>
        </w:tc>
        <w:tc>
          <w:tcPr>
            <w:tcW w:type="dxa" w:w="929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是否需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要电子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版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42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无</w:t>
            </w: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420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42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420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42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   </w:t>
            </w: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420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42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420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办理程序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单位进入山东省建设项目环境影响登记备案系统（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http://58.56.98.90/REG/a/login）自行备案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法定期限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符合要求，即时办理。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承诺时限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符合要求，即时办理。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收费标准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无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咨询电话</w:t>
            </w:r>
          </w:p>
        </w:tc>
        <w:tc>
          <w:tcPr>
            <w:tcW w:type="dxa" w:w="2483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(0537)2363252</w:t>
            </w:r>
          </w:p>
        </w:tc>
        <w:tc>
          <w:tcPr>
            <w:tcW w:type="dxa" w:w="1188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投诉电话</w:t>
            </w:r>
          </w:p>
        </w:tc>
        <w:tc>
          <w:tcPr>
            <w:tcW w:type="dxa" w:w="3781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 xml:space="preserve">6539066   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：12345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结果送达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济宁高新区市民中心统一接收：免费邮寄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受理地址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济宁市高新区崇文大道科技馆5566号市民中心三楼</w:t>
            </w:r>
          </w:p>
        </w:tc>
      </w:tr>
    </w:tbl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20"/>
          <w:szCs w:val="20"/>
          <w:rFonts w:ascii="??" w:eastAsia="Times New Roman" w:hAnsi="Times New Roman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0" type="#_x0000_t75" style="position:static;width:225.0pt;height:225.0pt;z-index:251624961" filled="t">
            <v:imagedata r:id="rId5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宋体" w:eastAsia="宋体" w:hAnsi="宋体" w:hint="default"/>
        </w:rPr>
        <w:wordWrap w:val="off"/>
      </w:pPr>
      <w:r>
        <w:rPr>
          <w:color w:val="auto"/>
          <w:position w:val="0"/>
          <w:sz w:val="28"/>
          <w:szCs w:val="28"/>
          <w:rFonts w:ascii="??" w:eastAsia="Times New Roman" w:hAnsi="Times New Roman" w:hint="default"/>
        </w:rPr>
        <w:t>http://jigxzwfw.sd.gov.cn/</w:t>
      </w:r>
    </w:p>
    <w:sectPr>
      <w:pgSz w:w="11906" w:h="16838"/>
      <w:pgMar w:top="1134" w:left="1588" w:bottom="1134" w:right="1474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??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widowControl/>
        <w:wordWrap/>
      </w:pPr>
    </w:pPrDefault>
    <w:rPrDefault>
      <w:rPr>
        <w:rFonts w:ascii="Calibri" w:eastAsia="宋体" w:hAnsi="Calibri"/>
        <w:shd w:val="clear"/>
        <w:sz w:val="21"/>
        <w:szCs w:val="21"/>
        <w:w w:val="100"/>
      </w:rPr>
    </w:rPrDefault>
  </w:docDefaults>
  <w:style w:default="1" w:styleId="PO1" w:type="paragraph">
    <w:name w:val="Normal"/>
    <w:qFormat/>
    <w:uiPriority w:val="1"/>
    <w:pPr>
      <w:autoSpaceDE w:val="1"/>
      <w:autoSpaceDN w:val="1"/>
      <w:jc w:val="both"/>
      <w:widowControl/>
      <w:wordWrap/>
    </w:p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basedOn w:val="PO3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autoSpaceDE w:val="1"/>
      <w:autoSpaceDN w:val="1"/>
      <w:jc w:val="center"/>
      <w:widowControl/>
      <w:wordWrap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autoSpaceDE w:val="1"/>
      <w:autoSpaceDN w:val="1"/>
      <w:jc w:val="both"/>
      <w:widowControl/>
      <w:wordWrap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autoSpaceDE w:val="1"/>
      <w:autoSpaceDN w:val="1"/>
      <w:ind w:left="1000" w:hanging="400"/>
      <w:jc w:val="both"/>
      <w:widowControl/>
      <w:wordWrap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autoSpaceDE w:val="1"/>
      <w:autoSpaceDN w:val="1"/>
      <w:ind w:left="12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autoSpaceDE w:val="1"/>
      <w:autoSpaceDN w:val="1"/>
      <w:ind w:left="1400" w:hanging="400"/>
      <w:jc w:val="both"/>
      <w:widowControl/>
      <w:wordWrap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autoSpaceDE w:val="1"/>
      <w:autoSpaceDN w:val="1"/>
      <w:ind w:left="16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autoSpaceDE w:val="1"/>
      <w:autoSpaceDN w:val="1"/>
      <w:ind w:left="1800" w:hanging="400"/>
      <w:jc w:val="both"/>
      <w:widowControl/>
      <w:wordWrap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autoSpaceDE w:val="1"/>
      <w:autoSpaceDN w:val="1"/>
      <w:ind w:left="2000" w:hanging="400"/>
      <w:jc w:val="both"/>
      <w:widowControl/>
      <w:wordWrap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autoSpaceDE w:val="1"/>
      <w:autoSpaceDN w:val="1"/>
      <w:ind w:left="2200" w:hanging="400"/>
      <w:jc w:val="both"/>
      <w:widowControl/>
      <w:wordWrap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autoSpaceDE w:val="1"/>
      <w:autoSpaceDN w:val="1"/>
      <w:jc w:val="center"/>
      <w:widowControl/>
      <w:wordWrap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autoSpaceDE w:val="1"/>
      <w:autoSpaceDN w:val="1"/>
      <w:ind w:left="864" w:right="864" w:firstLine="0"/>
      <w:jc w:val="center"/>
      <w:widowControl/>
      <w:wordWrap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autoSpaceDE w:val="1"/>
      <w:autoSpaceDN w:val="1"/>
      <w:ind w:left="950" w:right="950" w:firstLine="0"/>
      <w:jc w:val="center"/>
      <w:widowControl/>
      <w:wordWrap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basedOn w:val="PO1"/>
    <w:qFormat/>
    <w:uiPriority w:val="26"/>
    <w:pPr>
      <w:autoSpaceDE w:val="1"/>
      <w:autoSpaceDN w:val="1"/>
      <w:ind w:firstLine="420"/>
      <w:widowControl/>
      <w:wordWrap/>
    </w:pPr>
    <w:rPr>
      <w:rFonts w:ascii="Calibri" w:eastAsia="Times New Roman" w:hAnsi="Calibri"/>
      <w:shd w:val="clear"/>
      <w:sz w:val="20"/>
      <w:szCs w:val="20"/>
      <w:w w:val="100"/>
    </w:rPr>
  </w:style>
  <w:style w:styleId="PO27" w:type="paragraph">
    <w:name w:val="TOC Heading"/>
    <w:link w:val="PO-1"/>
    <w:qFormat/>
    <w:uiPriority w:val="27"/>
    <w:unhideWhenUsed/>
    <w:pPr>
      <w:autoSpaceDE w:val="1"/>
      <w:autoSpaceDN w:val="1"/>
      <w:widowControl/>
      <w:wordWrap/>
    </w:pPr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autoSpaceDE w:val="1"/>
      <w:autoSpaceDN w:val="1"/>
      <w:ind w:left="425" w:firstLine="0"/>
      <w:jc w:val="both"/>
      <w:widowControl/>
      <w:wordWrap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autoSpaceDE w:val="1"/>
      <w:autoSpaceDN w:val="1"/>
      <w:ind w:left="1275" w:firstLine="0"/>
      <w:jc w:val="both"/>
      <w:widowControl/>
      <w:wordWrap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autoSpaceDE w:val="1"/>
      <w:autoSpaceDN w:val="1"/>
      <w:ind w:left="1700" w:firstLine="0"/>
      <w:jc w:val="both"/>
      <w:widowControl/>
      <w:wordWrap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autoSpaceDE w:val="1"/>
      <w:autoSpaceDN w:val="1"/>
      <w:ind w:left="2125" w:firstLine="0"/>
      <w:jc w:val="both"/>
      <w:widowControl/>
      <w:wordWrap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autoSpaceDE w:val="1"/>
      <w:autoSpaceDN w:val="1"/>
      <w:ind w:left="2550" w:firstLine="0"/>
      <w:jc w:val="both"/>
      <w:widowControl/>
      <w:wordWrap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autoSpaceDE w:val="1"/>
      <w:autoSpaceDN w:val="1"/>
      <w:ind w:left="2975" w:firstLine="0"/>
      <w:jc w:val="both"/>
      <w:widowControl/>
      <w:wordWrap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autoSpaceDE w:val="1"/>
      <w:autoSpaceDN w:val="1"/>
      <w:ind w:left="3400" w:firstLine="0"/>
      <w:jc w:val="both"/>
      <w:widowControl/>
      <w:wordWrap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152" w:type="paragraph">
    <w:name w:val="header"/>
    <w:basedOn w:val="PO1"/>
    <w:link w:val="PO153"/>
    <w:uiPriority w:val="152"/>
    <w:semiHidden/>
    <w:unhideWhenUsed/>
    <w:pPr>
      <w:autoSpaceDE w:val="1"/>
      <w:autoSpaceDN w:val="1"/>
      <w:jc w:val="center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customStyle="1" w:styleId="PO153" w:type="character">
    <w:name w:val="页眉 Char"/>
    <w:basedOn w:val="PO2"/>
    <w:link w:val="PO152"/>
    <w:uiPriority w:val="153"/>
    <w:semiHidden/>
    <w:rPr>
      <w:shd w:val="clear"/>
      <w:sz w:val="18"/>
      <w:szCs w:val="18"/>
      <w:w w:val="100"/>
    </w:rPr>
  </w:style>
  <w:style w:styleId="PO154" w:type="paragraph">
    <w:name w:val="footer"/>
    <w:basedOn w:val="PO1"/>
    <w:link w:val="PO155"/>
    <w:uiPriority w:val="154"/>
    <w:semiHidden/>
    <w:unhideWhenUsed/>
    <w:pPr>
      <w:autoSpaceDE w:val="1"/>
      <w:autoSpaceDN w:val="1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customStyle="1" w:styleId="PO155" w:type="character">
    <w:name w:val="页脚 Char"/>
    <w:basedOn w:val="PO2"/>
    <w:link w:val="PO154"/>
    <w:uiPriority w:val="155"/>
    <w:semiHidden/>
    <w:rPr>
      <w:shd w:val="clear"/>
      <w:sz w:val="18"/>
      <w:szCs w:val="18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22621041.png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Company>微软中国</Company>
  <DocSecurity>0</DocSecurity>
  <HyperlinksChanged>false</HyperlinksChanged>
  <Lines>4</Lines>
  <LinksUpToDate>false</LinksUpToDate>
  <Pages>2</Pages>
  <Paragraphs>1</Paragraphs>
  <Words>96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政务服务中心收文</dc:creator>
  <cp:lastModifiedBy/>
  <dcterms:modified xsi:type="dcterms:W3CDTF">2018-09-28T08:42:00Z</dcterms:modified>
</cp:coreProperties>
</file>