
<file path=[Content_Types].xml><?xml version="1.0" encoding="utf-8"?>
<Types xmlns="http://schemas.openxmlformats.org/package/2006/content-types">
  <Default Extension="png" ContentType="image/png"/>
  <Default Extension="bin" ContentType="application/vnd.openxmlformats-officedocument.oleObject"/>
  <Default Extension="xml" ContentType="application/xml"/>
  <Default Extension="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pi="http://schemas.microsoft.com/office/word/2010/wordprocessingInk" mc:Ignorable="w14 wp14">
  <w:body>
    <w:p>
      <w:pPr>
        <w:numPr>
          <w:ilvl w:val="0"/>
          <w:numId w:val="0"/>
        </w:numPr>
        <w:jc w:val="both"/>
        <w:spacing w:lineRule="auto" w:line="240" w:before="0" w:after="160"/>
        <w:ind w:right="0" w:firstLine="0"/>
        <w:rPr>
          <w:color w:val="auto"/>
          <w:position w:val="0"/>
          <w:sz w:val="21"/>
          <w:szCs w:val="21"/>
          <w:rFonts w:ascii="Calibri" w:eastAsia="宋体" w:hAnsi="宋体" w:hint="default"/>
        </w:rPr>
        <w:autoSpaceDE w:val="1"/>
        <w:autoSpaceDN w:val="1"/>
      </w:pPr>
    </w:p>
    <w:p>
      <w:pPr>
        <w:numPr>
          <w:ilvl w:val="0"/>
          <w:numId w:val="0"/>
        </w:numPr>
        <w:jc w:val="center"/>
        <w:spacing w:lineRule="auto" w:line="240" w:before="0" w:after="160"/>
        <w:ind w:right="0" w:firstLine="0"/>
        <w:rPr>
          <w:color w:val="auto"/>
          <w:position w:val="0"/>
          <w:sz w:val="30"/>
          <w:szCs w:val="30"/>
          <w:rFonts w:ascii="宋体" w:eastAsia="宋体" w:hAnsi="宋体" w:hint="default"/>
        </w:rPr>
        <w:autoSpaceDE w:val="1"/>
        <w:autoSpaceDN w:val="1"/>
      </w:pPr>
      <w:r>
        <w:rPr>
          <w:color w:val="auto"/>
          <w:position w:val="0"/>
          <w:sz w:val="30"/>
          <w:szCs w:val="30"/>
          <w:rFonts w:ascii="宋体" w:eastAsia="宋体" w:hAnsi="宋体" w:hint="default"/>
        </w:rPr>
        <w:t>排污许可证延续“一次办好”服务指南</w:t>
      </w:r>
    </w:p>
    <w:tbl>
      <w:tblID w:val="0"/>
      <w:tblPr>
        <w:tblStyle w:val="PO37"/>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top w:w="0" w:type="dxa"/>
          <w:right w:w="108" w:type="dxa"/>
          <w:bottom w:w="0" w:type="dxa"/>
        </w:tblCellMar>
        <w:tblW w:w="8975" w:type="dxa"/>
        <w:jc w:val="center"/>
        <w:tblLook w:val="000000" w:firstRow="0" w:lastRow="0" w:firstColumn="0" w:lastColumn="0" w:noHBand="0" w:noVBand="0"/>
        <w:tblLayout w:type="fixed"/>
      </w:tblPr>
      <w:tblGrid>
        <w:gridCol w:w="1523"/>
        <w:gridCol w:w="517"/>
        <w:gridCol w:w="1966"/>
        <w:gridCol w:w="1188"/>
        <w:gridCol w:w="1051"/>
        <w:gridCol w:w="901"/>
        <w:gridCol w:w="900"/>
        <w:gridCol w:w="929"/>
      </w:tblGrid>
      <w:tr>
        <w:trPr>
          <w:cnfStyle w:val="000000100000" w:firstRow="0" w:lastRow="0" w:firstColumn="0" w:lastColumn="0" w:oddVBand="0" w:evenVBand="0" w:oddHBand="1" w:evenHBand="0" w:firstRowFirstColumn="0" w:firstRowLastColumn="0" w:lastRowFirstColumn="0" w:lastRowLastColumn="0"/>
          <w:trHeight w:hRule="atleast" w:val="106"/>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受理窗口</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160"/>
              <w:ind w:right="0" w:firstLine="0"/>
              <w:rPr>
                <w:b w:val="1"/>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基本建设项目综合窗口</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事项类型</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行政许可事项</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办理对象</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法人、其他组织</w:t>
            </w:r>
          </w:p>
        </w:tc>
      </w:tr>
      <w:tr>
        <w:trPr>
          <w:cnfStyle w:val="000000010000" w:firstRow="0" w:lastRow="0" w:firstColumn="0" w:lastColumn="0" w:oddVBand="0" w:evenVBand="0" w:oddHBand="0" w:evenHBand="1" w:firstRowFirstColumn="0" w:firstRowLastColumn="0" w:lastRowFirstColumn="0" w:lastRowLastColumn="0"/>
          <w:trHeight w:hRule="atleast" w:val="3982"/>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设定依据</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 xml:space="preserve">《中华人民共和国大气污染防治法》第十九条 排放工业废气或者本法第七十</w:t>
            </w:r>
            <w:r>
              <w:rPr>
                <w:color w:val="auto"/>
                <w:position w:val="0"/>
                <w:sz w:val="21"/>
                <w:szCs w:val="21"/>
                <w:rFonts w:ascii="宋体" w:eastAsia="宋体" w:hAnsi="宋体" w:hint="default"/>
              </w:rPr>
              <w:t>八条规定名录中所列有毒有害大气污染物的企业事业单位、集中供热设施的燃</w:t>
            </w:r>
            <w:r>
              <w:rPr>
                <w:color w:val="auto"/>
                <w:position w:val="0"/>
                <w:sz w:val="21"/>
                <w:szCs w:val="21"/>
                <w:rFonts w:ascii="宋体" w:eastAsia="宋体" w:hAnsi="宋体" w:hint="default"/>
              </w:rPr>
              <w:t>煤热源生产运营单位以及其他依法实行排污许可管理的单位，应当取得排污许</w:t>
            </w:r>
            <w:r>
              <w:rPr>
                <w:color w:val="auto"/>
                <w:position w:val="0"/>
                <w:sz w:val="21"/>
                <w:szCs w:val="21"/>
                <w:rFonts w:ascii="宋体" w:eastAsia="宋体" w:hAnsi="宋体" w:hint="default"/>
              </w:rPr>
              <w:t>可证。排污许可的具体办法和实施步骤由国务院规定。</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《中华人民共和国水污染防治法》第二十条：直接或者间接向水体排放工业废</w:t>
            </w:r>
            <w:r>
              <w:rPr>
                <w:color w:val="auto"/>
                <w:position w:val="0"/>
                <w:sz w:val="21"/>
                <w:szCs w:val="21"/>
                <w:rFonts w:ascii="宋体" w:eastAsia="宋体" w:hAnsi="宋体" w:hint="default"/>
              </w:rPr>
              <w:t>水和医疗污水以及其他按照规定应当取得排污许可证方可排放的废水、污水的</w:t>
            </w:r>
            <w:r>
              <w:rPr>
                <w:color w:val="auto"/>
                <w:position w:val="0"/>
                <w:sz w:val="21"/>
                <w:szCs w:val="21"/>
                <w:rFonts w:ascii="宋体" w:eastAsia="宋体" w:hAnsi="宋体" w:hint="default"/>
              </w:rPr>
              <w:t>企业事业单位，应当取得排污许可证；城镇污水集中处理设施的运营单位，也应</w:t>
            </w:r>
            <w:r>
              <w:rPr>
                <w:color w:val="auto"/>
                <w:position w:val="0"/>
                <w:sz w:val="21"/>
                <w:szCs w:val="21"/>
                <w:rFonts w:ascii="宋体" w:eastAsia="宋体" w:hAnsi="宋体" w:hint="default"/>
              </w:rPr>
              <w:t>当取得排污许可证。排污许可的具体办法和实施步骤由国务院规定。禁止企业事</w:t>
            </w:r>
            <w:r>
              <w:rPr>
                <w:color w:val="auto"/>
                <w:position w:val="0"/>
                <w:sz w:val="21"/>
                <w:szCs w:val="21"/>
                <w:rFonts w:ascii="宋体" w:eastAsia="宋体" w:hAnsi="宋体" w:hint="default"/>
              </w:rPr>
              <w:t>业单位无排污许可证或者违反排污许可证的规定向水体排放前款规定的废水、</w:t>
            </w:r>
            <w:r>
              <w:rPr>
                <w:color w:val="auto"/>
                <w:position w:val="0"/>
                <w:sz w:val="21"/>
                <w:szCs w:val="21"/>
                <w:rFonts w:ascii="宋体" w:eastAsia="宋体" w:hAnsi="宋体" w:hint="default"/>
              </w:rPr>
              <w:t>污水。</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《排污许可管理办法》（部令48号）全文</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《固定污染源排污许可分类管理名录》</w:t>
            </w:r>
          </w:p>
        </w:tc>
      </w:tr>
      <w:tr>
        <w:trPr>
          <w:cnfStyle w:val="000000100000" w:firstRow="0" w:lastRow="0" w:firstColumn="0" w:lastColumn="0" w:oddVBand="0" w:evenVBand="0" w:oddHBand="1" w:evenHBand="0" w:firstRowFirstColumn="0" w:firstRowLastColumn="0" w:lastRowFirstColumn="0" w:lastRowLastColumn="0"/>
          <w:trHeight w:hRule="atleast" w:val="1334"/>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申报条件</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1、纳入固定污染源排污许可分类管理名录实施简化管理的企业事业单位和其他</w:t>
            </w:r>
            <w:r>
              <w:rPr>
                <w:color w:val="auto"/>
                <w:position w:val="0"/>
                <w:sz w:val="21"/>
                <w:szCs w:val="21"/>
                <w:rFonts w:ascii="宋体" w:eastAsia="宋体" w:hAnsi="宋体" w:hint="default"/>
              </w:rPr>
              <w:t>生产经营者；</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2、依法取得建设项目环境影响评价文件审批意见，或者按照有关规定经地方人</w:t>
            </w:r>
            <w:r>
              <w:rPr>
                <w:color w:val="auto"/>
                <w:position w:val="0"/>
                <w:sz w:val="21"/>
                <w:szCs w:val="21"/>
                <w:rFonts w:ascii="宋体" w:eastAsia="宋体" w:hAnsi="宋体" w:hint="default"/>
              </w:rPr>
              <w:t xml:space="preserve">民政府依法处理、整顿规范并符合要求的相关证明材料； </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 xml:space="preserve">3、采用的污染防治设施或者措施有能力达到许可排放浓度要求； </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4、排放浓度符合国家和地方污染物排放标准，排放量符合《排污许可管理办</w:t>
            </w:r>
            <w:r>
              <w:rPr>
                <w:color w:val="auto"/>
                <w:position w:val="0"/>
                <w:sz w:val="21"/>
                <w:szCs w:val="21"/>
                <w:rFonts w:ascii="宋体" w:eastAsia="宋体" w:hAnsi="宋体" w:hint="default"/>
              </w:rPr>
              <w:t>法》（部令48号）第十七条规定；</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 xml:space="preserve">5、自行监测方案符合相关技术规范； </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6、《排污许可管理办法》（部令48号）实施后的新建、改建、扩建项目排污单</w:t>
            </w:r>
            <w:r>
              <w:rPr>
                <w:color w:val="auto"/>
                <w:position w:val="0"/>
                <w:sz w:val="21"/>
                <w:szCs w:val="21"/>
                <w:rFonts w:ascii="宋体" w:eastAsia="宋体" w:hAnsi="宋体" w:hint="default"/>
              </w:rPr>
              <w:t>位存在通过污染物排放等量或者减量替代削减获得重点污染物排放总量控制指</w:t>
            </w:r>
            <w:r>
              <w:rPr>
                <w:color w:val="auto"/>
                <w:position w:val="0"/>
                <w:sz w:val="21"/>
                <w:szCs w:val="21"/>
                <w:rFonts w:ascii="宋体" w:eastAsia="宋体" w:hAnsi="宋体" w:hint="default"/>
              </w:rPr>
              <w:t>标情况的，出让重点污染物排放总量控制指标的排污单位已完成排污许可证变</w:t>
            </w:r>
            <w:r>
              <w:rPr>
                <w:color w:val="auto"/>
                <w:position w:val="0"/>
                <w:sz w:val="21"/>
                <w:szCs w:val="21"/>
                <w:rFonts w:ascii="宋体" w:eastAsia="宋体" w:hAnsi="宋体" w:hint="default"/>
              </w:rPr>
              <w:t>更。</w:t>
            </w: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val="restart"/>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申报材料</w:t>
            </w:r>
          </w:p>
        </w:tc>
        <w:tc>
          <w:tcPr>
            <w:tcW w:type="dxa" w:w="517"/>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序</w:t>
            </w:r>
            <w:r>
              <w:rPr>
                <w:color w:val="auto"/>
                <w:position w:val="0"/>
                <w:sz w:val="21"/>
                <w:szCs w:val="21"/>
                <w:rFonts w:ascii="宋体" w:eastAsia="宋体" w:hAnsi="宋体" w:hint="default"/>
              </w:rPr>
              <w:t>号</w:t>
            </w:r>
          </w:p>
        </w:tc>
        <w:tc>
          <w:tcPr>
            <w:tcW w:type="dxa" w:w="4205"/>
            <w:cnfStyle w:val="000010010000" w:firstRow="0" w:lastRow="0" w:firstColumn="0" w:lastColumn="0" w:oddVBand="1" w:evenVBand="0" w:oddHBand="0" w:evenHBand="1" w:firstRowFirstColumn="0" w:firstRowLastColumn="0" w:lastRowFirstColumn="0" w:lastRowLastColumn="0"/>
            <w:vAlign w:val="center"/>
            <w:gridSpan w:val="3"/>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材料名称</w:t>
            </w:r>
          </w:p>
        </w:tc>
        <w:tc>
          <w:tcPr>
            <w:tcW w:type="dxa" w:w="901"/>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是否必</w:t>
            </w:r>
            <w:r>
              <w:rPr>
                <w:color w:val="auto"/>
                <w:position w:val="0"/>
                <w:sz w:val="21"/>
                <w:szCs w:val="21"/>
                <w:rFonts w:ascii="宋体" w:eastAsia="宋体" w:hAnsi="宋体" w:hint="default"/>
              </w:rPr>
              <w:t>须</w:t>
            </w:r>
          </w:p>
        </w:tc>
        <w:tc>
          <w:tcPr>
            <w:tcW w:type="dxa" w:w="900"/>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份数</w:t>
            </w:r>
          </w:p>
        </w:tc>
        <w:tc>
          <w:tcPr>
            <w:tcW w:type="dxa" w:w="929"/>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是否需</w:t>
            </w:r>
            <w:r>
              <w:rPr>
                <w:color w:val="auto"/>
                <w:position w:val="0"/>
                <w:sz w:val="21"/>
                <w:szCs w:val="21"/>
                <w:rFonts w:ascii="宋体" w:eastAsia="宋体" w:hAnsi="宋体" w:hint="default"/>
              </w:rPr>
              <w:t>要电子</w:t>
            </w:r>
            <w:r>
              <w:rPr>
                <w:color w:val="auto"/>
                <w:position w:val="0"/>
                <w:sz w:val="21"/>
                <w:szCs w:val="21"/>
                <w:rFonts w:ascii="宋体" w:eastAsia="宋体" w:hAnsi="宋体" w:hint="default"/>
              </w:rPr>
              <w:t>版</w:t>
            </w:r>
          </w:p>
        </w:tc>
      </w:tr>
      <w:tr>
        <w:trPr>
          <w:cnfStyle w:val="000000100000" w:firstRow="0" w:lastRow="0" w:firstColumn="0" w:lastColumn="0" w:oddVBand="0" w:evenVBand="0" w:oddHBand="1" w:evenHBand="0"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4205"/>
            <w:cnfStyle w:val="000001100000" w:firstRow="0" w:lastRow="0" w:firstColumn="0" w:lastColumn="0" w:oddVBand="0" w:evenVBand="1" w:oddHBand="1" w:evenHBand="0" w:firstRowFirstColumn="0" w:firstRowLastColumn="0" w:lastRowFirstColumn="0" w:lastRowLastColumn="0"/>
            <w:vAlign w:val="top"/>
            <w:gridSpan w:val="3"/>
          </w:tcPr>
          <w:p>
            <w:pPr>
              <w:numPr>
                <w:ilvl w:val="0"/>
                <w:numId w:val="0"/>
              </w:numPr>
              <w:jc w:val="left"/>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延续排污许可证申请</w:t>
            </w:r>
          </w:p>
        </w:tc>
        <w:tc>
          <w:tcPr>
            <w:tcW w:type="dxa" w:w="901"/>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100000" w:firstRow="0" w:lastRow="0" w:firstColumn="0" w:lastColumn="0" w:oddVBand="0" w:evenVBand="1" w:oddHBand="1" w:evenHBand="0"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否</w:t>
            </w: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w:t>
            </w:r>
          </w:p>
        </w:tc>
        <w:tc>
          <w:tcPr>
            <w:tcW w:type="dxa" w:w="4205"/>
            <w:cnfStyle w:val="000001010000" w:firstRow="0" w:lastRow="0" w:firstColumn="0" w:lastColumn="0" w:oddVBand="0" w:evenVBand="1" w:oddHBand="0" w:evenHBand="1" w:firstRowFirstColumn="0" w:firstRowLastColumn="0" w:lastRowFirstColumn="0" w:lastRowLastColumn="0"/>
            <w:vAlign w:val="top"/>
            <w:gridSpan w:val="3"/>
          </w:tcPr>
          <w:p>
            <w:pPr>
              <w:numPr>
                <w:ilvl w:val="0"/>
                <w:numId w:val="0"/>
              </w:numPr>
              <w:jc w:val="left"/>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由排污单位法定代表人或者主要负责人签</w:t>
            </w:r>
            <w:r>
              <w:rPr>
                <w:color w:val="auto"/>
                <w:position w:val="0"/>
                <w:sz w:val="21"/>
                <w:szCs w:val="21"/>
                <w:rFonts w:ascii="宋体" w:eastAsia="宋体" w:hAnsi="宋体" w:hint="default"/>
              </w:rPr>
              <w:t>字或者盖章的承诺书</w:t>
            </w:r>
          </w:p>
        </w:tc>
        <w:tc>
          <w:tcPr>
            <w:tcW w:type="dxa" w:w="901"/>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否</w:t>
            </w:r>
          </w:p>
        </w:tc>
      </w:tr>
      <w:tr>
        <w:trPr>
          <w:cnfStyle w:val="000000100000" w:firstRow="0" w:lastRow="0" w:firstColumn="0" w:lastColumn="0" w:oddVBand="0" w:evenVBand="0" w:oddHBand="1" w:evenHBand="0"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3</w:t>
            </w:r>
          </w:p>
        </w:tc>
        <w:tc>
          <w:tcPr>
            <w:tcW w:type="dxa" w:w="4205"/>
            <w:cnfStyle w:val="000001100000" w:firstRow="0" w:lastRow="0" w:firstColumn="0" w:lastColumn="0" w:oddVBand="0" w:evenVBand="1" w:oddHBand="1" w:evenHBand="0" w:firstRowFirstColumn="0" w:firstRowLastColumn="0" w:lastRowFirstColumn="0" w:lastRowLastColumn="0"/>
            <w:vAlign w:val="top"/>
            <w:gridSpan w:val="3"/>
          </w:tcPr>
          <w:p>
            <w:pPr>
              <w:numPr>
                <w:ilvl w:val="0"/>
                <w:numId w:val="0"/>
              </w:numPr>
              <w:jc w:val="left"/>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排污许可证正本复印件</w:t>
            </w:r>
          </w:p>
        </w:tc>
        <w:tc>
          <w:tcPr>
            <w:tcW w:type="dxa" w:w="901"/>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100000" w:firstRow="0" w:lastRow="0" w:firstColumn="0" w:lastColumn="0" w:oddVBand="0" w:evenVBand="1" w:oddHBand="1" w:evenHBand="0"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否</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办理程序</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受理—审核—签发</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法定期限</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20个工作日</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承诺时限</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2个工作日</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收费标准</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无</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咨询电话</w:t>
            </w:r>
          </w:p>
        </w:tc>
        <w:tc>
          <w:tcPr>
            <w:tcW w:type="dxa" w:w="2483"/>
            <w:cnfStyle w:val="000001010000" w:firstRow="0" w:lastRow="0" w:firstColumn="0" w:lastColumn="0" w:oddVBand="0" w:evenVBand="1" w:oddHBand="0" w:evenHBand="1" w:firstRowFirstColumn="0" w:firstRowLastColumn="0" w:lastRowFirstColumn="0" w:lastRowLastColumn="0"/>
            <w:vAlign w:val="center"/>
            <w:gridSpan w:val="2"/>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0537-6539082</w:t>
            </w:r>
          </w:p>
        </w:tc>
        <w:tc>
          <w:tcPr>
            <w:tcW w:type="dxa" w:w="1188"/>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投诉电话</w:t>
            </w:r>
          </w:p>
        </w:tc>
        <w:tc>
          <w:tcPr>
            <w:tcW w:type="dxa" w:w="3781"/>
            <w:cnfStyle w:val="000001010000" w:firstRow="0" w:lastRow="0" w:firstColumn="0" w:lastColumn="0" w:oddVBand="0" w:evenVBand="1" w:oddHBand="0" w:evenHBand="1" w:firstRowFirstColumn="0" w:firstRowLastColumn="0" w:lastRowFirstColumn="0" w:lastRowLastColumn="0"/>
            <w:vAlign w:val="center"/>
            <w:gridSpan w:val="4"/>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 w:eastAsia="Times New Roman" w:hAnsi="Times New Roman" w:hint="default"/>
              </w:rPr>
              <w:t xml:space="preserve">6539066   市</w:t>
            </w:r>
            <w:r>
              <w:rPr>
                <w:color w:val="auto"/>
                <w:position w:val="0"/>
                <w:sz w:val="21"/>
                <w:szCs w:val="21"/>
                <w:rFonts w:ascii="宋体" w:eastAsia="Times New Roman" w:hAnsi="Times New Roman" w:hint="default"/>
              </w:rPr>
              <w:t>长热线</w:t>
            </w:r>
            <w:r>
              <w:rPr>
                <w:color w:val="auto"/>
                <w:position w:val="0"/>
                <w:sz w:val="21"/>
                <w:szCs w:val="21"/>
                <w:rFonts w:ascii="??" w:eastAsia="Times New Roman" w:hAnsi="Times New Roman" w:hint="default"/>
              </w:rPr>
              <w:t>：12345</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结果送达</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济宁高新区市民中心统一接收：免费邮寄</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受理地址</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济宁市高新区崇文大道科技馆5566号市民中心三楼</w:t>
            </w:r>
          </w:p>
        </w:tc>
      </w:tr>
    </w:tbl>
    <w:p>
      <w:pPr>
        <w:numPr>
          <w:ilvl w:val="0"/>
          <w:numId w:val="0"/>
        </w:numPr>
        <w:jc w:val="center"/>
        <w:spacing w:lineRule="auto" w:line="240" w:before="0" w:after="0"/>
        <w:ind w:right="0" w:firstLine="0"/>
        <w:rPr>
          <w:color w:val="auto"/>
          <w:position w:val="0"/>
          <w:sz w:val="30"/>
          <w:szCs w:val="30"/>
          <w:rFonts w:ascii="??" w:eastAsia="??" w:hAnsi="??" w:hint="default"/>
        </w:rPr>
        <w:wordWrap w:val="off"/>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 type="#_x0000_t75" style="position:static;width:225.0pt;height:225.0pt;z-index:251624962" filled="t">
            <v:imagedata r:id="rId5" o:title=" "/>
            <w10:wrap type="none"/>
            <w10:anchorlock/>
          </v:shape>
        </w:pict>
      </w:r>
    </w:p>
    <w:p>
      <w:pPr>
        <w:numPr>
          <w:ilvl w:val="0"/>
          <w:numId w:val="0"/>
        </w:numPr>
        <w:jc w:val="center"/>
        <w:spacing w:lineRule="auto" w:line="240" w:before="0" w:after="0"/>
        <w:ind w:right="0" w:firstLine="0"/>
        <w:rPr>
          <w:color w:val="auto"/>
          <w:position w:val="0"/>
          <w:sz w:val="30"/>
          <w:szCs w:val="30"/>
          <w:rFonts w:ascii="??" w:eastAsia="??" w:hAnsi="??" w:hint="default"/>
        </w:rPr>
        <w:wordWrap w:val="off"/>
      </w:pPr>
    </w:p>
    <w:p>
      <w:pPr>
        <w:numPr>
          <w:ilvl w:val="0"/>
          <w:numId w:val="0"/>
        </w:numPr>
        <w:jc w:val="center"/>
        <w:spacing w:lineRule="auto" w:line="240" w:before="0" w:after="160"/>
        <w:ind w:right="0" w:firstLine="0"/>
        <w:rPr>
          <w:color w:val="auto"/>
          <w:position w:val="0"/>
          <w:sz w:val="21"/>
          <w:szCs w:val="21"/>
          <w:rFonts w:ascii="宋体" w:eastAsia="宋体" w:hAnsi="宋体" w:hint="default"/>
        </w:rPr>
        <w:wordWrap w:val="off"/>
      </w:pPr>
      <w:r>
        <w:rPr>
          <w:color w:val="auto"/>
          <w:position w:val="0"/>
          <w:sz w:val="28"/>
          <w:szCs w:val="28"/>
          <w:rFonts w:ascii="??" w:eastAsia="??" w:hAnsi="??" w:hint="default"/>
        </w:rPr>
        <w:t>http://jigxzwfw.sd.gov.cn/</w:t>
      </w:r>
    </w:p>
    <w:sectPr>
      <w:pgSz w:w="11906" w:h="16838"/>
      <w:pgMar w:top="1134" w:left="1588" w:bottom="1134" w:right="1474" w:header="851" w:footer="992" w:gutter="0"/>
      <w:pgNumType w:fmt="decimal"/>
      <w:docGrid w:type="lines" w:linePitch="312" w:charSpace="0"/>
    </w:sectPr>
  </w:body>
</w:document>
</file>

<file path=word/fontTable.xml><?xml version="1.0" encoding="utf-8"?>
<w:fonts xmlns:r="http://schemas.openxmlformats.org/officeDocument/2006/relationships" xmlns:w="http://schemas.openxmlformats.org/wordprocessingml/2006/main">
  <w:font w:name="宋体">
    <w:panose1 w:val="020F0502020204030204"/>
    <w:charset w:val="0"/>
    <w:family w:val="mordern"/>
    <w:pitch w:val="variable"/>
    <w:sig w:usb0="A00002EF" w:usb1="4000207B" w:usb2="00000000" w:usb3="00000000" w:csb0="FFFFFFFF" w:csb1="00000000"/>
  </w:font>
  <w:font w:name="Calibri">
    <w:panose1 w:val="020F0502020204030204"/>
    <w:charset w:val="0"/>
    <w:family w:val="mordern"/>
    <w:pitch w:val="variable"/>
    <w:sig w:usb0="A00002EF" w:usb1="4000207B" w:usb2="00000000" w:usb3="00000000" w:csb0="FFFFFFFF" w:csb1="00000000"/>
  </w:font>
  <w:font w:name="Wingdings">
    <w:panose1 w:val="020F0502020204030204"/>
    <w:charset w:val="0"/>
    <w:family w:val="mordern"/>
    <w:pitch w:val="variable"/>
    <w:sig w:usb0="A00002EF" w:usb1="4000207B" w:usb2="00000000" w:usb3="00000000" w:csb0="FFFFFFFF" w:csb1="00000000"/>
  </w:font>
  <w:font w:name="Times New Roman">
    <w:panose1 w:val="020F0502020204030204"/>
    <w:charset w:val="0"/>
    <w:family w:val="mordern"/>
    <w:pitch w:val="variable"/>
    <w:sig w:usb0="A00002EF" w:usb1="4000207B" w:usb2="00000000" w:usb3="00000000" w:csb0="FFFFFFFF" w:csb1="00000000"/>
  </w:font>
  <w:font w:name="맑은 고딕">
    <w:panose1 w:val="020F0502020204030204"/>
    <w:charset w:val="0"/>
    <w:family w:val="mordern"/>
    <w:pitch w:val="variable"/>
    <w:sig w:usb0="A00002EF" w:usb1="4000207B" w:usb2="00000000" w:usb3="00000000" w:csb0="FFFFFFFF" w:csb1="00000000"/>
  </w:font>
  <w:font w:name="??">
    <w:panose1 w:val="020F0502020204030204"/>
    <w:charset w:val="0"/>
    <w:family w:val="mordern"/>
    <w:pitch w:val="variable"/>
    <w:sig w:usb0="A00002EF" w:usb1="4000207B" w:usb2="00000000" w:usb3="00000000" w:csb0="FFFFFF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420"/>
  <w:displayHorizontalDrawingGridEvery w:val="0"/>
  <w:displayVerticalDrawingGridEvery w:val="2"/>
  <w:characterSpacingControl w:val="compressPunctuation"/>
  <w:bordersDoNotSurroundHeader/>
  <w:bordersDoNotSurroundFooter/>
  <w:compat>
    <w:balanceSingleByteDoubleByteWidth/>
    <w:adjustLineHeightInTable/>
    <w:useFELayout/>
    <w:compatSetting w:name="compatibilityMode" w:uri="http://schemas.microsoft.com/office/word" w:val="14"/>
    <w:ulTrailSpace/>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rPrDefault>
      <w:rPr>
        <w:rFonts w:ascii="Calibri" w:eastAsia="Times New Roman" w:hAnsi="Calibri"/>
        <w:shd w:val="clear"/>
        <w:sz w:val="20"/>
        <w:szCs w:val="20"/>
        <w:w w:val="100"/>
      </w:rPr>
    </w:rPrDefault>
  </w:docDefaults>
  <w:style w:default="1" w:styleId="PO1" w:type="paragraph">
    <w:name w:val="Normal"/>
    <w:qFormat/>
    <w:uiPriority w:val="1"/>
    <w:pPr>
      <w:autoSpaceDE w:val="1"/>
      <w:autoSpaceDN w:val="1"/>
      <w:jc w:val="both"/>
      <w:wordWrap/>
    </w:pPr>
    <w:rPr>
      <w:rFonts w:ascii="Calibri" w:eastAsia="宋体" w:hAnsi="Calibri"/>
      <w:shd w:val="clear"/>
      <w:sz w:val="21"/>
      <w:szCs w:val="21"/>
      <w:w w:val="100"/>
    </w:rPr>
  </w:style>
  <w:style w:default="1" w:styleId="PO2" w:type="character">
    <w:name w:val="Default Paragraph Font"/>
    <w:uiPriority w:val="2"/>
    <w:unhideWhenUsed/>
  </w:style>
  <w:style w:default="1" w:styleId="PO3" w:type="table">
    <w:name w:val="Normal Table"/>
    <w:uiPriority w:val="3"/>
    <w:semiHidden/>
    <w:unhideWhenUsed/>
    <w:tblPr>
      <w:tblCellMar>
        <w:bottom w:type="dxa" w:w="0"/>
        <w:left w:type="dxa" w:w="108"/>
        <w:right w:type="dxa" w:w="108"/>
        <w:top w:type="dxa" w:w="0"/>
      </w:tblCellMar>
    </w:tblPr>
  </w:style>
  <w:style w:default="1" w:styleId="PO4" w:type="numbering">
    <w:name w:val="No List"/>
    <w:uiPriority w:val="4"/>
    <w:semiHidden/>
    <w:unhideWhenUsed/>
  </w:style>
  <w:style w:styleId="PO5" w:type="paragraph">
    <w:name w:val="No Spacing"/>
    <w:link w:val="PO-1"/>
    <w:qFormat/>
    <w:uiPriority w:val="5"/>
    <w:pPr>
      <w:jc w:val="both"/>
    </w:pPr>
    <w:rPr>
      <w:shd w:val="clear"/>
      <w:sz w:val="21"/>
      <w:szCs w:val="21"/>
      <w:w w:val="100"/>
    </w:rPr>
  </w:style>
  <w:style w:styleId="PO6" w:type="paragraph">
    <w:name w:val="Title"/>
    <w:link w:val="PO-1"/>
    <w:qFormat/>
    <w:uiPriority w:val="6"/>
    <w:pPr>
      <w:jc w:val="center"/>
    </w:pPr>
    <w:rPr>
      <w:b/>
      <w:shd w:val="clear"/>
      <w:sz w:val="32"/>
      <w:szCs w:val="32"/>
      <w:w w:val="100"/>
    </w:rPr>
  </w:style>
  <w:style w:styleId="PO7" w:type="paragraph">
    <w:name w:val="heading 1"/>
    <w:link w:val="PO-1"/>
    <w:qFormat/>
    <w:uiPriority w:val="7"/>
    <w:pPr>
      <w:jc w:val="both"/>
    </w:pPr>
    <w:rPr>
      <w:shd w:val="clear"/>
      <w:sz w:val="28"/>
      <w:szCs w:val="28"/>
      <w:w w:val="100"/>
    </w:rPr>
  </w:style>
  <w:style w:styleId="PO8" w:type="paragraph">
    <w:name w:val="heading 2"/>
    <w:link w:val="PO-1"/>
    <w:qFormat/>
    <w:uiPriority w:val="8"/>
    <w:pPr>
      <w:jc w:val="both"/>
    </w:pPr>
    <w:rPr>
      <w:shd w:val="clear"/>
      <w:sz w:val="21"/>
      <w:szCs w:val="21"/>
      <w:w w:val="100"/>
    </w:rPr>
  </w:style>
  <w:style w:styleId="PO9" w:type="paragraph">
    <w:name w:val="heading 3"/>
    <w:link w:val="PO-1"/>
    <w:qFormat/>
    <w:uiPriority w:val="9"/>
    <w:pPr>
      <w:ind w:left="1000" w:hanging="400"/>
      <w:jc w:val="both"/>
    </w:pPr>
    <w:rPr>
      <w:shd w:val="clear"/>
      <w:sz w:val="21"/>
      <w:szCs w:val="21"/>
      <w:w w:val="100"/>
    </w:rPr>
  </w:style>
  <w:style w:styleId="PO10" w:type="paragraph">
    <w:name w:val="heading 4"/>
    <w:link w:val="PO-1"/>
    <w:qFormat/>
    <w:uiPriority w:val="10"/>
    <w:pPr>
      <w:ind w:left="1200" w:hanging="400"/>
      <w:jc w:val="both"/>
    </w:pPr>
    <w:rPr>
      <w:b/>
      <w:shd w:val="clear"/>
      <w:sz w:val="21"/>
      <w:szCs w:val="21"/>
      <w:w w:val="100"/>
    </w:rPr>
  </w:style>
  <w:style w:styleId="PO11" w:type="paragraph">
    <w:name w:val="heading 5"/>
    <w:link w:val="PO-1"/>
    <w:qFormat/>
    <w:uiPriority w:val="11"/>
    <w:pPr>
      <w:ind w:left="1400" w:hanging="400"/>
      <w:jc w:val="both"/>
    </w:pPr>
    <w:rPr>
      <w:shd w:val="clear"/>
      <w:sz w:val="21"/>
      <w:szCs w:val="21"/>
      <w:w w:val="100"/>
    </w:rPr>
  </w:style>
  <w:style w:styleId="PO12" w:type="paragraph">
    <w:name w:val="heading 6"/>
    <w:link w:val="PO-1"/>
    <w:qFormat/>
    <w:uiPriority w:val="12"/>
    <w:pPr>
      <w:ind w:left="1600" w:hanging="400"/>
      <w:jc w:val="both"/>
    </w:pPr>
    <w:rPr>
      <w:b/>
      <w:shd w:val="clear"/>
      <w:sz w:val="21"/>
      <w:szCs w:val="21"/>
      <w:w w:val="100"/>
    </w:rPr>
  </w:style>
  <w:style w:styleId="PO13" w:type="paragraph">
    <w:name w:val="heading 7"/>
    <w:link w:val="PO-1"/>
    <w:qFormat/>
    <w:uiPriority w:val="13"/>
    <w:pPr>
      <w:ind w:left="1800" w:hanging="400"/>
      <w:jc w:val="both"/>
    </w:pPr>
    <w:rPr>
      <w:shd w:val="clear"/>
      <w:sz w:val="21"/>
      <w:szCs w:val="21"/>
      <w:w w:val="100"/>
    </w:rPr>
  </w:style>
  <w:style w:styleId="PO14" w:type="paragraph">
    <w:name w:val="heading 8"/>
    <w:link w:val="PO-1"/>
    <w:qFormat/>
    <w:uiPriority w:val="14"/>
    <w:pPr>
      <w:ind w:left="2000" w:hanging="400"/>
      <w:jc w:val="both"/>
    </w:pPr>
    <w:rPr>
      <w:shd w:val="clear"/>
      <w:sz w:val="21"/>
      <w:szCs w:val="21"/>
      <w:w w:val="100"/>
    </w:rPr>
  </w:style>
  <w:style w:styleId="PO15" w:type="paragraph">
    <w:name w:val="heading 9"/>
    <w:link w:val="PO-1"/>
    <w:qFormat/>
    <w:uiPriority w:val="15"/>
    <w:pPr>
      <w:ind w:left="2200" w:hanging="400"/>
      <w:jc w:val="both"/>
    </w:pPr>
    <w:rPr>
      <w:shd w:val="clear"/>
      <w:sz w:val="21"/>
      <w:szCs w:val="21"/>
      <w:w w:val="100"/>
    </w:rPr>
  </w:style>
  <w:style w:styleId="PO16" w:type="paragraph">
    <w:name w:val="Subtitle"/>
    <w:link w:val="PO-1"/>
    <w:qFormat/>
    <w:uiPriority w:val="16"/>
    <w:pPr>
      <w:jc w:val="center"/>
    </w:pPr>
    <w:rPr>
      <w:shd w:val="clear"/>
      <w:sz w:val="24"/>
      <w:szCs w:val="24"/>
      <w:w w:val="100"/>
    </w:rPr>
  </w:style>
  <w:style w:styleId="PO17" w:type="character">
    <w:name w:val="Subtle Emphasis"/>
    <w:qFormat/>
    <w:uiPriority w:val="17"/>
    <w:rPr>
      <w:color w:val="404040"/>
      <w:i/>
      <w:shd w:val="clear"/>
      <w:sz w:val="21"/>
      <w:szCs w:val="21"/>
      <w:w w:val="100"/>
    </w:rPr>
  </w:style>
  <w:style w:styleId="PO18" w:type="character">
    <w:name w:val="Emphasis"/>
    <w:qFormat/>
    <w:uiPriority w:val="18"/>
    <w:rPr>
      <w:i/>
      <w:shd w:val="clear"/>
      <w:sz w:val="21"/>
      <w:szCs w:val="21"/>
      <w:w w:val="100"/>
    </w:rPr>
  </w:style>
  <w:style w:styleId="PO19" w:type="character">
    <w:name w:val="Intense Emphasis"/>
    <w:qFormat/>
    <w:uiPriority w:val="19"/>
    <w:rPr>
      <w:color w:val="5B9BD5"/>
      <w:i/>
      <w:shd w:val="clear"/>
      <w:sz w:val="21"/>
      <w:szCs w:val="21"/>
      <w:w w:val="100"/>
    </w:rPr>
  </w:style>
  <w:style w:styleId="PO20" w:type="character">
    <w:name w:val="Strong"/>
    <w:qFormat/>
    <w:uiPriority w:val="20"/>
    <w:rPr>
      <w:b/>
      <w:shd w:val="clear"/>
      <w:sz w:val="21"/>
      <w:szCs w:val="21"/>
      <w:w w:val="100"/>
    </w:rPr>
  </w:style>
  <w:style w:styleId="PO21" w:type="paragraph">
    <w:name w:val="Quote"/>
    <w:link w:val="PO-1"/>
    <w:qFormat/>
    <w:uiPriority w:val="21"/>
    <w:pPr>
      <w:ind w:left="864" w:right="864" w:firstLine="0"/>
      <w:jc w:val="center"/>
    </w:pPr>
    <w:rPr>
      <w:color w:val="404040"/>
      <w:i/>
      <w:shd w:val="clear"/>
      <w:sz w:val="21"/>
      <w:szCs w:val="21"/>
      <w:w w:val="100"/>
    </w:rPr>
  </w:style>
  <w:style w:styleId="PO22" w:type="paragraph">
    <w:name w:val="Intense Quote"/>
    <w:link w:val="PO-1"/>
    <w:qFormat/>
    <w:uiPriority w:val="22"/>
    <w:pPr>
      <w:ind w:left="950" w:right="950" w:firstLine="0"/>
      <w:jc w:val="center"/>
    </w:pPr>
    <w:rPr>
      <w:color w:val="5B9BD5"/>
      <w:i/>
      <w:shd w:val="clear"/>
      <w:sz w:val="21"/>
      <w:szCs w:val="21"/>
      <w:w w:val="100"/>
    </w:rPr>
  </w:style>
  <w:style w:styleId="PO23" w:type="character">
    <w:name w:val="Subtle Reference"/>
    <w:qFormat/>
    <w:uiPriority w:val="23"/>
    <w:rPr>
      <w:color w:val="5A5A5A"/>
      <w:shd w:val="clear"/>
      <w:smallCaps/>
      <w:sz w:val="21"/>
      <w:szCs w:val="21"/>
      <w:w w:val="100"/>
    </w:rPr>
  </w:style>
  <w:style w:styleId="PO24" w:type="character">
    <w:name w:val="Intense Reference"/>
    <w:qFormat/>
    <w:uiPriority w:val="24"/>
    <w:rPr>
      <w:color w:val="5B9BD5"/>
      <w:b/>
      <w:shd w:val="clear"/>
      <w:smallCaps/>
      <w:sz w:val="21"/>
      <w:szCs w:val="21"/>
      <w:w w:val="100"/>
    </w:rPr>
  </w:style>
  <w:style w:styleId="PO25" w:type="character">
    <w:name w:val="Book Title"/>
    <w:qFormat/>
    <w:uiPriority w:val="25"/>
    <w:rPr>
      <w:i/>
      <w:b/>
      <w:shd w:val="clear"/>
      <w:sz w:val="21"/>
      <w:szCs w:val="21"/>
      <w:w w:val="100"/>
    </w:rPr>
  </w:style>
  <w:style w:styleId="PO26" w:type="paragraph">
    <w:name w:val="List Paragraph"/>
    <w:basedOn w:val="PO1"/>
    <w:qFormat/>
    <w:uiPriority w:val="26"/>
    <w:pPr>
      <w:autoSpaceDE w:val="1"/>
      <w:autoSpaceDN w:val="1"/>
      <w:ind w:firstLine="420"/>
      <w:widowControl/>
      <w:wordWrap/>
    </w:pPr>
  </w:style>
  <w:style w:styleId="PO27" w:type="paragraph">
    <w:name w:val="TOC Heading"/>
    <w:link w:val="PO-1"/>
    <w:qFormat/>
    <w:uiPriority w:val="27"/>
    <w:unhideWhenUsed/>
    <w:pPr/>
    <w:rPr>
      <w:color w:val="2E74B5"/>
      <w:shd w:val="clear"/>
      <w:sz w:val="32"/>
      <w:szCs w:val="32"/>
      <w:w w:val="100"/>
    </w:rPr>
  </w:style>
  <w:style w:styleId="PO28" w:type="paragraph">
    <w:name w:val="toc 1"/>
    <w:link w:val="PO-1"/>
    <w:qFormat/>
    <w:uiPriority w:val="28"/>
    <w:unhideWhenUsed/>
    <w:pPr>
      <w:jc w:val="both"/>
    </w:pPr>
    <w:rPr>
      <w:shd w:val="clear"/>
      <w:sz w:val="21"/>
      <w:szCs w:val="21"/>
      <w:w w:val="100"/>
    </w:rPr>
  </w:style>
  <w:style w:styleId="PO29" w:type="paragraph">
    <w:name w:val="toc 2"/>
    <w:link w:val="PO-1"/>
    <w:qFormat/>
    <w:uiPriority w:val="29"/>
    <w:unhideWhenUsed/>
    <w:pPr>
      <w:ind w:left="425" w:firstLine="0"/>
      <w:jc w:val="both"/>
    </w:pPr>
    <w:rPr>
      <w:shd w:val="clear"/>
      <w:sz w:val="21"/>
      <w:szCs w:val="21"/>
      <w:w w:val="100"/>
    </w:rPr>
  </w:style>
  <w:style w:styleId="PO30" w:type="paragraph">
    <w:name w:val="toc 3"/>
    <w:link w:val="PO-1"/>
    <w:qFormat/>
    <w:uiPriority w:val="30"/>
    <w:unhideWhenUsed/>
    <w:pPr>
      <w:ind w:left="850" w:firstLine="0"/>
      <w:jc w:val="both"/>
    </w:pPr>
    <w:rPr>
      <w:shd w:val="clear"/>
      <w:sz w:val="21"/>
      <w:szCs w:val="21"/>
      <w:w w:val="100"/>
    </w:rPr>
  </w:style>
  <w:style w:styleId="PO31" w:type="paragraph">
    <w:name w:val="toc 4"/>
    <w:link w:val="PO-1"/>
    <w:qFormat/>
    <w:uiPriority w:val="31"/>
    <w:unhideWhenUsed/>
    <w:pPr>
      <w:ind w:left="1275" w:firstLine="0"/>
      <w:jc w:val="both"/>
    </w:pPr>
    <w:rPr>
      <w:shd w:val="clear"/>
      <w:sz w:val="21"/>
      <w:szCs w:val="21"/>
      <w:w w:val="100"/>
    </w:rPr>
  </w:style>
  <w:style w:styleId="PO32" w:type="paragraph">
    <w:name w:val="toc 5"/>
    <w:link w:val="PO-1"/>
    <w:qFormat/>
    <w:uiPriority w:val="32"/>
    <w:unhideWhenUsed/>
    <w:pPr>
      <w:ind w:left="1700" w:firstLine="0"/>
      <w:jc w:val="both"/>
    </w:pPr>
    <w:rPr>
      <w:shd w:val="clear"/>
      <w:sz w:val="21"/>
      <w:szCs w:val="21"/>
      <w:w w:val="100"/>
    </w:rPr>
  </w:style>
  <w:style w:styleId="PO33" w:type="paragraph">
    <w:name w:val="toc 6"/>
    <w:link w:val="PO-1"/>
    <w:qFormat/>
    <w:uiPriority w:val="33"/>
    <w:unhideWhenUsed/>
    <w:pPr>
      <w:ind w:left="2125" w:firstLine="0"/>
      <w:jc w:val="both"/>
    </w:pPr>
    <w:rPr>
      <w:shd w:val="clear"/>
      <w:sz w:val="21"/>
      <w:szCs w:val="21"/>
      <w:w w:val="100"/>
    </w:rPr>
  </w:style>
  <w:style w:styleId="PO34" w:type="paragraph">
    <w:name w:val="toc 7"/>
    <w:link w:val="PO-1"/>
    <w:qFormat/>
    <w:uiPriority w:val="34"/>
    <w:unhideWhenUsed/>
    <w:pPr>
      <w:ind w:left="2550" w:firstLine="0"/>
      <w:jc w:val="both"/>
    </w:pPr>
    <w:rPr>
      <w:shd w:val="clear"/>
      <w:sz w:val="21"/>
      <w:szCs w:val="21"/>
      <w:w w:val="100"/>
    </w:rPr>
  </w:style>
  <w:style w:styleId="PO35" w:type="paragraph">
    <w:name w:val="toc 8"/>
    <w:link w:val="PO-1"/>
    <w:qFormat/>
    <w:uiPriority w:val="35"/>
    <w:unhideWhenUsed/>
    <w:pPr>
      <w:ind w:left="2975" w:firstLine="0"/>
      <w:jc w:val="both"/>
    </w:pPr>
    <w:rPr>
      <w:shd w:val="clear"/>
      <w:sz w:val="21"/>
      <w:szCs w:val="21"/>
      <w:w w:val="100"/>
    </w:rPr>
  </w:style>
  <w:style w:styleId="PO36" w:type="paragraph">
    <w:name w:val="toc 9"/>
    <w:link w:val="PO-1"/>
    <w:qFormat/>
    <w:uiPriority w:val="36"/>
    <w:unhideWhenUsed/>
    <w:pPr>
      <w:ind w:left="3400" w:firstLine="0"/>
      <w:jc w:val="both"/>
    </w:pPr>
    <w:rPr>
      <w:shd w:val="clear"/>
      <w:sz w:val="21"/>
      <w:szCs w:val="21"/>
      <w:w w:val="100"/>
    </w:rPr>
  </w:style>
  <w:style w:default="1" w:styleId="PO37" w:type="table">
    <w:name w:val="Normal Table"/>
    <w:basedOn w:val="PO3"/>
    <w:uiPriority w:val="37"/>
    <w:tblPr>
      <w:tblCellMar>
        <w:bottom w:type="dxa" w:w="0"/>
        <w:left w:type="dxa" w:w="108"/>
        <w:right w:type="dxa" w:w="108"/>
        <w:top w:type="dxa" w:w="0"/>
      </w:tblCellMar>
      <w:tblInd w:type="dxa" w:w="0"/>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image" Target="media/fImage22381541.png"></Relationship><Relationship Id="rId6" Type="http://schemas.openxmlformats.org/officeDocument/2006/relationships/theme" Target="theme/theme1.xml"></Relationship></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1560</Characters>
  <CharactersWithSpaces>0</CharactersWithSpaces>
  <Company>微软中国</Company>
  <DocSecurity>0</DocSecurity>
  <HyperlinksChanged>false</HyperlinksChanged>
  <Lines>11</Lines>
  <LinksUpToDate>false</LinksUpToDate>
  <Pages>2</Pages>
  <Paragraphs>3</Paragraphs>
  <Words>233</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creator>政务服务中心收文</dc:creator>
  <cp:lastModifiedBy/>
  <dcterms:modified xsi:type="dcterms:W3CDTF">2018-09-28T08:32:48Z</dcterms:modified>
</cp:coreProperties>
</file>