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济宁高新区</w:t>
      </w:r>
      <w:r>
        <w:rPr>
          <w:rFonts w:hint="eastAsia" w:ascii="方正小标宋简体" w:hAnsi="方正小标宋简体" w:eastAsia="方正小标宋简体" w:cs="方正小标宋简体"/>
          <w:sz w:val="44"/>
          <w:szCs w:val="44"/>
          <w:lang w:eastAsia="zh-CN"/>
        </w:rPr>
        <w:t>市场监管局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eastAsia="方正小标宋简体"/>
          <w:b w:val="0"/>
          <w:bCs w:val="0"/>
          <w:color w:val="000000" w:themeColor="text1"/>
          <w:sz w:val="44"/>
          <w:szCs w:val="44"/>
          <w14:textFill>
            <w14:solidFill>
              <w14:schemeClr w14:val="tx1"/>
            </w14:solidFill>
          </w14:textFill>
        </w:rPr>
        <w:t>202</w:t>
      </w:r>
      <w:r>
        <w:rPr>
          <w:rFonts w:hint="eastAsia" w:ascii="方正小标宋简体" w:eastAsia="方正小标宋简体"/>
          <w:b w:val="0"/>
          <w:bCs w:val="0"/>
          <w:color w:val="000000" w:themeColor="text1"/>
          <w:sz w:val="44"/>
          <w:szCs w:val="44"/>
          <w:lang w:val="en-US" w:eastAsia="zh-CN"/>
          <w14:textFill>
            <w14:solidFill>
              <w14:schemeClr w14:val="tx1"/>
            </w14:solidFill>
          </w14:textFill>
        </w:rPr>
        <w:t>2</w:t>
      </w:r>
      <w:r>
        <w:rPr>
          <w:rFonts w:hint="eastAsia" w:ascii="方正小标宋简体" w:eastAsia="方正小标宋简体"/>
          <w:b w:val="0"/>
          <w:bCs w:val="0"/>
          <w:color w:val="000000" w:themeColor="text1"/>
          <w:sz w:val="44"/>
          <w:szCs w:val="44"/>
          <w14:textFill>
            <w14:solidFill>
              <w14:schemeClr w14:val="tx1"/>
            </w14:solidFill>
          </w14:textFill>
        </w:rPr>
        <w:t>年信息公开工作年度报告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本报告由济宁高新区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本报告所列数据的统计期限自202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年1月1日起至202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年12月31日止。本报告电子版可在“济宁国家高新技术产业开发区”管委会门户</w:t>
      </w:r>
      <w:r>
        <w:rPr>
          <w:rFonts w:hint="eastAsia" w:ascii="方正仿宋简体" w:eastAsia="方正仿宋简体"/>
          <w:b w:val="0"/>
          <w:bCs w:val="0"/>
          <w:color w:val="000000" w:themeColor="text1"/>
          <w:sz w:val="32"/>
          <w:szCs w:val="32"/>
          <w:lang w:val="en-US" w:eastAsia="zh-CN"/>
          <w14:textFill>
            <w14:solidFill>
              <w14:schemeClr w14:val="tx1"/>
            </w14:solidFill>
          </w14:textFill>
        </w:rPr>
        <w:t>网站</w:t>
      </w:r>
      <w:r>
        <w:rPr>
          <w:rFonts w:hint="eastAsia" w:ascii="方正仿宋简体" w:eastAsia="方正仿宋简体"/>
          <w:b w:val="0"/>
          <w:bCs w:val="0"/>
          <w:color w:val="000000" w:themeColor="text1"/>
          <w:sz w:val="32"/>
          <w:szCs w:val="32"/>
          <w14:textFill>
            <w14:solidFill>
              <w14:schemeClr w14:val="tx1"/>
            </w14:solidFill>
          </w14:textFill>
        </w:rPr>
        <w:t>（</w:t>
      </w:r>
      <w:r>
        <w:rPr>
          <w:rFonts w:ascii="方正仿宋简体" w:eastAsia="方正仿宋简体"/>
          <w:b w:val="0"/>
          <w:bCs w:val="0"/>
          <w:color w:val="000000" w:themeColor="text1"/>
          <w:sz w:val="32"/>
          <w:szCs w:val="32"/>
          <w14:textFill>
            <w14:solidFill>
              <w14:schemeClr w14:val="tx1"/>
            </w14:solidFill>
          </w14:textFill>
        </w:rPr>
        <w:t>www.jnhn.gov.cn</w:t>
      </w:r>
      <w:r>
        <w:rPr>
          <w:rFonts w:hint="eastAsia" w:ascii="方正仿宋简体" w:eastAsia="方正仿宋简体"/>
          <w:b w:val="0"/>
          <w:bCs w:val="0"/>
          <w:color w:val="000000" w:themeColor="text1"/>
          <w:sz w:val="32"/>
          <w:szCs w:val="32"/>
          <w14:textFill>
            <w14:solidFill>
              <w14:schemeClr w14:val="tx1"/>
            </w14:solidFill>
          </w14:textFill>
        </w:rPr>
        <w:t>）查阅或下载。如对本报告有疑问，请与济宁高新区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联系（地址：</w:t>
      </w:r>
      <w:r>
        <w:rPr>
          <w:rFonts w:hint="eastAsia" w:ascii="方正仿宋简体" w:eastAsia="方正仿宋简体"/>
          <w:b w:val="0"/>
          <w:bCs w:val="0"/>
          <w:color w:val="000000" w:themeColor="text1"/>
          <w:sz w:val="32"/>
          <w:szCs w:val="32"/>
          <w:lang w:eastAsia="zh-CN"/>
          <w14:textFill>
            <w14:solidFill>
              <w14:schemeClr w14:val="tx1"/>
            </w14:solidFill>
          </w14:textFill>
        </w:rPr>
        <w:t>济宁高新区海川路</w:t>
      </w:r>
      <w:r>
        <w:rPr>
          <w:rFonts w:hint="eastAsia" w:ascii="方正仿宋简体" w:eastAsia="方正仿宋简体"/>
          <w:b w:val="0"/>
          <w:bCs w:val="0"/>
          <w:color w:val="000000" w:themeColor="text1"/>
          <w:sz w:val="32"/>
          <w:szCs w:val="32"/>
          <w:lang w:val="en-US" w:eastAsia="zh-CN"/>
          <w14:textFill>
            <w14:solidFill>
              <w14:schemeClr w14:val="tx1"/>
            </w14:solidFill>
          </w14:textFill>
        </w:rPr>
        <w:t>9号</w:t>
      </w:r>
      <w:r>
        <w:rPr>
          <w:rFonts w:hint="eastAsia" w:ascii="方正仿宋简体" w:eastAsia="方正仿宋简体"/>
          <w:b w:val="0"/>
          <w:bCs w:val="0"/>
          <w:color w:val="000000" w:themeColor="text1"/>
          <w:sz w:val="32"/>
          <w:szCs w:val="32"/>
          <w14:textFill>
            <w14:solidFill>
              <w14:schemeClr w14:val="tx1"/>
            </w14:solidFill>
          </w14:textFill>
        </w:rPr>
        <w:t>，联系电话：0537-</w:t>
      </w:r>
      <w:r>
        <w:rPr>
          <w:rFonts w:hint="eastAsia" w:ascii="方正仿宋简体" w:eastAsia="方正仿宋简体"/>
          <w:b w:val="0"/>
          <w:bCs w:val="0"/>
          <w:color w:val="000000" w:themeColor="text1"/>
          <w:sz w:val="32"/>
          <w:szCs w:val="32"/>
          <w:lang w:val="en-US" w:eastAsia="zh-CN"/>
          <w14:textFill>
            <w14:solidFill>
              <w14:schemeClr w14:val="tx1"/>
            </w14:solidFill>
          </w14:textFill>
        </w:rPr>
        <w:t>3255721</w:t>
      </w:r>
      <w:r>
        <w:rPr>
          <w:rFonts w:hint="eastAsia" w:ascii="方正仿宋简体" w:eastAsia="方正仿宋简体"/>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认真贯彻落实《条例》和《山东省政府信息公开办法》要求，认真落实高新区管委会202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年重点工作安排，切实加强组织领导，健全工作机制，认真贯彻政务公开工作各项要求，进一步加大政务公开力度，全面推进决策、执行、管理、结果公开，加强解读回应，扩大公众参与，提</w:t>
      </w:r>
      <w:r>
        <w:rPr>
          <w:rFonts w:hint="eastAsia" w:ascii="方正仿宋简体" w:eastAsia="方正仿宋简体"/>
          <w:b w:val="0"/>
          <w:bCs w:val="0"/>
          <w:color w:val="000000" w:themeColor="text1"/>
          <w:sz w:val="32"/>
          <w:szCs w:val="32"/>
          <w:lang w:val="en-US" w:eastAsia="zh-CN"/>
          <w14:textFill>
            <w14:solidFill>
              <w14:schemeClr w14:val="tx1"/>
            </w14:solidFill>
          </w14:textFill>
        </w:rPr>
        <w:t>升</w:t>
      </w:r>
      <w:r>
        <w:rPr>
          <w:rFonts w:hint="eastAsia" w:ascii="方正仿宋简体" w:eastAsia="方正仿宋简体"/>
          <w:b w:val="0"/>
          <w:bCs w:val="0"/>
          <w:color w:val="000000" w:themeColor="text1"/>
          <w:sz w:val="32"/>
          <w:szCs w:val="32"/>
          <w14:textFill>
            <w14:solidFill>
              <w14:schemeClr w14:val="tx1"/>
            </w14:solidFill>
          </w14:textFill>
        </w:rPr>
        <w:t>部门执行力和公信力，确保我局政府信息公开工作落到实处。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lang w:eastAsia="zh-CN"/>
          <w14:textFill>
            <w14:solidFill>
              <w14:schemeClr w14:val="tx1"/>
            </w14:solidFill>
          </w14:textFill>
        </w:rPr>
        <w:t>（一）</w:t>
      </w:r>
      <w:r>
        <w:rPr>
          <w:rFonts w:hint="eastAsia" w:ascii="方正楷体简体" w:eastAsia="方正楷体简体"/>
          <w:b w:val="0"/>
          <w:bCs w:val="0"/>
          <w:color w:val="000000" w:themeColor="text1"/>
          <w:sz w:val="32"/>
          <w:szCs w:val="32"/>
          <w14:textFill>
            <w14:solidFill>
              <w14:schemeClr w14:val="tx1"/>
            </w14:solidFill>
          </w14:textFill>
        </w:rPr>
        <w:t>主动公开情况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按照全区政府信息公开工作的统一部署和要求，围绕涉及群众切实利益和群众最关心的内容开展政府信息公开，主要涉及产品抽检结果、食品抽检结果、监管工作动态等。202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年，我局通过</w:t>
      </w:r>
      <w:r>
        <w:rPr>
          <w:rFonts w:hint="eastAsia" w:ascii="方正仿宋简体" w:eastAsia="方正仿宋简体"/>
          <w:b w:val="0"/>
          <w:bCs w:val="0"/>
          <w:color w:val="000000" w:themeColor="text1"/>
          <w:sz w:val="32"/>
          <w:szCs w:val="32"/>
          <w:lang w:val="en-US" w:eastAsia="zh-CN"/>
          <w14:textFill>
            <w14:solidFill>
              <w14:schemeClr w14:val="tx1"/>
            </w14:solidFill>
          </w14:textFill>
        </w:rPr>
        <w:t>管委会</w:t>
      </w:r>
      <w:bookmarkStart w:id="0" w:name="_GoBack"/>
      <w:bookmarkEnd w:id="0"/>
      <w:r>
        <w:rPr>
          <w:rFonts w:hint="eastAsia" w:ascii="方正仿宋简体" w:eastAsia="方正仿宋简体"/>
          <w:b w:val="0"/>
          <w:bCs w:val="0"/>
          <w:color w:val="000000" w:themeColor="text1"/>
          <w:sz w:val="32"/>
          <w:szCs w:val="32"/>
          <w14:textFill>
            <w14:solidFill>
              <w14:schemeClr w14:val="tx1"/>
            </w14:solidFill>
          </w14:textFill>
        </w:rPr>
        <w:t>门户网站主动公开政务信息</w:t>
      </w:r>
      <w:r>
        <w:rPr>
          <w:rFonts w:hint="eastAsia" w:ascii="方正仿宋简体" w:eastAsia="方正仿宋简体"/>
          <w:b w:val="0"/>
          <w:bCs w:val="0"/>
          <w:color w:val="000000" w:themeColor="text1"/>
          <w:sz w:val="32"/>
          <w:szCs w:val="32"/>
          <w:lang w:val="en-US" w:eastAsia="zh-CN"/>
          <w14:textFill>
            <w14:solidFill>
              <w14:schemeClr w14:val="tx1"/>
            </w14:solidFill>
          </w14:textFill>
        </w:rPr>
        <w:t>596</w:t>
      </w:r>
      <w:r>
        <w:rPr>
          <w:rFonts w:hint="eastAsia" w:ascii="方正仿宋简体" w:eastAsia="方正仿宋简体"/>
          <w:b w:val="0"/>
          <w:bCs w:val="0"/>
          <w:color w:val="000000" w:themeColor="text1"/>
          <w:sz w:val="32"/>
          <w:szCs w:val="32"/>
          <w14:textFill>
            <w14:solidFill>
              <w14:schemeClr w14:val="tx1"/>
            </w14:solidFill>
          </w14:textFill>
        </w:rPr>
        <w:t>条</w:t>
      </w:r>
      <w:r>
        <w:rPr>
          <w:rFonts w:hint="eastAsia" w:ascii="方正仿宋简体" w:eastAsia="方正仿宋简体"/>
          <w:b w:val="0"/>
          <w:bCs w:val="0"/>
          <w:color w:val="000000" w:themeColor="text1"/>
          <w:sz w:val="32"/>
          <w:szCs w:val="32"/>
          <w:lang w:eastAsia="zh-CN"/>
          <w14:textFill>
            <w14:solidFill>
              <w14:schemeClr w14:val="tx1"/>
            </w14:solidFill>
          </w14:textFill>
        </w:rPr>
        <w:t>。</w:t>
      </w:r>
    </w:p>
    <w:p>
      <w:pPr>
        <w:pStyle w:val="2"/>
        <w:rPr>
          <w:rFonts w:hint="eastAsia" w:eastAsia="方正仿宋简体"/>
          <w:lang w:eastAsia="zh-CN"/>
        </w:rPr>
      </w:pPr>
      <w:r>
        <w:rPr>
          <w:rFonts w:hint="eastAsia" w:eastAsia="方正仿宋简体"/>
          <w:lang w:eastAsia="zh-CN"/>
        </w:rPr>
        <w:drawing>
          <wp:inline distT="0" distB="0" distL="114300" distR="114300">
            <wp:extent cx="5273675" cy="2696845"/>
            <wp:effectExtent l="0" t="0" r="3175" b="8255"/>
            <wp:docPr id="1" name="图片 1" descr="d0ab1cd4aff3241ff6c5497b78af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ab1cd4aff3241ff6c5497b78af344"/>
                    <pic:cNvPicPr>
                      <a:picLocks noChangeAspect="1"/>
                    </pic:cNvPicPr>
                  </pic:nvPicPr>
                  <pic:blipFill>
                    <a:blip r:embed="rId6"/>
                    <a:stretch>
                      <a:fillRect/>
                    </a:stretch>
                  </pic:blipFill>
                  <pic:spPr>
                    <a:xfrm>
                      <a:off x="0" y="0"/>
                      <a:ext cx="5273675" cy="26968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济宁高新区</w:t>
      </w:r>
      <w:r>
        <w:rPr>
          <w:rFonts w:hint="eastAsia" w:ascii="方正仿宋简体" w:eastAsia="方正仿宋简体"/>
          <w:b w:val="0"/>
          <w:bCs w:val="0"/>
          <w:color w:val="000000" w:themeColor="text1"/>
          <w:sz w:val="32"/>
          <w:szCs w:val="32"/>
          <w:lang w:eastAsia="zh-CN"/>
          <w14:textFill>
            <w14:solidFill>
              <w14:schemeClr w14:val="tx1"/>
            </w14:solidFill>
          </w14:textFill>
        </w:rPr>
        <w:t>市场监管局</w:t>
      </w:r>
      <w:r>
        <w:rPr>
          <w:rFonts w:hint="eastAsia" w:ascii="方正仿宋简体" w:eastAsia="方正仿宋简体"/>
          <w:b w:val="0"/>
          <w:bCs w:val="0"/>
          <w:color w:val="000000" w:themeColor="text1"/>
          <w:sz w:val="32"/>
          <w:szCs w:val="32"/>
          <w14:textFill>
            <w14:solidFill>
              <w14:schemeClr w14:val="tx1"/>
            </w14:solidFill>
          </w14:textFill>
        </w:rPr>
        <w:t>202</w:t>
      </w:r>
      <w:r>
        <w:rPr>
          <w:rFonts w:hint="eastAsia" w:ascii="方正仿宋简体" w:eastAsia="方正仿宋简体"/>
          <w:b w:val="0"/>
          <w:bCs w:val="0"/>
          <w:color w:val="000000" w:themeColor="text1"/>
          <w:sz w:val="32"/>
          <w:szCs w:val="32"/>
          <w:lang w:val="en-US" w:eastAsia="zh-CN"/>
          <w14:textFill>
            <w14:solidFill>
              <w14:schemeClr w14:val="tx1"/>
            </w14:solidFill>
          </w14:textFill>
        </w:rPr>
        <w:t>2</w:t>
      </w:r>
      <w:r>
        <w:rPr>
          <w:rFonts w:hint="eastAsia" w:ascii="方正仿宋简体" w:eastAsia="方正仿宋简体"/>
          <w:b w:val="0"/>
          <w:bCs w:val="0"/>
          <w:color w:val="000000" w:themeColor="text1"/>
          <w:sz w:val="32"/>
          <w:szCs w:val="32"/>
          <w14:textFill>
            <w14:solidFill>
              <w14:schemeClr w14:val="tx1"/>
            </w14:solidFill>
          </w14:textFill>
        </w:rPr>
        <w:t>年无依申请公开的案件。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建立政府信息公开工作审批制度、保密审查制度，明确"初审、审核两级审查"的主动公开原则，对主动公开信息采取信息制作、信息审查、信息发布、信息归档四个流程来操作。</w:t>
      </w:r>
      <w:r>
        <w:rPr>
          <w:rFonts w:hint="eastAsia" w:ascii="方正仿宋简体" w:eastAsia="方正仿宋简体"/>
          <w:b w:val="0"/>
          <w:bCs w:val="0"/>
          <w:color w:val="000000" w:themeColor="text1"/>
          <w:sz w:val="32"/>
          <w:szCs w:val="32"/>
          <w:lang w:eastAsia="zh-CN"/>
          <w14:textFill>
            <w14:solidFill>
              <w14:schemeClr w14:val="tx1"/>
            </w14:solidFill>
          </w14:textFill>
        </w:rPr>
        <w:t>编制下发局</w:t>
      </w:r>
      <w:r>
        <w:rPr>
          <w:rFonts w:hint="eastAsia" w:ascii="方正仿宋简体" w:eastAsia="方正仿宋简体"/>
          <w:b w:val="0"/>
          <w:bCs w:val="0"/>
          <w:color w:val="000000" w:themeColor="text1"/>
          <w:sz w:val="32"/>
          <w:szCs w:val="32"/>
          <w14:textFill>
            <w14:solidFill>
              <w14:schemeClr w14:val="tx1"/>
            </w14:solidFill>
          </w14:textFill>
        </w:rPr>
        <w:t>政务公开工作通知</w:t>
      </w:r>
      <w:r>
        <w:rPr>
          <w:rFonts w:hint="eastAsia" w:ascii="方正仿宋简体" w:eastAsia="方正仿宋简体"/>
          <w:b w:val="0"/>
          <w:bCs w:val="0"/>
          <w:color w:val="000000" w:themeColor="text1"/>
          <w:sz w:val="32"/>
          <w:szCs w:val="32"/>
          <w:lang w:eastAsia="zh-CN"/>
          <w14:textFill>
            <w14:solidFill>
              <w14:schemeClr w14:val="tx1"/>
            </w14:solidFill>
          </w14:textFill>
        </w:rPr>
        <w:t>，明确</w:t>
      </w:r>
      <w:r>
        <w:rPr>
          <w:rFonts w:hint="eastAsia" w:ascii="方正仿宋简体" w:eastAsia="方正仿宋简体"/>
          <w:b w:val="0"/>
          <w:bCs w:val="0"/>
          <w:color w:val="000000" w:themeColor="text1"/>
          <w:sz w:val="32"/>
          <w:szCs w:val="32"/>
          <w14:textFill>
            <w14:solidFill>
              <w14:schemeClr w14:val="tx1"/>
            </w14:solidFill>
          </w14:textFill>
        </w:rPr>
        <w:t>各处室是网站信息发布的“第一关口”，请务必高度重视信息发布前“审核”工作，做好合规合法、语言文字、内容格式、保密审查等各方面把关工作，避免信息发布不当造成不良</w:t>
      </w:r>
      <w:r>
        <w:rPr>
          <w:rFonts w:hint="eastAsia" w:ascii="方正仿宋简体" w:eastAsia="方正仿宋简体"/>
          <w:b w:val="0"/>
          <w:bCs w:val="0"/>
          <w:color w:val="000000" w:themeColor="text1"/>
          <w:sz w:val="32"/>
          <w:szCs w:val="32"/>
          <w:lang w:val="en-US" w:eastAsia="zh-CN"/>
          <w14:textFill>
            <w14:solidFill>
              <w14:schemeClr w14:val="tx1"/>
            </w14:solidFill>
          </w14:textFill>
        </w:rPr>
        <w:t>影响。</w:t>
      </w:r>
      <w:r>
        <w:rPr>
          <w:rFonts w:hint="eastAsia" w:ascii="方正仿宋简体" w:eastAsia="方正仿宋简体"/>
          <w:b w:val="0"/>
          <w:bCs w:val="0"/>
          <w:color w:val="000000" w:themeColor="text1"/>
          <w:sz w:val="32"/>
          <w:szCs w:val="32"/>
          <w14:textFill>
            <w14:solidFill>
              <w14:schemeClr w14:val="tx1"/>
            </w14:solidFill>
          </w14:textFill>
        </w:rPr>
        <w:t>行政处罚案件信息全部按照规定通过办案系统，由办案人员提交，经法规审核并公示，同时，也注意了隐去涉及国家秘密、商业秘密、个人隐私的内容。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lang w:eastAsia="zh-CN"/>
          <w14:textFill>
            <w14:solidFill>
              <w14:schemeClr w14:val="tx1"/>
            </w14:solidFill>
          </w14:textFill>
        </w:rPr>
      </w:pPr>
      <w:r>
        <w:rPr>
          <w:rFonts w:hint="eastAsia" w:ascii="方正仿宋简体" w:eastAsia="方正仿宋简体"/>
          <w:b w:val="0"/>
          <w:bCs w:val="0"/>
          <w:color w:val="000000" w:themeColor="text1"/>
          <w:sz w:val="32"/>
          <w:szCs w:val="32"/>
          <w14:textFill>
            <w14:solidFill>
              <w14:schemeClr w14:val="tx1"/>
            </w14:solidFill>
          </w14:textFill>
        </w:rPr>
        <w:t>积极发挥政府网站作为信息公开第一平台作用。加强政府信息公开平台建设，对公开指南、目录、年报以及需要主动公开的内容及时进行公开。深化政务新媒体平台建设，发挥好“两微”作用，保持常态化各类信息更新，拓展新形式宣传。</w:t>
      </w:r>
      <w:r>
        <w:rPr>
          <w:rFonts w:hint="eastAsia" w:ascii="方正仿宋简体" w:eastAsia="方正仿宋简体"/>
          <w:b w:val="0"/>
          <w:bCs w:val="0"/>
          <w:color w:val="000000" w:themeColor="text1"/>
          <w:sz w:val="32"/>
          <w:szCs w:val="32"/>
          <w:lang w:eastAsia="zh-CN"/>
          <w14:textFill>
            <w14:solidFill>
              <w14:schemeClr w14:val="tx1"/>
            </w14:solidFill>
          </w14:textFill>
        </w:rPr>
        <w:t>安排专人负责更新管委会网站行政执法公示专栏和双随机一公开专栏，将行政执法情况和双随机一公开情况及时、准确地向社会公众发布，接受公众监督。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简体" w:eastAsia="方正仿宋简体"/>
          <w:b w:val="0"/>
          <w:bCs w:val="0"/>
          <w:color w:val="000000" w:themeColor="text1"/>
          <w:sz w:val="32"/>
          <w:szCs w:val="32"/>
          <w:lang w:eastAsia="zh-CN"/>
          <w14:textFill>
            <w14:solidFill>
              <w14:schemeClr w14:val="tx1"/>
            </w14:solidFill>
          </w14:textFill>
        </w:rPr>
      </w:pPr>
      <w:r>
        <w:rPr>
          <w:rFonts w:hint="eastAsia" w:ascii="方正仿宋简体" w:eastAsia="方正仿宋简体"/>
          <w:b w:val="0"/>
          <w:bCs w:val="0"/>
          <w:color w:val="000000" w:themeColor="text1"/>
          <w:sz w:val="32"/>
          <w:szCs w:val="32"/>
          <w:lang w:eastAsia="zh-CN"/>
          <w14:textFill>
            <w14:solidFill>
              <w14:schemeClr w14:val="tx1"/>
            </w14:solidFill>
          </w14:textFill>
        </w:rPr>
        <w:t>济宁高新区市场监管局政务信息公开工作由一名副局长作为分管负责人进行总体监督调度，局</w:t>
      </w:r>
      <w:r>
        <w:rPr>
          <w:rFonts w:hint="eastAsia" w:ascii="方正仿宋简体" w:eastAsia="方正仿宋简体"/>
          <w:b w:val="0"/>
          <w:bCs w:val="0"/>
          <w:color w:val="000000" w:themeColor="text1"/>
          <w:sz w:val="32"/>
          <w:szCs w:val="32"/>
          <w:lang w:val="en-US" w:eastAsia="zh-CN"/>
          <w14:textFill>
            <w14:solidFill>
              <w14:schemeClr w14:val="tx1"/>
            </w14:solidFill>
          </w14:textFill>
        </w:rPr>
        <w:t>办公室</w:t>
      </w:r>
      <w:r>
        <w:rPr>
          <w:rFonts w:hint="eastAsia" w:ascii="方正仿宋简体" w:eastAsia="方正仿宋简体"/>
          <w:b w:val="0"/>
          <w:bCs w:val="0"/>
          <w:color w:val="000000" w:themeColor="text1"/>
          <w:sz w:val="32"/>
          <w:szCs w:val="32"/>
          <w:lang w:eastAsia="zh-CN"/>
          <w14:textFill>
            <w14:solidFill>
              <w14:schemeClr w14:val="tx1"/>
            </w14:solidFill>
          </w14:textFill>
        </w:rPr>
        <w:t>设置一名兼职人员具体办理政务信息审批单的收集及政务信息的上传工作。同时畅通诉求渠道，利用12345平台、网站邮箱、公众号私信等，广泛听取群众意见，自觉接受群众监督。坚持内部监督和社会监督相结合体系，推进人民群众监督和舆论监督，及时反馈群众呼声。</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val="0"/>
                <w:bCs w:val="0"/>
                <w:sz w:val="24"/>
                <w:szCs w:val="24"/>
              </w:rPr>
            </w:pPr>
            <w:r>
              <w:rPr>
                <w:rFonts w:hint="eastAsia" w:ascii="方正黑体简体" w:hAnsi="宋体" w:eastAsia="方正黑体简体" w:cs="宋体"/>
                <w:b w:val="0"/>
                <w:bCs w:val="0"/>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hAnsi="Calibri" w:eastAsia="方正仿宋简体" w:cs="Calibri"/>
                <w:b w:val="0"/>
                <w:bCs w:val="0"/>
                <w:sz w:val="24"/>
                <w:szCs w:val="24"/>
                <w:lang w:val="en-US" w:eastAsia="zh-CN"/>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黑体简体" w:hAnsi="宋体" w:eastAsia="方正黑体简体" w:cs="宋体"/>
                <w:b w:val="0"/>
                <w:bCs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sz w:val="24"/>
                <w:szCs w:val="24"/>
              </w:rPr>
            </w:pPr>
            <w:r>
              <w:rPr>
                <w:rFonts w:hint="eastAsia" w:ascii="方正仿宋简体" w:hAnsi="宋体" w:eastAsia="方正仿宋简体" w:cs="宋体"/>
                <w:b w:val="0"/>
                <w:bCs w:val="0"/>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sz w:val="24"/>
                <w:szCs w:val="24"/>
              </w:rPr>
            </w:pPr>
            <w:r>
              <w:rPr>
                <w:rFonts w:hint="eastAsia" w:ascii="方正仿宋简体" w:hAnsi="宋体" w:eastAsia="方正仿宋简体" w:cs="宋体"/>
                <w:b w:val="0"/>
                <w:bCs w:val="0"/>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val="0"/>
                <w:bCs w:val="0"/>
                <w:sz w:val="24"/>
                <w:szCs w:val="24"/>
                <w:lang w:val="en-US" w:eastAsia="zh-CN"/>
              </w:rPr>
            </w:pPr>
            <w:r>
              <w:rPr>
                <w:rFonts w:hint="eastAsia" w:ascii="方正仿宋简体" w:eastAsia="方正仿宋简体"/>
                <w:b w:val="0"/>
                <w:bCs w:val="0"/>
                <w:sz w:val="24"/>
                <w:szCs w:val="24"/>
                <w:lang w:val="en-US" w:eastAsia="zh-CN"/>
              </w:rPr>
              <w:t>0</w:t>
            </w:r>
          </w:p>
        </w:tc>
      </w:tr>
    </w:tbl>
    <w:p>
      <w:pPr>
        <w:spacing w:beforeLines="10" w:afterLines="10" w:line="600" w:lineRule="exact"/>
        <w:ind w:firstLine="640" w:firstLineChars="200"/>
        <w:rPr>
          <w:rFonts w:ascii="方正黑体简体" w:eastAsia="方正黑体简体"/>
          <w:b w:val="0"/>
          <w:bCs w:val="0"/>
          <w:sz w:val="32"/>
          <w:szCs w:val="32"/>
        </w:rPr>
      </w:pPr>
      <w:r>
        <w:rPr>
          <w:rFonts w:hint="eastAsia" w:ascii="方正黑体简体" w:eastAsia="方正黑体简体"/>
          <w:b w:val="0"/>
          <w:bCs w:val="0"/>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楷体" w:eastAsia="方正黑体简体" w:cs="楷体"/>
                <w:b w:val="0"/>
                <w:bCs w:val="0"/>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val="0"/>
                <w:bCs w:val="0"/>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val="0"/>
                <w:bCs w:val="0"/>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商业</w:t>
            </w:r>
          </w:p>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科研</w:t>
            </w:r>
          </w:p>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（二）部分公开</w:t>
            </w:r>
            <w:r>
              <w:rPr>
                <w:rFonts w:hint="eastAsia" w:ascii="方正仿宋简体" w:hAnsi="楷体" w:eastAsia="方正仿宋简体" w:cs="楷体"/>
                <w:b w:val="0"/>
                <w:bCs w:val="0"/>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1.属于国家秘密</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2.其他法律行政法规禁止公开</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3.危及“三安全一稳定”</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4.保护第三方合法权益</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5.属于三类内部事务信息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6.属于四类过程性信息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7.属于行政执法案卷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8.属于行政查询事项</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1.本机关不掌握相关政府信息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2.没有现成信息需要另行制作</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3.补正后申请内容仍不明确</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1.信访举报投诉类申请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2.重复申请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3.要求提供公开出版物</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4.无正当理由大量反复申请</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5.要求行政机关确认或重新出具已获取信息</w:t>
            </w:r>
          </w:p>
        </w:tc>
        <w:tc>
          <w:tcPr>
            <w:tcW w:w="79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rPr>
                <w:rFonts w:ascii="方正仿宋简体" w:eastAsia="方正仿宋简体"/>
                <w:b w:val="0"/>
                <w:bCs w:val="0"/>
                <w:sz w:val="21"/>
                <w:szCs w:val="21"/>
              </w:rPr>
            </w:pPr>
            <w:r>
              <w:rPr>
                <w:rFonts w:hint="eastAsia" w:ascii="方正仿宋简体" w:hAnsi="宋体" w:eastAsia="方正仿宋简体" w:cs="宋体"/>
                <w:b w:val="0"/>
                <w:bCs w:val="0"/>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sz w:val="21"/>
                <w:szCs w:val="21"/>
              </w:rPr>
            </w:pPr>
            <w:r>
              <w:rPr>
                <w:rFonts w:hint="eastAsia" w:ascii="方正仿宋简体" w:hAnsi="宋体" w:eastAsia="方正仿宋简体" w:cs="宋体"/>
                <w:b w:val="0"/>
                <w:bCs w:val="0"/>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c>
          <w:tcPr>
            <w:tcW w:w="521" w:type="dxa"/>
            <w:tcMar>
              <w:left w:w="57" w:type="dxa"/>
              <w:right w:w="57" w:type="dxa"/>
            </w:tcMar>
          </w:tcPr>
          <w:p>
            <w:pPr>
              <w:spacing w:line="300" w:lineRule="exact"/>
              <w:rPr>
                <w:rFonts w:hint="eastAsia" w:ascii="方正仿宋简体" w:eastAsia="方正仿宋简体"/>
                <w:b w:val="0"/>
                <w:bCs w:val="0"/>
                <w:sz w:val="21"/>
                <w:szCs w:val="21"/>
                <w:lang w:val="en-US" w:eastAsia="zh-CN"/>
              </w:rPr>
            </w:pPr>
            <w:r>
              <w:rPr>
                <w:rFonts w:hint="eastAsia" w:ascii="方正仿宋简体" w:eastAsia="方正仿宋简体"/>
                <w:b w:val="0"/>
                <w:bCs w:val="0"/>
                <w:sz w:val="21"/>
                <w:szCs w:val="21"/>
                <w:lang w:val="en-US" w:eastAsia="zh-CN"/>
              </w:rPr>
              <w:t>0</w:t>
            </w:r>
          </w:p>
        </w:tc>
      </w:tr>
    </w:tbl>
    <w:p>
      <w:pPr>
        <w:spacing w:line="590" w:lineRule="exact"/>
        <w:ind w:right="-110" w:rightChars="-50"/>
        <w:rPr>
          <w:rFonts w:hint="eastAsia" w:ascii="方正黑体简体" w:eastAsia="方正黑体简体"/>
          <w:b w:val="0"/>
          <w:bCs w:val="0"/>
          <w:sz w:val="32"/>
          <w:szCs w:val="32"/>
        </w:rPr>
      </w:pPr>
    </w:p>
    <w:p>
      <w:pPr>
        <w:spacing w:line="590" w:lineRule="exact"/>
        <w:ind w:right="-110" w:rightChars="-50"/>
        <w:rPr>
          <w:rFonts w:ascii="方正黑体简体" w:eastAsia="方正黑体简体"/>
          <w:b w:val="0"/>
          <w:bCs w:val="0"/>
          <w:sz w:val="32"/>
          <w:szCs w:val="32"/>
        </w:rPr>
      </w:pPr>
      <w:r>
        <w:rPr>
          <w:rFonts w:hint="eastAsia" w:ascii="方正黑体简体" w:eastAsia="方正黑体简体"/>
          <w:b w:val="0"/>
          <w:bCs w:val="0"/>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hAnsi="宋体" w:eastAsia="方正黑体简体" w:cs="宋体"/>
                <w:b w:val="0"/>
                <w:bCs w:val="0"/>
                <w:sz w:val="21"/>
                <w:szCs w:val="21"/>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结果</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其他</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sz w:val="21"/>
                <w:szCs w:val="21"/>
                <w:lang w:eastAsia="zh-CN"/>
              </w:rPr>
            </w:pPr>
            <w:r>
              <w:rPr>
                <w:rFonts w:hint="eastAsia" w:ascii="方正黑体简体" w:hAnsi="宋体" w:eastAsia="方正黑体简体" w:cs="宋体"/>
                <w:b w:val="0"/>
                <w:bCs w:val="0"/>
                <w:sz w:val="21"/>
                <w:szCs w:val="21"/>
              </w:rPr>
              <w:t>尚未</w:t>
            </w:r>
          </w:p>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sz w:val="21"/>
                <w:szCs w:val="21"/>
              </w:rPr>
            </w:pPr>
            <w:r>
              <w:rPr>
                <w:rFonts w:hint="eastAsia" w:ascii="方正黑体简体" w:hAnsi="宋体" w:eastAsia="方正黑体简体" w:cs="宋体"/>
                <w:b w:val="0"/>
                <w:bCs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default"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hint="eastAsia" w:ascii="方正黑体简体" w:eastAsia="方正黑体简体"/>
                <w:b w:val="0"/>
                <w:bCs w:val="0"/>
                <w:sz w:val="21"/>
                <w:szCs w:val="21"/>
                <w:lang w:val="en-US" w:eastAsia="zh-CN"/>
              </w:rPr>
            </w:pPr>
            <w:r>
              <w:rPr>
                <w:rFonts w:hint="eastAsia" w:ascii="方正黑体简体" w:eastAsia="方正黑体简体"/>
                <w:b w:val="0"/>
                <w:bCs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sz w:val="32"/>
          <w:szCs w:val="32"/>
        </w:rPr>
      </w:pPr>
      <w:r>
        <w:rPr>
          <w:rFonts w:hint="eastAsia" w:ascii="方正黑体简体" w:eastAsia="方正黑体简体"/>
          <w:b w:val="0"/>
          <w:bCs w:val="0"/>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w:t>
      </w:r>
      <w:r>
        <w:rPr>
          <w:rFonts w:hint="eastAsia" w:ascii="方正仿宋简体" w:eastAsia="方正仿宋简体" w:cstheme="minorBidi"/>
          <w:b w:val="0"/>
          <w:bCs w:val="0"/>
          <w:color w:val="000000" w:themeColor="text1"/>
          <w:kern w:val="0"/>
          <w:sz w:val="32"/>
          <w:szCs w:val="32"/>
          <w:lang w:val="en-US" w:eastAsia="zh-CN" w:bidi="ar-SA"/>
          <w14:textFill>
            <w14:solidFill>
              <w14:schemeClr w14:val="tx1"/>
            </w14:solidFill>
          </w14:textFill>
        </w:rPr>
        <w:t>2</w:t>
      </w: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年，区市场监管局政府信息公开工作有序推进，进一步丰富了公开的内容和载体，取得了一定的成效，但还存在一些薄弱环节：一是信息公开的精准性待提升，公开的时效性、信息严谨性、内容实用性等情况，要进一步精细化，例如相关政策优惠、抽检结果等第一时间发布；二是主动公开的范围仍需明确。需进一步梳理应主动公开事项，做到“公开为常态 不公开为例外”，目录和指南的编制还要不断更新和完善；三是信息公开形式多样化不足。各类公开信息在公开形式也需进一步分类优化，信息发布渠道及形式不够多样，导致总体受众面还较窄。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w:t>
      </w:r>
      <w:r>
        <w:rPr>
          <w:rFonts w:hint="eastAsia" w:ascii="方正仿宋简体" w:eastAsia="方正仿宋简体" w:cstheme="minorBidi"/>
          <w:b w:val="0"/>
          <w:bCs w:val="0"/>
          <w:color w:val="000000" w:themeColor="text1"/>
          <w:kern w:val="0"/>
          <w:sz w:val="32"/>
          <w:szCs w:val="32"/>
          <w:lang w:val="en-US" w:eastAsia="zh-CN" w:bidi="ar-SA"/>
          <w14:textFill>
            <w14:solidFill>
              <w14:schemeClr w14:val="tx1"/>
            </w14:solidFill>
          </w14:textFill>
        </w:rPr>
        <w:t>3</w:t>
      </w: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年，我局将逐步开展针对改进工作：一是健全内部信息管理机制。进一步加强对相关法律法规的学习，增强全体工作人员的政务公开意识，提升具体经办人员的政务公开能力。同时，进一步完善政务公开工作制度，严格信息公开审查制度，规范公开内容，提升信息公开质量。二是全面梳理主动公开事项。根据《中华人民共和国政府信息公开条例》（国务院令第711号）要求，落实政务信息“应公开尽公开”，开展公开事项进一步梳理，确保政府信息公开内容规范、及时、全面、准确。三是充分利用新媒体手段。依托各新媒体平台，充分运用图片、图表、图解、视频等可视化的方式，增强政策解读的效果、丰富信息公开的形式。同时加强与新闻媒体合作，扩大受众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（一）依据《政府信息公开信息处理费管理办法》收取信息处理费的情况需在此专门报告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2022年本机关未依据《政府信息公开信息处理费管理办法》收取信息处理费。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（二）本行政机关落实上级年度政务公开工作要点情况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一是规范政务公开机制。2022年市场监管局持续做好政务公开工作，选派办公室人员加强政务公开责任落实，学习《中华人民共和国政府信息公开条例》，以提高群众对部门工作的满意度为己任，以公开促落实、促规范、促服务，力争时间节点内保质保量完成政务信息公开的各项工作。二是丰富信息公开形式。在积极利用线上公开渠道开展宣传的同时，还举办了“质量宣传周”、“特种设备安全宣传月”、“食品快检进社区”等系列线下活动，拉近群众距离，弘扬良好社会风气。三是完善民生领域信息公开。针对乡村振兴、建设项目、公共服务、应急管理等重点关系人民生活领域的信息做好及时公布。2022年济宁高新区市场监管局共受理12345政务服务热线转办事项7683件(次)，其中承接省级政务服务热线转办106件(次)。承办《领导信箱》9件(次)、网络问政事项39件(次），其他事项件2813（次）。截至12月31日，应办结10544件，实际办结10544件。12345政务服务热线转办事项办结率为100%，平均办理结果满意率为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（三）本行政机关人大代表建议和政协提案办理结果公开情况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2022年本机关未收到人大代表建议和政协提案。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（四）本行政机关政府信息公开工作年度报告数据统计需要说明的事项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bCs/>
          <w:color w:val="000000" w:themeColor="text1"/>
          <w:kern w:val="0"/>
          <w:sz w:val="32"/>
          <w:szCs w:val="32"/>
          <w:lang w:val="en-US" w:eastAsia="zh-CN" w:bidi="ar-SA"/>
          <w14:textFill>
            <w14:solidFill>
              <w14:schemeClr w14:val="tx1"/>
            </w14:solidFill>
          </w14:textFill>
        </w:rPr>
        <w:t>（五）其他有关文件专门要求通过政府信息公开工作年度报告予以报告的事项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r>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方正仿宋简体" w:hAnsi="Tahoma" w:eastAsia="方正仿宋简体" w:cstheme="minorBidi"/>
          <w:b w:val="0"/>
          <w:bCs w:val="0"/>
          <w:color w:val="000000" w:themeColor="text1"/>
          <w:kern w:val="0"/>
          <w:sz w:val="32"/>
          <w:szCs w:val="32"/>
          <w:lang w:val="en-US" w:eastAsia="zh-CN" w:bidi="ar-SA"/>
          <w14:textFill>
            <w14:solidFill>
              <w14:schemeClr w14:val="tx1"/>
            </w14:solidFill>
          </w14:textFill>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D31D50"/>
    <w:rsid w:val="00323B43"/>
    <w:rsid w:val="0036550C"/>
    <w:rsid w:val="003D37D8"/>
    <w:rsid w:val="00426133"/>
    <w:rsid w:val="004358AB"/>
    <w:rsid w:val="007F207A"/>
    <w:rsid w:val="008B7726"/>
    <w:rsid w:val="00D31D50"/>
    <w:rsid w:val="00F936FA"/>
    <w:rsid w:val="02A740F9"/>
    <w:rsid w:val="06A87CC4"/>
    <w:rsid w:val="0750555C"/>
    <w:rsid w:val="078018DD"/>
    <w:rsid w:val="09472849"/>
    <w:rsid w:val="0A611208"/>
    <w:rsid w:val="0C4D4B85"/>
    <w:rsid w:val="10EB7FAC"/>
    <w:rsid w:val="15EB460B"/>
    <w:rsid w:val="1676618E"/>
    <w:rsid w:val="1936188F"/>
    <w:rsid w:val="1A836C81"/>
    <w:rsid w:val="1D8C2B12"/>
    <w:rsid w:val="1EA60A95"/>
    <w:rsid w:val="2135038B"/>
    <w:rsid w:val="21576086"/>
    <w:rsid w:val="23446CEF"/>
    <w:rsid w:val="240E46A0"/>
    <w:rsid w:val="27080AA1"/>
    <w:rsid w:val="2EA42069"/>
    <w:rsid w:val="325236B8"/>
    <w:rsid w:val="35BE50CF"/>
    <w:rsid w:val="36344B03"/>
    <w:rsid w:val="3B886AEE"/>
    <w:rsid w:val="3D780C4B"/>
    <w:rsid w:val="41F32E32"/>
    <w:rsid w:val="444103CB"/>
    <w:rsid w:val="46FA63E1"/>
    <w:rsid w:val="49D32A17"/>
    <w:rsid w:val="50EB1D36"/>
    <w:rsid w:val="51485345"/>
    <w:rsid w:val="547D0AA7"/>
    <w:rsid w:val="57AB7EC8"/>
    <w:rsid w:val="5A69790D"/>
    <w:rsid w:val="5C324A26"/>
    <w:rsid w:val="5CCC49D7"/>
    <w:rsid w:val="5F115494"/>
    <w:rsid w:val="66A24E6A"/>
    <w:rsid w:val="67336047"/>
    <w:rsid w:val="684B3F62"/>
    <w:rsid w:val="68B84332"/>
    <w:rsid w:val="69753753"/>
    <w:rsid w:val="72D20BDB"/>
    <w:rsid w:val="745021F7"/>
    <w:rsid w:val="7653275B"/>
    <w:rsid w:val="77DD2867"/>
    <w:rsid w:val="78152CF9"/>
    <w:rsid w:val="787535DD"/>
    <w:rsid w:val="7F6B2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paragraph" w:customStyle="1" w:styleId="8">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3545</Words>
  <Characters>3681</Characters>
  <Lines>1</Lines>
  <Paragraphs>1</Paragraphs>
  <TotalTime>252</TotalTime>
  <ScaleCrop>false</ScaleCrop>
  <LinksUpToDate>false</LinksUpToDate>
  <CharactersWithSpaces>3682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dcterms:modified xsi:type="dcterms:W3CDTF">2023-02-09T03:55:35Z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487201059_btnclosed</vt:lpwstr>
  </property>
  <property fmtid="{D5CDD505-2E9C-101B-9397-08002B2CF9AE}" pid="4" name="ICV">
    <vt:lpwstr>E6C9B97B95394390861E990D2C29B6F3</vt:lpwstr>
  </property>
</Properties>
</file>