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2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十二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）安全生产领域基层政务公开标准目录</w:t>
      </w:r>
      <w:bookmarkEnd w:id="0"/>
    </w:p>
    <w:bookmarkEnd w:id="1"/>
    <w:tbl>
      <w:tblPr>
        <w:tblStyle w:val="3"/>
        <w:tblW w:w="15660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96"/>
        <w:gridCol w:w="664"/>
        <w:gridCol w:w="720"/>
        <w:gridCol w:w="720"/>
        <w:gridCol w:w="720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重要会议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提前一周发通知邀请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■便民服务站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《安全生产法》、《政府信息公开条例》、《中共中央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《政府信息公开条例》、《突发事件应对法》、《关于全面加强政务公开工作的意见》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eastAsia="仿宋_GB2312"/>
                <w:sz w:val="18"/>
                <w:szCs w:val="18"/>
              </w:rPr>
              <w:t>服务中心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■便民服务站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动态信息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■发布会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■广播电视   ■纸质媒体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■其他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■发布会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■广播电视   ■纸质媒体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■便民服务站 ■入户/现场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■社区/企事业单位、村公示栏（电子屏）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■精准推送   ■其他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财政资金信息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预算、决算</w:t>
            </w:r>
          </w:p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 “三公”经费</w:t>
            </w:r>
          </w:p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安全生产专项资金使用等财政资金信息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《政府信息公开条例》、《国务院关于深化预算管理制度改革的决定》、《国务院办公厅关于进一步推进预算公开工作意见的通知》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按中央要求时限公开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eastAsia="仿宋_GB2312"/>
                <w:sz w:val="18"/>
                <w:szCs w:val="18"/>
              </w:rPr>
              <w:t>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政府采购信息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本单位采购实施情况相关信息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《政府信息公开条例》、《国务院关于深化预算管理制度改革的决定》、中办、国办印发《关于进一步推进预算公开工作的意见》的通知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eastAsia="仿宋_GB2312"/>
                <w:sz w:val="18"/>
                <w:szCs w:val="18"/>
              </w:rPr>
              <w:t>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办事纪律和监督管理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eastAsia="仿宋_GB2312"/>
                <w:sz w:val="18"/>
                <w:szCs w:val="18"/>
              </w:rPr>
              <w:t>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eastAsia="仿宋_GB2312"/>
                <w:sz w:val="18"/>
                <w:szCs w:val="18"/>
              </w:rPr>
              <w:t>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</w:tbl>
    <w:p>
      <w: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6201"/>
    <w:rsid w:val="320C6201"/>
    <w:rsid w:val="6C49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2020-12-10T01:25:00Z</dcterms:created>
  <dc:creator>毛园园</dc:creator>
  <cp:lastModifiedBy>磊磊</cp:lastModifiedBy>
  <dcterms:modified xsi:type="dcterms:W3CDTF">2021-12-14T07:35:27Z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