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outlineLvl w:val="0"/>
        <w:rPr>
          <w:rFonts w:hint="eastAsia" w:ascii="方正小标宋简体" w:eastAsia="方正小标宋简体"/>
          <w:b/>
          <w:color w:val="000000"/>
          <w:sz w:val="44"/>
          <w:szCs w:val="44"/>
        </w:rPr>
      </w:pPr>
      <w:r>
        <w:rPr>
          <w:rFonts w:hint="eastAsia" w:ascii="方正小标宋简体" w:eastAsia="方正小标宋简体"/>
          <w:b/>
          <w:color w:val="000000"/>
          <w:sz w:val="44"/>
          <w:szCs w:val="44"/>
          <w:lang w:val="en-US" w:eastAsia="zh-CN"/>
        </w:rPr>
        <w:t>济宁高新区应急管理局</w:t>
      </w:r>
      <w:r>
        <w:rPr>
          <w:rFonts w:hint="eastAsia" w:ascii="方正小标宋简体" w:eastAsia="方正小标宋简体"/>
          <w:b/>
          <w:color w:val="000000"/>
          <w:sz w:val="44"/>
          <w:szCs w:val="44"/>
        </w:rPr>
        <w:t>2022年政府信息</w:t>
      </w:r>
    </w:p>
    <w:p>
      <w:pPr>
        <w:spacing w:line="590" w:lineRule="exact"/>
        <w:ind w:right="-100" w:rightChars="-50"/>
        <w:jc w:val="center"/>
        <w:outlineLvl w:val="0"/>
        <w:rPr>
          <w:rFonts w:ascii="方正小标宋简体" w:eastAsia="方正小标宋简体"/>
          <w:b/>
          <w:color w:val="000000"/>
          <w:sz w:val="44"/>
          <w:szCs w:val="44"/>
        </w:rPr>
      </w:pPr>
      <w:r>
        <w:rPr>
          <w:rFonts w:hint="eastAsia" w:ascii="方正小标宋简体" w:eastAsia="方正小标宋简体"/>
          <w:b/>
          <w:color w:val="000000"/>
          <w:sz w:val="44"/>
          <w:szCs w:val="44"/>
          <w:lang w:val="en-US" w:eastAsia="zh-CN"/>
        </w:rPr>
        <w:t>公</w:t>
      </w:r>
      <w:r>
        <w:rPr>
          <w:rFonts w:hint="eastAsia" w:ascii="方正小标宋简体" w:eastAsia="方正小标宋简体"/>
          <w:b/>
          <w:color w:val="000000"/>
          <w:sz w:val="44"/>
          <w:szCs w:val="44"/>
        </w:rPr>
        <w:t>开工作年度报告</w:t>
      </w:r>
    </w:p>
    <w:p>
      <w:pPr>
        <w:spacing w:line="590" w:lineRule="exact"/>
        <w:ind w:right="-100" w:rightChars="-50" w:firstLine="643" w:firstLineChars="200"/>
        <w:rPr>
          <w:rFonts w:ascii="方正仿宋简体" w:eastAsia="方正仿宋简体"/>
          <w:b/>
          <w:color w:val="000000"/>
          <w:sz w:val="32"/>
          <w:szCs w:val="32"/>
        </w:rPr>
      </w:pPr>
    </w:p>
    <w:p>
      <w:pPr>
        <w:spacing w:line="590" w:lineRule="exact"/>
        <w:ind w:right="-100" w:rightChars="-50" w:firstLine="643" w:firstLineChars="200"/>
        <w:rPr>
          <w:rFonts w:ascii="方正仿宋简体" w:eastAsia="方正仿宋简体"/>
          <w:b/>
          <w:color w:val="000000"/>
          <w:spacing w:val="-11"/>
          <w:sz w:val="32"/>
          <w:szCs w:val="32"/>
        </w:rPr>
      </w:pPr>
      <w:r>
        <w:rPr>
          <w:rFonts w:hint="eastAsia" w:ascii="方正仿宋简体" w:eastAsia="方正仿宋简体"/>
          <w:b/>
          <w:color w:val="000000"/>
          <w:sz w:val="32"/>
          <w:szCs w:val="32"/>
        </w:rPr>
        <w:t>本报告由</w:t>
      </w:r>
      <w:r>
        <w:rPr>
          <w:rFonts w:hint="eastAsia" w:ascii="方正仿宋简体" w:eastAsia="方正仿宋简体"/>
          <w:b/>
          <w:color w:val="000000"/>
          <w:sz w:val="32"/>
          <w:szCs w:val="32"/>
          <w:lang w:val="en-US" w:eastAsia="zh-CN"/>
        </w:rPr>
        <w:t>济宁高新区应急管理局</w:t>
      </w:r>
      <w:r>
        <w:rPr>
          <w:rFonts w:hint="eastAsia" w:ascii="方正仿宋简体" w:eastAsia="方正仿宋简体"/>
          <w:b/>
          <w:color w:val="000000"/>
          <w:sz w:val="32"/>
          <w:szCs w:val="32"/>
        </w:rPr>
        <w:t>按照《中华人民共和国政府信息公开条例》（以下简称《条例》）和《中华人民共和国政府信息</w:t>
      </w:r>
      <w:r>
        <w:rPr>
          <w:rFonts w:hint="eastAsia" w:ascii="方正仿宋简体" w:eastAsia="方正仿宋简体"/>
          <w:b/>
          <w:color w:val="000000"/>
          <w:spacing w:val="-11"/>
          <w:sz w:val="32"/>
          <w:szCs w:val="32"/>
        </w:rPr>
        <w:t>公开工作年度报告格式》（国办公开办函〔2021〕30号）要求编制。</w:t>
      </w:r>
    </w:p>
    <w:p>
      <w:pPr>
        <w:spacing w:line="590" w:lineRule="exact"/>
        <w:ind w:right="-100"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本报告所列数据的统计期限自2022年1月1日起至2022年12月31日止。本报告电子版可在“</w:t>
      </w:r>
      <w:r>
        <w:rPr>
          <w:rFonts w:hint="eastAsia" w:ascii="方正仿宋简体" w:eastAsia="方正仿宋简体"/>
          <w:b/>
          <w:color w:val="000000" w:themeColor="text1"/>
          <w:sz w:val="32"/>
          <w:szCs w:val="32"/>
          <w14:textFill>
            <w14:solidFill>
              <w14:schemeClr w14:val="tx1"/>
            </w14:solidFill>
          </w14:textFill>
        </w:rPr>
        <w:t>济宁国家高新技术产业开发区</w:t>
      </w:r>
      <w:r>
        <w:rPr>
          <w:rFonts w:hint="eastAsia" w:ascii="方正仿宋简体" w:eastAsia="方正仿宋简体"/>
          <w:b/>
          <w:color w:val="000000"/>
          <w:sz w:val="32"/>
          <w:szCs w:val="32"/>
        </w:rPr>
        <w:t>”政府门户网站（</w:t>
      </w:r>
      <w:r>
        <w:rPr>
          <w:rFonts w:hint="eastAsia" w:ascii="方正仿宋简体" w:eastAsia="方正仿宋简体"/>
          <w:b/>
          <w:color w:val="000000" w:themeColor="text1"/>
          <w:sz w:val="32"/>
          <w:szCs w:val="32"/>
          <w14:textFill>
            <w14:solidFill>
              <w14:schemeClr w14:val="tx1"/>
            </w14:solidFill>
          </w14:textFill>
        </w:rPr>
        <w:t>www.jnhn.gov.cn</w:t>
      </w:r>
      <w:r>
        <w:rPr>
          <w:rFonts w:hint="eastAsia" w:ascii="方正仿宋简体" w:eastAsia="方正仿宋简体"/>
          <w:b/>
          <w:color w:val="000000"/>
          <w:sz w:val="32"/>
          <w:szCs w:val="32"/>
        </w:rPr>
        <w:t>）查阅或下载。如对本报告有疑问，请与</w:t>
      </w:r>
      <w:r>
        <w:rPr>
          <w:rFonts w:hint="eastAsia" w:ascii="方正仿宋简体" w:eastAsia="方正仿宋简体"/>
          <w:b/>
          <w:color w:val="000000"/>
          <w:sz w:val="32"/>
          <w:szCs w:val="32"/>
          <w:lang w:val="en-US" w:eastAsia="zh-CN"/>
        </w:rPr>
        <w:t>济宁高新区应急管理局</w:t>
      </w:r>
      <w:r>
        <w:rPr>
          <w:rFonts w:hint="eastAsia" w:ascii="方正仿宋简体" w:eastAsia="方正仿宋简体"/>
          <w:b/>
          <w:color w:val="000000"/>
          <w:sz w:val="32"/>
          <w:szCs w:val="32"/>
        </w:rPr>
        <w:t>联系（地址：</w:t>
      </w:r>
      <w:r>
        <w:rPr>
          <w:rFonts w:hint="eastAsia" w:ascii="方正仿宋简体" w:eastAsia="方正仿宋简体"/>
          <w:b/>
          <w:color w:val="000000"/>
          <w:sz w:val="32"/>
          <w:szCs w:val="32"/>
          <w:lang w:val="en-US" w:eastAsia="zh-CN"/>
        </w:rPr>
        <w:t>济宁高新区产学研基地T2楼1709室</w:t>
      </w:r>
      <w:r>
        <w:rPr>
          <w:rFonts w:hint="eastAsia" w:ascii="方正仿宋简体" w:eastAsia="方正仿宋简体"/>
          <w:b/>
          <w:color w:val="000000"/>
          <w:sz w:val="32"/>
          <w:szCs w:val="32"/>
        </w:rPr>
        <w:t>，联系电话：0537—</w:t>
      </w:r>
      <w:r>
        <w:rPr>
          <w:rFonts w:hint="eastAsia" w:ascii="方正仿宋简体" w:eastAsia="方正仿宋简体"/>
          <w:b/>
          <w:color w:val="000000"/>
          <w:sz w:val="32"/>
          <w:szCs w:val="32"/>
          <w:lang w:val="en-US" w:eastAsia="zh-CN"/>
        </w:rPr>
        <w:t>5666311</w:t>
      </w:r>
      <w:r>
        <w:rPr>
          <w:rFonts w:hint="eastAsia" w:ascii="方正仿宋简体" w:eastAsia="方正仿宋简体"/>
          <w:b/>
          <w:color w:val="000000"/>
          <w:sz w:val="32"/>
          <w:szCs w:val="32"/>
        </w:rPr>
        <w:t>）。</w:t>
      </w:r>
    </w:p>
    <w:p>
      <w:pPr>
        <w:spacing w:line="590" w:lineRule="exact"/>
        <w:ind w:right="-100" w:rightChars="-50" w:firstLine="640" w:firstLineChars="200"/>
        <w:rPr>
          <w:rFonts w:ascii="方正黑体简体" w:eastAsia="方正黑体简体"/>
          <w:b/>
          <w:color w:val="000000"/>
          <w:sz w:val="32"/>
          <w:szCs w:val="32"/>
        </w:rPr>
      </w:pPr>
      <w:r>
        <w:rPr>
          <w:rFonts w:hint="eastAsia" w:ascii="方正黑体简体" w:eastAsia="方正黑体简体"/>
          <w:b/>
          <w:color w:val="000000"/>
          <w:sz w:val="32"/>
          <w:szCs w:val="32"/>
        </w:rPr>
        <w:t>一、总体情况</w:t>
      </w:r>
    </w:p>
    <w:p>
      <w:pPr>
        <w:spacing w:line="590" w:lineRule="exact"/>
        <w:ind w:right="-100" w:rightChars="-50" w:firstLine="643" w:firstLineChars="200"/>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sz w:val="32"/>
          <w:szCs w:val="32"/>
          <w:lang w:val="en-US" w:eastAsia="zh-CN"/>
        </w:rPr>
        <w:t>2022</w:t>
      </w:r>
      <w:r>
        <w:rPr>
          <w:rFonts w:hint="eastAsia" w:ascii="方正仿宋简体" w:eastAsia="方正仿宋简体"/>
          <w:b/>
          <w:color w:val="000000"/>
          <w:sz w:val="32"/>
          <w:szCs w:val="32"/>
        </w:rPr>
        <w:t>年，</w:t>
      </w:r>
      <w:r>
        <w:rPr>
          <w:rFonts w:hint="eastAsia" w:ascii="方正仿宋简体" w:eastAsia="方正仿宋简体"/>
          <w:b/>
          <w:color w:val="000000"/>
          <w:sz w:val="32"/>
          <w:szCs w:val="32"/>
          <w:lang w:val="en-US" w:eastAsia="zh-CN"/>
        </w:rPr>
        <w:t>我局</w:t>
      </w:r>
      <w:r>
        <w:rPr>
          <w:rFonts w:hint="eastAsia" w:ascii="方正仿宋简体" w:eastAsia="方正仿宋简体"/>
          <w:b/>
          <w:color w:val="000000"/>
          <w:sz w:val="32"/>
          <w:szCs w:val="32"/>
        </w:rPr>
        <w:t>认真贯彻落实《中华人民共和国政府信息公开条例》及有关文件精神，</w:t>
      </w:r>
      <w:r>
        <w:rPr>
          <w:rFonts w:hint="eastAsia" w:ascii="方正仿宋简体" w:eastAsia="方正仿宋简体"/>
          <w:b/>
          <w:color w:val="000000" w:themeColor="text1"/>
          <w:sz w:val="32"/>
          <w:szCs w:val="32"/>
          <w:lang w:val="en-US" w:eastAsia="zh-CN"/>
          <w14:textFill>
            <w14:solidFill>
              <w14:schemeClr w14:val="tx1"/>
            </w14:solidFill>
          </w14:textFill>
        </w:rPr>
        <w:t>紧紧围绕安全生产和应急管理中心工作以及群众关注关切，以依法公开、真实公开、规范高效、强化监督为原则，加大监督保障力度，全力推进政府信息公开工作。</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（一）主动公开情况</w:t>
      </w:r>
    </w:p>
    <w:p>
      <w:pPr>
        <w:spacing w:line="240" w:lineRule="auto"/>
        <w:ind w:right="-100" w:rightChars="-50" w:firstLine="643" w:firstLineChars="200"/>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pict>
          <v:shape id="_x0000_s1027" o:spid="_x0000_s1027" o:spt="75" type="#_x0000_t75" style="position:absolute;left:0pt;margin-left:-17.7pt;margin-top:126.95pt;height:274.65pt;width:452.2pt;mso-wrap-distance-bottom:0pt;mso-wrap-distance-left:9pt;mso-wrap-distance-right:9pt;mso-wrap-distance-top:0pt;z-index:251659264;mso-width-relative:page;mso-height-relative:page;" o:ole="t" filled="f" o:preferrelative="t" stroked="f" coordsize="21600,21600">
            <v:path/>
            <v:fill on="f" focussize="0,0"/>
            <v:stroke on="f"/>
            <v:imagedata r:id="rId4" o:title=""/>
            <o:lock v:ext="edit" aspectratio="t"/>
            <w10:wrap type="square"/>
          </v:shape>
          <o:OLEObject Type="Link" ProgID="Excel.Sheet.12" ShapeID="_x0000_s1027" UpdateMode="Always" DrawAspect="Content" ObjectID="_1468075725" r:id="rId5">
            <o:LinkType>EnhancedMetaFile</o:LinkType>
            <o:LockedField>false</o:LockedField>
          </o:OLEObject>
        </w:pict>
      </w:r>
      <w:r>
        <w:rPr>
          <w:rFonts w:hint="eastAsia" w:ascii="方正仿宋简体" w:eastAsia="方正仿宋简体"/>
          <w:b/>
          <w:color w:val="000000" w:themeColor="text1"/>
          <w:sz w:val="32"/>
          <w:szCs w:val="32"/>
          <w:lang w:val="en-US" w:eastAsia="zh-CN"/>
          <w14:textFill>
            <w14:solidFill>
              <w14:schemeClr w14:val="tx1"/>
            </w14:solidFill>
          </w14:textFill>
        </w:rPr>
        <w:t>通过管委政务公开网公示信息51条，其中政策文件1条，会议公开6条，行政权力运行公开22条，应急预案1条，法律法规2条，“双随机、</w:t>
      </w:r>
      <w:bookmarkStart w:id="0" w:name="_GoBack"/>
      <w:bookmarkEnd w:id="0"/>
      <w:r>
        <w:rPr>
          <w:rFonts w:hint="eastAsia" w:ascii="方正仿宋简体" w:eastAsia="方正仿宋简体"/>
          <w:b/>
          <w:color w:val="000000" w:themeColor="text1"/>
          <w:sz w:val="32"/>
          <w:szCs w:val="32"/>
          <w:lang w:val="en-US" w:eastAsia="zh-CN"/>
          <w14:textFill>
            <w14:solidFill>
              <w14:schemeClr w14:val="tx1"/>
            </w14:solidFill>
          </w14:textFill>
        </w:rPr>
        <w:t>一公开”监管5条，行政执法公示14条。</w:t>
      </w:r>
    </w:p>
    <w:p>
      <w:pPr>
        <w:numPr>
          <w:ilvl w:val="0"/>
          <w:numId w:val="1"/>
        </w:numPr>
        <w:spacing w:line="590" w:lineRule="exact"/>
        <w:ind w:right="-100" w:rightChars="-50" w:firstLine="643" w:firstLineChars="200"/>
        <w:rPr>
          <w:rFonts w:hint="eastAsia" w:ascii="方正楷体简体" w:eastAsia="方正楷体简体"/>
          <w:b/>
          <w:color w:val="000000"/>
          <w:sz w:val="32"/>
          <w:szCs w:val="32"/>
        </w:rPr>
      </w:pPr>
      <w:r>
        <w:rPr>
          <w:rFonts w:hint="eastAsia" w:ascii="方正楷体简体" w:eastAsia="方正楷体简体"/>
          <w:b/>
          <w:color w:val="000000"/>
          <w:sz w:val="32"/>
          <w:szCs w:val="32"/>
        </w:rPr>
        <w:t>依申请公开情况</w:t>
      </w:r>
    </w:p>
    <w:p>
      <w:pPr>
        <w:numPr>
          <w:ilvl w:val="0"/>
          <w:numId w:val="0"/>
        </w:numPr>
        <w:spacing w:line="590" w:lineRule="exact"/>
        <w:ind w:right="-100" w:rightChars="-50"/>
        <w:rPr>
          <w:rFonts w:hint="default" w:ascii="方正仿宋简体" w:eastAsia="方正仿宋简体"/>
          <w:b/>
          <w:color w:val="000000" w:themeColor="text1"/>
          <w:sz w:val="32"/>
          <w:szCs w:val="32"/>
          <w:lang w:val="en-US" w:eastAsia="zh-CN"/>
          <w14:textFill>
            <w14:solidFill>
              <w14:schemeClr w14:val="tx1"/>
            </w14:solidFill>
          </w14:textFill>
        </w:rPr>
      </w:pPr>
      <w:r>
        <w:rPr>
          <w:rFonts w:hint="eastAsia" w:ascii="方正楷体简体" w:eastAsia="方正楷体简体"/>
          <w:b/>
          <w:color w:val="000000"/>
          <w:sz w:val="32"/>
          <w:szCs w:val="32"/>
          <w:lang w:val="en-US" w:eastAsia="zh-CN"/>
        </w:rPr>
        <w:t xml:space="preserve">    </w:t>
      </w:r>
      <w:r>
        <w:rPr>
          <w:rFonts w:hint="eastAsia" w:ascii="方正仿宋简体" w:eastAsia="方正仿宋简体"/>
          <w:b/>
          <w:color w:val="000000" w:themeColor="text1"/>
          <w:sz w:val="32"/>
          <w:szCs w:val="32"/>
          <w:lang w:val="en-US" w:eastAsia="zh-CN"/>
          <w14:textFill>
            <w14:solidFill>
              <w14:schemeClr w14:val="tx1"/>
            </w14:solidFill>
          </w14:textFill>
        </w:rPr>
        <w:t>本年未新收政府信息公开申请。</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（三）政府信息管理情况</w:t>
      </w:r>
    </w:p>
    <w:p>
      <w:pPr>
        <w:spacing w:line="590" w:lineRule="exact"/>
        <w:ind w:right="-100" w:rightChars="-50" w:firstLine="643" w:firstLineChars="200"/>
        <w:rPr>
          <w:rFonts w:ascii="方正仿宋简体" w:eastAsia="方正仿宋简体"/>
          <w:b/>
          <w:color w:val="000000"/>
          <w:sz w:val="32"/>
          <w:szCs w:val="32"/>
        </w:rPr>
      </w:pPr>
      <w:r>
        <w:rPr>
          <w:rFonts w:hint="eastAsia" w:ascii="方正仿宋简体" w:eastAsia="方正仿宋简体"/>
          <w:b/>
          <w:color w:val="000000" w:themeColor="text1"/>
          <w:sz w:val="32"/>
          <w:szCs w:val="32"/>
          <w14:textFill>
            <w14:solidFill>
              <w14:schemeClr w14:val="tx1"/>
            </w14:solidFill>
          </w14:textFill>
        </w:rPr>
        <w:t>建立健全政府信息公开协调机制，</w:t>
      </w:r>
      <w:r>
        <w:rPr>
          <w:rFonts w:hint="eastAsia" w:ascii="方正仿宋简体" w:eastAsia="方正仿宋简体"/>
          <w:b/>
          <w:color w:val="000000" w:themeColor="text1"/>
          <w:sz w:val="32"/>
          <w:szCs w:val="32"/>
          <w:lang w:val="en-US" w:eastAsia="zh-CN"/>
          <w14:textFill>
            <w14:solidFill>
              <w14:schemeClr w14:val="tx1"/>
            </w14:solidFill>
          </w14:textFill>
        </w:rPr>
        <w:t>及时</w:t>
      </w:r>
      <w:r>
        <w:rPr>
          <w:rFonts w:hint="eastAsia" w:ascii="方正仿宋简体" w:eastAsia="方正仿宋简体"/>
          <w:b/>
          <w:color w:val="000000"/>
          <w:sz w:val="32"/>
          <w:szCs w:val="32"/>
        </w:rPr>
        <w:t>更新维护政府信息公开栏目，力争做到</w:t>
      </w:r>
      <w:r>
        <w:rPr>
          <w:rFonts w:hint="eastAsia" w:ascii="方正仿宋简体" w:eastAsia="方正仿宋简体"/>
          <w:b/>
          <w:color w:val="000000"/>
          <w:sz w:val="32"/>
          <w:szCs w:val="32"/>
          <w:lang w:val="en-US" w:eastAsia="zh-CN"/>
        </w:rPr>
        <w:t>政府信息</w:t>
      </w:r>
      <w:r>
        <w:rPr>
          <w:rFonts w:hint="eastAsia" w:ascii="方正仿宋简体" w:eastAsia="方正仿宋简体"/>
          <w:b/>
          <w:color w:val="000000"/>
          <w:sz w:val="32"/>
          <w:szCs w:val="32"/>
        </w:rPr>
        <w:t>应公开尽公开。同时强化发布内容审核，严格落实网络意识形态责任制，加强对政府信息发布的涉密审核，把好政治关、政策关、文字关，严肃政府信息公开工作纪律</w:t>
      </w:r>
      <w:r>
        <w:rPr>
          <w:rFonts w:hint="eastAsia" w:ascii="方正仿宋简体" w:eastAsia="方正仿宋简体"/>
          <w:b/>
          <w:color w:val="000000"/>
          <w:spacing w:val="-8"/>
          <w:sz w:val="32"/>
          <w:szCs w:val="32"/>
        </w:rPr>
        <w:t>。</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（四）政府信息公开平台建设情况</w:t>
      </w:r>
    </w:p>
    <w:p>
      <w:pPr>
        <w:spacing w:line="590" w:lineRule="exact"/>
        <w:ind w:right="-100" w:rightChars="-50" w:firstLine="643" w:firstLineChars="200"/>
        <w:rPr>
          <w:rFonts w:hint="eastAsia"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sz w:val="32"/>
          <w:szCs w:val="32"/>
        </w:rPr>
        <w:t>不断拓宽主动公开形式，综合运用微信公众号等新媒体渠道，同步公开政府信息，2022年</w:t>
      </w:r>
      <w:r>
        <w:rPr>
          <w:rFonts w:hint="eastAsia" w:ascii="方正仿宋简体" w:eastAsia="方正仿宋简体"/>
          <w:b/>
          <w:color w:val="000000" w:themeColor="text1"/>
          <w:sz w:val="32"/>
          <w:szCs w:val="32"/>
          <w14:textFill>
            <w14:solidFill>
              <w14:schemeClr w14:val="tx1"/>
            </w14:solidFill>
          </w14:textFill>
        </w:rPr>
        <w:t>通过“</w:t>
      </w:r>
      <w:r>
        <w:rPr>
          <w:rFonts w:hint="eastAsia" w:ascii="方正仿宋简体" w:eastAsia="方正仿宋简体"/>
          <w:b/>
          <w:color w:val="000000" w:themeColor="text1"/>
          <w:sz w:val="32"/>
          <w:szCs w:val="32"/>
          <w:lang w:val="en-US" w:eastAsia="zh-CN"/>
          <w14:textFill>
            <w14:solidFill>
              <w14:schemeClr w14:val="tx1"/>
            </w14:solidFill>
          </w14:textFill>
        </w:rPr>
        <w:t>济宁高新</w:t>
      </w:r>
      <w:r>
        <w:rPr>
          <w:rFonts w:hint="eastAsia" w:ascii="方正仿宋简体" w:eastAsia="方正仿宋简体"/>
          <w:b/>
          <w:color w:val="000000" w:themeColor="text1"/>
          <w:sz w:val="32"/>
          <w:szCs w:val="32"/>
          <w14:textFill>
            <w14:solidFill>
              <w14:schemeClr w14:val="tx1"/>
            </w14:solidFill>
          </w14:textFill>
        </w:rPr>
        <w:t>应急管理”</w:t>
      </w:r>
    </w:p>
    <w:p>
      <w:pPr>
        <w:spacing w:line="590" w:lineRule="exact"/>
        <w:ind w:right="-100" w:rightChars="-50"/>
        <w:rPr>
          <w:rFonts w:ascii="方正仿宋简体" w:eastAsia="方正仿宋简体"/>
          <w:b/>
          <w:color w:val="000000"/>
          <w:sz w:val="32"/>
          <w:szCs w:val="32"/>
        </w:rPr>
      </w:pPr>
      <w:r>
        <w:rPr>
          <w:rFonts w:hint="eastAsia" w:ascii="方正仿宋简体" w:eastAsia="方正仿宋简体"/>
          <w:b/>
          <w:color w:val="000000" w:themeColor="text1"/>
          <w:sz w:val="32"/>
          <w:szCs w:val="32"/>
          <w14:textFill>
            <w14:solidFill>
              <w14:schemeClr w14:val="tx1"/>
            </w14:solidFill>
          </w14:textFill>
        </w:rPr>
        <w:t>微信公众号</w:t>
      </w:r>
      <w:r>
        <w:rPr>
          <w:rFonts w:hint="eastAsia" w:ascii="方正仿宋简体" w:eastAsia="方正仿宋简体"/>
          <w:b/>
          <w:color w:val="000000"/>
          <w:sz w:val="32"/>
          <w:szCs w:val="32"/>
        </w:rPr>
        <w:t>发布信息375条。</w:t>
      </w:r>
      <w:r>
        <w:rPr>
          <w:rFonts w:hint="eastAsia" w:ascii="方正仿宋简体" w:eastAsia="方正仿宋简体"/>
          <w:b/>
          <w:color w:val="000000" w:themeColor="text1"/>
          <w:sz w:val="32"/>
          <w:szCs w:val="32"/>
          <w14:textFill>
            <w14:solidFill>
              <w14:schemeClr w14:val="tx1"/>
            </w14:solidFill>
          </w14:textFill>
        </w:rPr>
        <w:t>及时发布</w:t>
      </w:r>
      <w:r>
        <w:rPr>
          <w:rFonts w:hint="eastAsia" w:ascii="方正仿宋简体" w:eastAsia="方正仿宋简体"/>
          <w:b/>
          <w:color w:val="000000" w:themeColor="text1"/>
          <w:sz w:val="32"/>
          <w:szCs w:val="32"/>
          <w:lang w:val="en-US" w:eastAsia="zh-CN"/>
          <w14:textFill>
            <w14:solidFill>
              <w14:schemeClr w14:val="tx1"/>
            </w14:solidFill>
          </w14:textFill>
        </w:rPr>
        <w:t>防灾减灾、</w:t>
      </w:r>
      <w:r>
        <w:rPr>
          <w:rFonts w:hint="eastAsia" w:ascii="方正仿宋简体" w:eastAsia="方正仿宋简体"/>
          <w:b/>
          <w:color w:val="000000" w:themeColor="text1"/>
          <w:sz w:val="32"/>
          <w:szCs w:val="32"/>
          <w14:textFill>
            <w14:solidFill>
              <w14:schemeClr w14:val="tx1"/>
            </w14:solidFill>
          </w14:textFill>
        </w:rPr>
        <w:t>安全生产形势等有关群众切身利益和社会关注度高的政策和信息</w:t>
      </w:r>
      <w:r>
        <w:rPr>
          <w:rFonts w:hint="eastAsia" w:ascii="方正仿宋简体" w:eastAsia="方正仿宋简体"/>
          <w:b/>
          <w:color w:val="000000" w:themeColor="text1"/>
          <w:sz w:val="32"/>
          <w:szCs w:val="32"/>
          <w:lang w:eastAsia="zh-CN"/>
          <w14:textFill>
            <w14:solidFill>
              <w14:schemeClr w14:val="tx1"/>
            </w14:solidFill>
          </w14:textFill>
        </w:rPr>
        <w:t>。</w:t>
      </w:r>
      <w:r>
        <w:rPr>
          <w:rFonts w:hint="eastAsia" w:ascii="方正仿宋简体" w:eastAsia="方正仿宋简体"/>
          <w:b/>
          <w:color w:val="000000"/>
          <w:sz w:val="32"/>
          <w:szCs w:val="32"/>
        </w:rPr>
        <w:t>同时充分用</w:t>
      </w:r>
      <w:r>
        <w:rPr>
          <w:rFonts w:hint="eastAsia" w:ascii="方正仿宋简体" w:eastAsia="方正仿宋简体"/>
          <w:b/>
          <w:color w:val="000000"/>
          <w:sz w:val="32"/>
          <w:szCs w:val="32"/>
          <w:lang w:eastAsia="zh-CN"/>
        </w:rPr>
        <w:t>好新</w:t>
      </w:r>
      <w:r>
        <w:rPr>
          <w:rFonts w:hint="eastAsia" w:ascii="方正仿宋简体" w:eastAsia="方正仿宋简体"/>
          <w:b/>
          <w:color w:val="000000"/>
          <w:sz w:val="32"/>
          <w:szCs w:val="32"/>
        </w:rPr>
        <w:t>媒体渠道的咨询留言、提问交流等功能，积极开展互动，及时回复公众诉求，并在菜单栏设置</w:t>
      </w:r>
      <w:r>
        <w:rPr>
          <w:rFonts w:hint="eastAsia" w:ascii="方正仿宋简体" w:eastAsia="方正仿宋简体"/>
          <w:b/>
          <w:color w:val="000000"/>
          <w:sz w:val="32"/>
          <w:szCs w:val="32"/>
          <w:lang w:eastAsia="zh-CN"/>
        </w:rPr>
        <w:t>要闻</w:t>
      </w:r>
      <w:r>
        <w:rPr>
          <w:rFonts w:hint="eastAsia" w:ascii="方正仿宋简体" w:eastAsia="方正仿宋简体"/>
          <w:b/>
          <w:color w:val="000000"/>
          <w:sz w:val="32"/>
          <w:szCs w:val="32"/>
        </w:rPr>
        <w:t>、</w:t>
      </w:r>
      <w:r>
        <w:rPr>
          <w:rFonts w:hint="eastAsia" w:ascii="方正仿宋简体" w:eastAsia="方正仿宋简体"/>
          <w:b/>
          <w:color w:val="000000"/>
          <w:sz w:val="32"/>
          <w:szCs w:val="32"/>
          <w:lang w:eastAsia="zh-CN"/>
        </w:rPr>
        <w:t>知识科普</w:t>
      </w:r>
      <w:r>
        <w:rPr>
          <w:rFonts w:hint="eastAsia" w:ascii="方正仿宋简体" w:eastAsia="方正仿宋简体"/>
          <w:b/>
          <w:color w:val="000000"/>
          <w:sz w:val="32"/>
          <w:szCs w:val="32"/>
        </w:rPr>
        <w:t>、</w:t>
      </w:r>
      <w:r>
        <w:rPr>
          <w:rFonts w:hint="eastAsia" w:ascii="方正仿宋简体" w:eastAsia="方正仿宋简体"/>
          <w:b/>
          <w:color w:val="000000"/>
          <w:sz w:val="32"/>
          <w:szCs w:val="32"/>
          <w:lang w:eastAsia="zh-CN"/>
        </w:rPr>
        <w:t>警示教育</w:t>
      </w:r>
      <w:r>
        <w:rPr>
          <w:rFonts w:hint="eastAsia" w:ascii="方正仿宋简体" w:eastAsia="方正仿宋简体"/>
          <w:b/>
          <w:color w:val="000000"/>
          <w:sz w:val="32"/>
          <w:szCs w:val="32"/>
        </w:rPr>
        <w:t>等流程指引，方便群众和企业了解相关信息。</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（五）监督保障情况</w:t>
      </w:r>
    </w:p>
    <w:p>
      <w:pPr>
        <w:spacing w:line="590" w:lineRule="exact"/>
        <w:ind w:right="-100" w:rightChars="-50" w:firstLine="643" w:firstLineChars="200"/>
        <w:rPr>
          <w:rFonts w:ascii="方正仿宋简体" w:eastAsia="方正仿宋简体"/>
          <w:b/>
          <w:color w:val="000000"/>
          <w:sz w:val="32"/>
          <w:szCs w:val="32"/>
        </w:rPr>
      </w:pPr>
      <w:r>
        <w:rPr>
          <w:rFonts w:hint="eastAsia" w:ascii="方正仿宋简体" w:eastAsia="方正仿宋简体"/>
          <w:b/>
          <w:color w:val="000000" w:themeColor="text1"/>
          <w:sz w:val="32"/>
          <w:szCs w:val="32"/>
          <w14:textFill>
            <w14:solidFill>
              <w14:schemeClr w14:val="tx1"/>
            </w14:solidFill>
          </w14:textFill>
        </w:rPr>
        <w:t>认真贯彻落实《中华人民共和国政府信息公开条例》，健全与政务公开工作主管部门、宣传、技术部门的沟通协调机制，加强对政务公开工作人员的业务培训和案例指导，完善政务信息公开责任追究制度，明确各环节工作职责，落实专人不定期对政务公开情况进行督</w:t>
      </w:r>
      <w:r>
        <w:rPr>
          <w:rFonts w:hint="eastAsia" w:ascii="方正仿宋简体" w:eastAsia="方正仿宋简体"/>
          <w:b/>
          <w:color w:val="000000" w:themeColor="text1"/>
          <w:sz w:val="32"/>
          <w:szCs w:val="32"/>
          <w:lang w:eastAsia="zh-CN"/>
          <w14:textFill>
            <w14:solidFill>
              <w14:schemeClr w14:val="tx1"/>
            </w14:solidFill>
          </w14:textFill>
        </w:rPr>
        <w:t>查</w:t>
      </w:r>
      <w:r>
        <w:rPr>
          <w:rFonts w:hint="eastAsia" w:ascii="方正仿宋简体" w:eastAsia="方正仿宋简体"/>
          <w:b/>
          <w:color w:val="000000" w:themeColor="text1"/>
          <w:sz w:val="32"/>
          <w:szCs w:val="32"/>
          <w14:textFill>
            <w14:solidFill>
              <w14:schemeClr w14:val="tx1"/>
            </w14:solidFill>
          </w14:textFill>
        </w:rPr>
        <w:t>。</w:t>
      </w:r>
    </w:p>
    <w:p>
      <w:pPr>
        <w:spacing w:line="590" w:lineRule="exact"/>
        <w:ind w:right="-100" w:rightChars="-50" w:firstLine="640" w:firstLineChars="200"/>
        <w:rPr>
          <w:rFonts w:ascii="方正黑体简体" w:eastAsia="方正黑体简体"/>
          <w:b/>
          <w:color w:val="000000"/>
          <w:sz w:val="32"/>
          <w:szCs w:val="32"/>
        </w:rPr>
      </w:pPr>
      <w:r>
        <w:rPr>
          <w:rFonts w:hint="eastAsia" w:ascii="方正黑体简体" w:eastAsia="方正黑体简体"/>
          <w:b/>
          <w:color w:val="000000"/>
          <w:sz w:val="32"/>
          <w:szCs w:val="32"/>
        </w:rPr>
        <w:t>二、主动公开政府信息情况</w:t>
      </w:r>
    </w:p>
    <w:tbl>
      <w:tblPr>
        <w:tblStyle w:val="3"/>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pPr>
              <w:widowControl/>
              <w:spacing w:line="340" w:lineRule="exact"/>
              <w:jc w:val="center"/>
              <w:rPr>
                <w:rFonts w:ascii="方正黑体简体" w:eastAsia="方正黑体简体"/>
                <w:b/>
                <w:sz w:val="24"/>
              </w:rPr>
            </w:pPr>
            <w:r>
              <w:rPr>
                <w:rFonts w:hint="eastAsia" w:ascii="方正黑体简体" w:hAnsi="宋体" w:eastAsia="方正黑体简体" w:cs="宋体"/>
                <w:b/>
                <w:sz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2133"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本年制发件数</w:t>
            </w:r>
          </w:p>
        </w:tc>
        <w:tc>
          <w:tcPr>
            <w:tcW w:w="2216"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本年废止件数</w:t>
            </w:r>
          </w:p>
        </w:tc>
        <w:tc>
          <w:tcPr>
            <w:tcW w:w="1989"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规章</w:t>
            </w:r>
          </w:p>
        </w:tc>
        <w:tc>
          <w:tcPr>
            <w:tcW w:w="2133" w:type="dxa"/>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宋体" w:eastAsia="方正仿宋简体" w:cs="宋体"/>
                <w:b/>
                <w:sz w:val="24"/>
                <w:lang w:val="en-US" w:eastAsia="zh-CN" w:bidi="ar"/>
              </w:rPr>
              <w:t>0</w:t>
            </w:r>
          </w:p>
        </w:tc>
        <w:tc>
          <w:tcPr>
            <w:tcW w:w="2216" w:type="dxa"/>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eastAsia="zh-CN"/>
              </w:rPr>
            </w:pPr>
            <w:r>
              <w:rPr>
                <w:rFonts w:hint="eastAsia" w:ascii="方正仿宋简体" w:hAnsi="宋体" w:eastAsia="方正仿宋简体" w:cs="宋体"/>
                <w:b/>
                <w:sz w:val="24"/>
                <w:lang w:val="en-US" w:eastAsia="zh-CN" w:bidi="ar"/>
              </w:rPr>
              <w:t>0</w:t>
            </w:r>
          </w:p>
        </w:tc>
        <w:tc>
          <w:tcPr>
            <w:tcW w:w="1989" w:type="dxa"/>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eastAsia="zh-CN"/>
              </w:rPr>
            </w:pPr>
            <w:r>
              <w:rPr>
                <w:rFonts w:hint="eastAsia" w:ascii="方正仿宋简体" w:hAnsi="Calibri" w:eastAsia="方正仿宋简体" w:cs="Calibri"/>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行政规范性文件</w:t>
            </w:r>
          </w:p>
        </w:tc>
        <w:tc>
          <w:tcPr>
            <w:tcW w:w="2133" w:type="dxa"/>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eastAsia="zh-CN"/>
              </w:rPr>
            </w:pPr>
            <w:r>
              <w:rPr>
                <w:rFonts w:hint="eastAsia" w:ascii="方正仿宋简体" w:hAnsi="宋体" w:eastAsia="方正仿宋简体" w:cs="宋体"/>
                <w:b/>
                <w:sz w:val="24"/>
                <w:lang w:val="en-US" w:eastAsia="zh-CN" w:bidi="ar"/>
              </w:rPr>
              <w:t>0</w:t>
            </w:r>
          </w:p>
        </w:tc>
        <w:tc>
          <w:tcPr>
            <w:tcW w:w="2216" w:type="dxa"/>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eastAsia="zh-CN"/>
              </w:rPr>
            </w:pPr>
            <w:r>
              <w:rPr>
                <w:rFonts w:hint="eastAsia" w:ascii="方正仿宋简体" w:hAnsi="宋体" w:eastAsia="方正仿宋简体" w:cs="宋体"/>
                <w:b/>
                <w:sz w:val="24"/>
                <w:lang w:val="en-US" w:eastAsia="zh-CN" w:bidi="ar"/>
              </w:rPr>
              <w:t>0</w:t>
            </w:r>
          </w:p>
        </w:tc>
        <w:tc>
          <w:tcPr>
            <w:tcW w:w="1989" w:type="dxa"/>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eastAsia="zh-CN"/>
              </w:rPr>
            </w:pPr>
            <w:r>
              <w:rPr>
                <w:rFonts w:hint="eastAsia" w:ascii="方正仿宋简体" w:hAnsi="Calibri" w:eastAsia="方正仿宋简体" w:cs="Calibri"/>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338" w:type="dxa"/>
            <w:gridSpan w:val="3"/>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行政许可</w:t>
            </w:r>
          </w:p>
        </w:tc>
        <w:tc>
          <w:tcPr>
            <w:tcW w:w="6338" w:type="dxa"/>
            <w:gridSpan w:val="3"/>
            <w:shd w:val="clear" w:color="auto" w:fill="auto"/>
            <w:noWrap w:val="0"/>
            <w:tcMar>
              <w:left w:w="57" w:type="dxa"/>
              <w:right w:w="57" w:type="dxa"/>
            </w:tcMar>
            <w:vAlign w:val="center"/>
          </w:tcPr>
          <w:p>
            <w:pPr>
              <w:widowControl/>
              <w:spacing w:line="340" w:lineRule="exact"/>
              <w:jc w:val="center"/>
              <w:rPr>
                <w:rFonts w:hint="default" w:ascii="方正仿宋简体" w:eastAsia="方正仿宋简体"/>
                <w:b/>
                <w:sz w:val="24"/>
                <w:lang w:val="en-US" w:eastAsia="zh-CN"/>
              </w:rPr>
            </w:pPr>
            <w:r>
              <w:rPr>
                <w:rFonts w:hint="eastAsia" w:ascii="方正仿宋简体" w:eastAsia="方正仿宋简体"/>
                <w:b/>
                <w:sz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338" w:type="dxa"/>
            <w:gridSpan w:val="3"/>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行政处罚</w:t>
            </w:r>
          </w:p>
        </w:tc>
        <w:tc>
          <w:tcPr>
            <w:tcW w:w="6338" w:type="dxa"/>
            <w:gridSpan w:val="3"/>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行政强制</w:t>
            </w:r>
          </w:p>
        </w:tc>
        <w:tc>
          <w:tcPr>
            <w:tcW w:w="6338" w:type="dxa"/>
            <w:gridSpan w:val="3"/>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宋体" w:eastAsia="方正仿宋简体" w:cs="宋体"/>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338" w:type="dxa"/>
            <w:gridSpan w:val="3"/>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行政事业性收费</w:t>
            </w:r>
          </w:p>
        </w:tc>
        <w:tc>
          <w:tcPr>
            <w:tcW w:w="6338" w:type="dxa"/>
            <w:gridSpan w:val="3"/>
            <w:shd w:val="clear" w:color="auto" w:fill="auto"/>
            <w:noWrap w:val="0"/>
            <w:tcMar>
              <w:left w:w="57" w:type="dxa"/>
              <w:right w:w="57" w:type="dxa"/>
            </w:tcMar>
            <w:vAlign w:val="center"/>
          </w:tcPr>
          <w:p>
            <w:pPr>
              <w:spacing w:line="340" w:lineRule="exact"/>
              <w:jc w:val="center"/>
              <w:rPr>
                <w:rFonts w:hint="eastAsia" w:ascii="方正仿宋简体" w:eastAsia="方正仿宋简体"/>
                <w:b/>
                <w:sz w:val="24"/>
                <w:lang w:val="en-US" w:eastAsia="zh-CN"/>
              </w:rPr>
            </w:pPr>
            <w:r>
              <w:rPr>
                <w:rFonts w:hint="eastAsia" w:ascii="方正仿宋简体" w:eastAsia="方正仿宋简体"/>
                <w:b/>
                <w:sz w:val="24"/>
                <w:lang w:val="en-US" w:eastAsia="zh-CN"/>
              </w:rPr>
              <w:t>0</w:t>
            </w:r>
          </w:p>
        </w:tc>
      </w:tr>
    </w:tbl>
    <w:p>
      <w:pPr>
        <w:numPr>
          <w:ilvl w:val="0"/>
          <w:numId w:val="2"/>
        </w:numPr>
        <w:spacing w:before="62" w:beforeLines="10" w:after="62" w:afterLines="10" w:line="600" w:lineRule="exact"/>
        <w:ind w:firstLine="640" w:firstLineChars="200"/>
        <w:rPr>
          <w:rFonts w:hint="eastAsia" w:ascii="方正黑体简体" w:eastAsia="方正黑体简体"/>
          <w:b/>
          <w:sz w:val="32"/>
          <w:szCs w:val="32"/>
        </w:rPr>
      </w:pPr>
      <w:r>
        <w:rPr>
          <w:rFonts w:hint="eastAsia" w:ascii="方正黑体简体" w:eastAsia="方正黑体简体"/>
          <w:b/>
          <w:sz w:val="32"/>
          <w:szCs w:val="32"/>
        </w:rPr>
        <w:t>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ascii="方正黑体简体" w:eastAsia="方正黑体简体"/>
                <w:b/>
                <w:sz w:val="21"/>
                <w:szCs w:val="21"/>
              </w:rPr>
            </w:pPr>
          </w:p>
        </w:tc>
        <w:tc>
          <w:tcPr>
            <w:tcW w:w="791" w:type="dxa"/>
            <w:vMerge w:val="restart"/>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rPr>
                <w:rFonts w:ascii="方正仿宋简体" w:eastAsia="方正仿宋简体"/>
                <w:b/>
                <w:sz w:val="21"/>
                <w:szCs w:val="21"/>
              </w:rPr>
            </w:pPr>
          </w:p>
        </w:tc>
        <w:tc>
          <w:tcPr>
            <w:tcW w:w="791"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599" w:type="dxa"/>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noWrap w:val="0"/>
            <w:tcMar>
              <w:left w:w="108" w:type="dxa"/>
              <w:right w:w="108" w:type="dxa"/>
            </w:tcMar>
            <w:vAlign w:val="center"/>
          </w:tcPr>
          <w:p>
            <w:pPr>
              <w:spacing w:line="300" w:lineRule="exact"/>
              <w:rPr>
                <w:rFonts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bl>
    <w:p>
      <w:pPr>
        <w:spacing w:line="590" w:lineRule="exact"/>
        <w:ind w:right="-100" w:rightChars="-50" w:firstLine="640" w:firstLineChars="200"/>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tbl>
      <w:tblPr>
        <w:tblStyle w:val="3"/>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88" w:type="dxa"/>
            <w:gridSpan w:val="5"/>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行政复议</w:t>
            </w:r>
          </w:p>
        </w:tc>
        <w:tc>
          <w:tcPr>
            <w:tcW w:w="5922" w:type="dxa"/>
            <w:gridSpan w:val="10"/>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restart"/>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结果维持</w:t>
            </w:r>
          </w:p>
        </w:tc>
        <w:tc>
          <w:tcPr>
            <w:tcW w:w="621" w:type="dxa"/>
            <w:vMerge w:val="restart"/>
            <w:noWrap w:val="0"/>
            <w:tcMar>
              <w:left w:w="108" w:type="dxa"/>
              <w:right w:w="108" w:type="dxa"/>
            </w:tcMar>
            <w:vAlign w:val="center"/>
          </w:tcPr>
          <w:p>
            <w:pPr>
              <w:widowControl/>
              <w:spacing w:line="340" w:lineRule="exact"/>
              <w:ind w:left="-40" w:leftChars="-20" w:right="-40" w:rightChars="-20"/>
              <w:jc w:val="center"/>
              <w:rPr>
                <w:rFonts w:ascii="方正黑体简体" w:hAnsi="宋体" w:eastAsia="方正黑体简体" w:cs="宋体"/>
                <w:sz w:val="21"/>
                <w:szCs w:val="21"/>
                <w:lang w:bidi="ar"/>
              </w:rPr>
            </w:pPr>
            <w:r>
              <w:rPr>
                <w:rFonts w:hint="eastAsia" w:ascii="方正黑体简体" w:hAnsi="宋体" w:eastAsia="方正黑体简体" w:cs="宋体"/>
                <w:sz w:val="21"/>
                <w:szCs w:val="21"/>
                <w:lang w:bidi="ar"/>
              </w:rPr>
              <w:t>结果</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纠正</w:t>
            </w:r>
          </w:p>
        </w:tc>
        <w:tc>
          <w:tcPr>
            <w:tcW w:w="600" w:type="dxa"/>
            <w:vMerge w:val="restart"/>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其他</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p>
        </w:tc>
        <w:tc>
          <w:tcPr>
            <w:tcW w:w="591" w:type="dxa"/>
            <w:vMerge w:val="restart"/>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尚未</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审结</w:t>
            </w:r>
          </w:p>
        </w:tc>
        <w:tc>
          <w:tcPr>
            <w:tcW w:w="461" w:type="dxa"/>
            <w:vMerge w:val="restart"/>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总计</w:t>
            </w:r>
          </w:p>
        </w:tc>
        <w:tc>
          <w:tcPr>
            <w:tcW w:w="3010" w:type="dxa"/>
            <w:gridSpan w:val="5"/>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未经复议直接起诉</w:t>
            </w:r>
          </w:p>
        </w:tc>
        <w:tc>
          <w:tcPr>
            <w:tcW w:w="2912" w:type="dxa"/>
            <w:gridSpan w:val="5"/>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continue"/>
            <w:noWrap w:val="0"/>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621" w:type="dxa"/>
            <w:vMerge w:val="continue"/>
            <w:noWrap w:val="0"/>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600" w:type="dxa"/>
            <w:vMerge w:val="continue"/>
            <w:noWrap w:val="0"/>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591" w:type="dxa"/>
            <w:vMerge w:val="continue"/>
            <w:noWrap w:val="0"/>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461" w:type="dxa"/>
            <w:vMerge w:val="continue"/>
            <w:noWrap w:val="0"/>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649" w:type="dxa"/>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结果</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维持</w:t>
            </w:r>
          </w:p>
        </w:tc>
        <w:tc>
          <w:tcPr>
            <w:tcW w:w="649" w:type="dxa"/>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结果</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纠正</w:t>
            </w:r>
          </w:p>
        </w:tc>
        <w:tc>
          <w:tcPr>
            <w:tcW w:w="650" w:type="dxa"/>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其他</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p>
        </w:tc>
        <w:tc>
          <w:tcPr>
            <w:tcW w:w="636" w:type="dxa"/>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尚未</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审结</w:t>
            </w:r>
          </w:p>
        </w:tc>
        <w:tc>
          <w:tcPr>
            <w:tcW w:w="426"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总计</w:t>
            </w:r>
          </w:p>
        </w:tc>
        <w:tc>
          <w:tcPr>
            <w:tcW w:w="650" w:type="dxa"/>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结果</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维持</w:t>
            </w:r>
          </w:p>
        </w:tc>
        <w:tc>
          <w:tcPr>
            <w:tcW w:w="650" w:type="dxa"/>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结果</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纠正</w:t>
            </w:r>
          </w:p>
        </w:tc>
        <w:tc>
          <w:tcPr>
            <w:tcW w:w="650" w:type="dxa"/>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其他</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p>
        </w:tc>
        <w:tc>
          <w:tcPr>
            <w:tcW w:w="555" w:type="dxa"/>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尚未</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审结</w:t>
            </w:r>
          </w:p>
        </w:tc>
        <w:tc>
          <w:tcPr>
            <w:tcW w:w="407"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15"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仿宋简体" w:hAnsi="Calibri" w:eastAsia="方正仿宋简体" w:cs="Calibri"/>
                <w:b/>
                <w:sz w:val="21"/>
                <w:szCs w:val="21"/>
                <w:lang w:eastAsia="zh-CN" w:bidi="ar"/>
              </w:rPr>
              <w:t>0</w:t>
            </w:r>
          </w:p>
        </w:tc>
        <w:tc>
          <w:tcPr>
            <w:tcW w:w="621"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仿宋简体" w:hAnsi="Calibri" w:eastAsia="方正仿宋简体" w:cs="Calibri"/>
                <w:b/>
                <w:sz w:val="21"/>
                <w:szCs w:val="21"/>
                <w:lang w:eastAsia="zh-CN" w:bidi="ar"/>
              </w:rPr>
              <w:t>0</w:t>
            </w:r>
          </w:p>
        </w:tc>
        <w:tc>
          <w:tcPr>
            <w:tcW w:w="600"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仿宋简体" w:hAnsi="Calibri" w:eastAsia="方正仿宋简体" w:cs="Calibri"/>
                <w:b/>
                <w:sz w:val="21"/>
                <w:szCs w:val="21"/>
                <w:lang w:eastAsia="zh-CN" w:bidi="ar"/>
              </w:rPr>
              <w:t>0</w:t>
            </w:r>
          </w:p>
        </w:tc>
        <w:tc>
          <w:tcPr>
            <w:tcW w:w="591"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仿宋简体" w:hAnsi="Calibri" w:eastAsia="方正仿宋简体" w:cs="Calibri"/>
                <w:b/>
                <w:sz w:val="21"/>
                <w:szCs w:val="21"/>
                <w:lang w:eastAsia="zh-CN" w:bidi="ar"/>
              </w:rPr>
              <w:t>0</w:t>
            </w:r>
          </w:p>
        </w:tc>
        <w:tc>
          <w:tcPr>
            <w:tcW w:w="461"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仿宋简体" w:hAnsi="Calibri" w:eastAsia="方正仿宋简体" w:cs="Calibri"/>
                <w:b/>
                <w:sz w:val="21"/>
                <w:szCs w:val="21"/>
                <w:lang w:eastAsia="zh-CN" w:bidi="ar"/>
              </w:rPr>
              <w:t>0</w:t>
            </w:r>
          </w:p>
        </w:tc>
        <w:tc>
          <w:tcPr>
            <w:tcW w:w="649"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仿宋简体" w:hAnsi="Calibri" w:eastAsia="方正仿宋简体" w:cs="Calibri"/>
                <w:b/>
                <w:sz w:val="21"/>
                <w:szCs w:val="21"/>
                <w:lang w:eastAsia="zh-CN" w:bidi="ar"/>
              </w:rPr>
              <w:t>0</w:t>
            </w:r>
          </w:p>
        </w:tc>
        <w:tc>
          <w:tcPr>
            <w:tcW w:w="649"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仿宋简体" w:hAnsi="Calibri" w:eastAsia="方正仿宋简体" w:cs="Calibri"/>
                <w:b/>
                <w:sz w:val="21"/>
                <w:szCs w:val="21"/>
                <w:lang w:eastAsia="zh-CN" w:bidi="ar"/>
              </w:rPr>
              <w:t>0</w:t>
            </w:r>
          </w:p>
        </w:tc>
        <w:tc>
          <w:tcPr>
            <w:tcW w:w="650"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仿宋简体" w:hAnsi="Calibri" w:eastAsia="方正仿宋简体" w:cs="Calibri"/>
                <w:b/>
                <w:sz w:val="21"/>
                <w:szCs w:val="21"/>
                <w:lang w:eastAsia="zh-CN" w:bidi="ar"/>
              </w:rPr>
              <w:t>0</w:t>
            </w:r>
          </w:p>
        </w:tc>
        <w:tc>
          <w:tcPr>
            <w:tcW w:w="636"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仿宋简体" w:hAnsi="Calibri" w:eastAsia="方正仿宋简体" w:cs="Calibri"/>
                <w:b/>
                <w:sz w:val="21"/>
                <w:szCs w:val="21"/>
                <w:lang w:eastAsia="zh-CN" w:bidi="ar"/>
              </w:rPr>
              <w:t>0</w:t>
            </w:r>
          </w:p>
        </w:tc>
        <w:tc>
          <w:tcPr>
            <w:tcW w:w="426"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仿宋简体" w:hAnsi="Calibri" w:eastAsia="方正仿宋简体" w:cs="Calibri"/>
                <w:b/>
                <w:sz w:val="21"/>
                <w:szCs w:val="21"/>
                <w:lang w:eastAsia="zh-CN" w:bidi="ar"/>
              </w:rPr>
              <w:t>0</w:t>
            </w:r>
          </w:p>
        </w:tc>
        <w:tc>
          <w:tcPr>
            <w:tcW w:w="650"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仿宋简体" w:hAnsi="Calibri" w:eastAsia="方正仿宋简体" w:cs="Calibri"/>
                <w:b/>
                <w:sz w:val="21"/>
                <w:szCs w:val="21"/>
                <w:lang w:eastAsia="zh-CN" w:bidi="ar"/>
              </w:rPr>
              <w:t>0</w:t>
            </w:r>
          </w:p>
        </w:tc>
        <w:tc>
          <w:tcPr>
            <w:tcW w:w="650"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仿宋简体" w:hAnsi="Calibri" w:eastAsia="方正仿宋简体" w:cs="Calibri"/>
                <w:b/>
                <w:sz w:val="21"/>
                <w:szCs w:val="21"/>
                <w:lang w:eastAsia="zh-CN" w:bidi="ar"/>
              </w:rPr>
              <w:t>0</w:t>
            </w:r>
          </w:p>
        </w:tc>
        <w:tc>
          <w:tcPr>
            <w:tcW w:w="650"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仿宋简体" w:hAnsi="Calibri" w:eastAsia="方正仿宋简体" w:cs="Calibri"/>
                <w:b/>
                <w:sz w:val="21"/>
                <w:szCs w:val="21"/>
                <w:lang w:eastAsia="zh-CN" w:bidi="ar"/>
              </w:rPr>
              <w:t>0</w:t>
            </w:r>
          </w:p>
        </w:tc>
        <w:tc>
          <w:tcPr>
            <w:tcW w:w="555"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仿宋简体" w:hAnsi="Calibri" w:eastAsia="方正仿宋简体" w:cs="Calibri"/>
                <w:b/>
                <w:sz w:val="21"/>
                <w:szCs w:val="21"/>
                <w:lang w:eastAsia="zh-CN" w:bidi="ar"/>
              </w:rPr>
              <w:t>0</w:t>
            </w:r>
          </w:p>
        </w:tc>
        <w:tc>
          <w:tcPr>
            <w:tcW w:w="407" w:type="dxa"/>
            <w:noWrap w:val="0"/>
            <w:tcMar>
              <w:left w:w="108" w:type="dxa"/>
              <w:right w:w="108" w:type="dxa"/>
            </w:tcMar>
            <w:vAlign w:val="center"/>
          </w:tcPr>
          <w:p>
            <w:pPr>
              <w:spacing w:line="340" w:lineRule="exact"/>
              <w:ind w:left="-40" w:leftChars="-20" w:right="-40" w:rightChars="-20"/>
              <w:jc w:val="center"/>
              <w:rPr>
                <w:rFonts w:ascii="方正黑体简体" w:eastAsia="方正黑体简体"/>
                <w:sz w:val="21"/>
                <w:szCs w:val="21"/>
              </w:rPr>
            </w:pPr>
            <w:r>
              <w:rPr>
                <w:rFonts w:hint="eastAsia" w:ascii="方正仿宋简体" w:hAnsi="Calibri" w:eastAsia="方正仿宋简体" w:cs="Calibri"/>
                <w:b/>
                <w:sz w:val="21"/>
                <w:szCs w:val="21"/>
                <w:lang w:eastAsia="zh-CN" w:bidi="ar"/>
              </w:rPr>
              <w:t>0</w:t>
            </w:r>
          </w:p>
        </w:tc>
      </w:tr>
    </w:tbl>
    <w:p>
      <w:pPr>
        <w:spacing w:line="590" w:lineRule="exact"/>
        <w:ind w:right="-100" w:rightChars="-50" w:firstLine="640" w:firstLineChars="200"/>
        <w:rPr>
          <w:rFonts w:ascii="方正黑体简体" w:eastAsia="方正黑体简体"/>
          <w:b/>
          <w:sz w:val="32"/>
          <w:szCs w:val="32"/>
        </w:rPr>
      </w:pPr>
      <w:r>
        <w:rPr>
          <w:rFonts w:hint="eastAsia" w:ascii="方正黑体简体" w:eastAsia="方正黑体简体"/>
          <w:b/>
          <w:sz w:val="32"/>
          <w:szCs w:val="32"/>
        </w:rPr>
        <w:t>五、存在的主要问题及改进情况</w:t>
      </w:r>
    </w:p>
    <w:p>
      <w:pPr>
        <w:spacing w:line="590" w:lineRule="exact"/>
        <w:ind w:right="-100" w:rightChars="-50" w:firstLine="643" w:firstLineChars="200"/>
        <w:rPr>
          <w:rFonts w:hint="eastAsia" w:ascii="方正仿宋简体" w:eastAsia="方正仿宋简体"/>
          <w:b/>
          <w:sz w:val="32"/>
          <w:szCs w:val="32"/>
        </w:rPr>
      </w:pPr>
      <w:r>
        <w:rPr>
          <w:rFonts w:hint="eastAsia" w:ascii="方正仿宋简体" w:eastAsia="方正仿宋简体"/>
          <w:b/>
          <w:sz w:val="32"/>
          <w:szCs w:val="32"/>
        </w:rPr>
        <w:t>2022年我局在推进政务公开方面做了大量的工作，取得了一些成效，但也存在一些问题主要在于对政务公开工作认识不够对信息的提供不够主动、积极。</w:t>
      </w:r>
    </w:p>
    <w:p>
      <w:pPr>
        <w:spacing w:line="590" w:lineRule="exact"/>
        <w:ind w:right="-100" w:rightChars="-50" w:firstLine="643" w:firstLineChars="200"/>
        <w:rPr>
          <w:rFonts w:hint="eastAsia" w:ascii="方正仿宋简体" w:eastAsia="方正仿宋简体"/>
          <w:b/>
          <w:sz w:val="32"/>
          <w:szCs w:val="32"/>
          <w:lang w:val="en-US" w:eastAsia="zh-CN"/>
        </w:rPr>
      </w:pPr>
      <w:r>
        <w:rPr>
          <w:rFonts w:hint="eastAsia" w:ascii="方正仿宋简体" w:eastAsia="方正仿宋简体"/>
          <w:b/>
          <w:sz w:val="32"/>
          <w:szCs w:val="32"/>
        </w:rPr>
        <w:t>改进情况：进一步提高思想认识，认真贯彻落实政府信息公开工作有关文件精神，提高推行政府信息公开重要性的认识，切实把《条例》的要求融入到日常业务工作中，成为行政机关工作流程的一个重要环节，自觉推行信息公开，加强工作人员业务培训，强化理论学习，进一步提高自身业务能力水平。</w:t>
      </w:r>
    </w:p>
    <w:p>
      <w:pPr>
        <w:spacing w:line="590" w:lineRule="exact"/>
        <w:ind w:right="-100" w:rightChars="-50" w:firstLine="640" w:firstLineChars="200"/>
        <w:rPr>
          <w:rFonts w:ascii="方正黑体简体" w:eastAsia="方正黑体简体"/>
          <w:b/>
          <w:sz w:val="32"/>
          <w:szCs w:val="32"/>
        </w:rPr>
      </w:pPr>
      <w:r>
        <w:rPr>
          <w:rFonts w:hint="eastAsia" w:ascii="方正黑体简体" w:eastAsia="方正黑体简体"/>
          <w:b/>
          <w:sz w:val="32"/>
          <w:szCs w:val="32"/>
        </w:rPr>
        <w:t>六、其他需要报告的事项</w:t>
      </w:r>
    </w:p>
    <w:p>
      <w:pPr>
        <w:ind w:firstLine="643" w:firstLineChars="200"/>
        <w:rPr>
          <w:rFonts w:hint="default" w:ascii="Times New Roman" w:hAnsi="Times New Roman" w:eastAsia="方正仿宋简体" w:cs="Times New Roman"/>
          <w:b/>
          <w:bCs w:val="0"/>
          <w:i w:val="0"/>
          <w:caps w:val="0"/>
          <w:color w:val="000000"/>
          <w:spacing w:val="0"/>
          <w:kern w:val="0"/>
          <w:sz w:val="32"/>
          <w:szCs w:val="32"/>
          <w:shd w:val="clear" w:color="auto" w:fill="FFFFFF"/>
          <w:lang w:val="en-US" w:eastAsia="zh-CN" w:bidi="ar"/>
        </w:rPr>
      </w:pPr>
      <w:r>
        <w:rPr>
          <w:rFonts w:hint="eastAsia" w:ascii="Times New Roman" w:hAnsi="Times New Roman" w:eastAsia="方正仿宋简体" w:cs="Times New Roman"/>
          <w:b/>
          <w:bCs w:val="0"/>
          <w:i w:val="0"/>
          <w:caps w:val="0"/>
          <w:color w:val="000000"/>
          <w:spacing w:val="0"/>
          <w:kern w:val="0"/>
          <w:sz w:val="32"/>
          <w:szCs w:val="32"/>
          <w:shd w:val="clear" w:color="auto" w:fill="FFFFFF"/>
          <w:lang w:val="en-US" w:eastAsia="zh-CN" w:bidi="ar"/>
        </w:rPr>
        <w:t>（一）本单位未收取信息处理费</w:t>
      </w:r>
      <w:r>
        <w:rPr>
          <w:rFonts w:hint="default" w:ascii="Times New Roman" w:hAnsi="Times New Roman" w:eastAsia="方正仿宋简体" w:cs="Times New Roman"/>
          <w:b/>
          <w:bCs w:val="0"/>
          <w:i w:val="0"/>
          <w:caps w:val="0"/>
          <w:color w:val="000000"/>
          <w:spacing w:val="0"/>
          <w:kern w:val="0"/>
          <w:sz w:val="32"/>
          <w:szCs w:val="32"/>
          <w:shd w:val="clear" w:color="auto" w:fill="FFFFFF"/>
          <w:lang w:val="en-US" w:eastAsia="zh-CN" w:bidi="ar"/>
        </w:rPr>
        <w:t>。</w:t>
      </w:r>
    </w:p>
    <w:p>
      <w:pPr>
        <w:ind w:firstLine="643" w:firstLineChars="200"/>
        <w:rPr>
          <w:rFonts w:hint="eastAsia" w:ascii="Times New Roman" w:hAnsi="Times New Roman" w:eastAsia="方正仿宋简体" w:cs="Times New Roman"/>
          <w:b/>
          <w:bCs w:val="0"/>
          <w:i w:val="0"/>
          <w:caps w:val="0"/>
          <w:color w:val="000000"/>
          <w:spacing w:val="0"/>
          <w:kern w:val="0"/>
          <w:sz w:val="32"/>
          <w:szCs w:val="32"/>
          <w:shd w:val="clear" w:color="auto" w:fill="FFFFFF"/>
          <w:lang w:val="en-US" w:eastAsia="zh-CN" w:bidi="ar"/>
        </w:rPr>
      </w:pPr>
      <w:r>
        <w:rPr>
          <w:rFonts w:hint="eastAsia" w:ascii="Times New Roman" w:hAnsi="Times New Roman" w:eastAsia="方正仿宋简体" w:cs="Times New Roman"/>
          <w:b/>
          <w:bCs w:val="0"/>
          <w:i w:val="0"/>
          <w:caps w:val="0"/>
          <w:color w:val="000000"/>
          <w:spacing w:val="0"/>
          <w:kern w:val="0"/>
          <w:sz w:val="32"/>
          <w:szCs w:val="32"/>
          <w:shd w:val="clear" w:color="auto" w:fill="FFFFFF"/>
          <w:lang w:val="en-US" w:eastAsia="zh-CN" w:bidi="ar"/>
        </w:rPr>
        <w:t>（二）本单位全面落实了上年度政务公开工作要点，主要包括健全完善局内部政务公开工作制度、拓宽政务信息发布渠道、强化政务公开人员业务培训等内容。</w:t>
      </w:r>
    </w:p>
    <w:p>
      <w:pPr>
        <w:ind w:firstLine="643" w:firstLineChars="200"/>
        <w:rPr>
          <w:rFonts w:hint="eastAsia" w:ascii="Times New Roman" w:hAnsi="Times New Roman" w:eastAsia="方正仿宋简体" w:cs="Times New Roman"/>
          <w:b/>
          <w:bCs w:val="0"/>
          <w:i w:val="0"/>
          <w:caps w:val="0"/>
          <w:color w:val="000000"/>
          <w:spacing w:val="0"/>
          <w:kern w:val="0"/>
          <w:sz w:val="32"/>
          <w:szCs w:val="32"/>
          <w:shd w:val="clear" w:color="auto" w:fill="FFFFFF"/>
          <w:lang w:val="en-US" w:eastAsia="zh-CN" w:bidi="ar"/>
        </w:rPr>
      </w:pPr>
      <w:r>
        <w:rPr>
          <w:rFonts w:hint="eastAsia" w:ascii="Times New Roman" w:hAnsi="Times New Roman" w:eastAsia="方正仿宋简体" w:cs="Times New Roman"/>
          <w:b/>
          <w:bCs w:val="0"/>
          <w:i w:val="0"/>
          <w:caps w:val="0"/>
          <w:color w:val="000000"/>
          <w:spacing w:val="0"/>
          <w:kern w:val="0"/>
          <w:sz w:val="32"/>
          <w:szCs w:val="32"/>
          <w:shd w:val="clear" w:color="auto" w:fill="FFFFFF"/>
          <w:lang w:val="en-US" w:eastAsia="zh-CN" w:bidi="ar"/>
        </w:rPr>
        <w:t>（三）</w:t>
      </w:r>
      <w:r>
        <w:rPr>
          <w:rFonts w:hint="eastAsia" w:ascii="方正仿宋简体" w:eastAsia="方正仿宋简体"/>
          <w:b/>
          <w:spacing w:val="-11"/>
          <w:sz w:val="32"/>
          <w:szCs w:val="32"/>
        </w:rPr>
        <w:t>本</w:t>
      </w:r>
      <w:r>
        <w:rPr>
          <w:rFonts w:hint="eastAsia" w:ascii="方正仿宋简体" w:eastAsia="方正仿宋简体"/>
          <w:b/>
          <w:spacing w:val="-11"/>
          <w:sz w:val="32"/>
          <w:szCs w:val="32"/>
          <w:lang w:eastAsia="zh-CN"/>
        </w:rPr>
        <w:t>单位无</w:t>
      </w:r>
      <w:r>
        <w:rPr>
          <w:rFonts w:hint="eastAsia" w:ascii="方正仿宋简体" w:eastAsia="方正仿宋简体"/>
          <w:b/>
          <w:spacing w:val="-11"/>
          <w:sz w:val="32"/>
          <w:szCs w:val="32"/>
        </w:rPr>
        <w:t>人大代表建议和政协提案办理结果公开情况</w:t>
      </w:r>
      <w:r>
        <w:rPr>
          <w:rFonts w:hint="eastAsia" w:ascii="方正仿宋简体" w:eastAsia="方正仿宋简体"/>
          <w:b/>
          <w:spacing w:val="-11"/>
          <w:sz w:val="32"/>
          <w:szCs w:val="32"/>
          <w:lang w:eastAsia="zh-CN"/>
        </w:rPr>
        <w:t>。</w:t>
      </w:r>
    </w:p>
    <w:p>
      <w:pPr>
        <w:numPr>
          <w:ilvl w:val="0"/>
          <w:numId w:val="0"/>
        </w:numPr>
        <w:ind w:firstLine="643" w:firstLineChars="200"/>
        <w:rPr>
          <w:rFonts w:hint="eastAsia" w:ascii="方正仿宋简体" w:hAnsi="方正仿宋简体" w:eastAsia="方正仿宋简体" w:cs="方正仿宋简体"/>
          <w:b/>
          <w:bCs/>
          <w:i w:val="0"/>
          <w:caps w:val="0"/>
          <w:color w:val="000000"/>
          <w:spacing w:val="0"/>
          <w:sz w:val="32"/>
          <w:szCs w:val="32"/>
          <w:shd w:val="clear" w:color="auto" w:fill="FFFFFF"/>
          <w:lang w:val="en-US" w:eastAsia="zh-CN"/>
        </w:rPr>
      </w:pPr>
      <w:r>
        <w:rPr>
          <w:rFonts w:hint="eastAsia" w:ascii="方正仿宋简体" w:hAnsi="方正仿宋简体" w:eastAsia="方正仿宋简体" w:cs="方正仿宋简体"/>
          <w:b/>
          <w:bCs/>
          <w:i w:val="0"/>
          <w:caps w:val="0"/>
          <w:color w:val="000000"/>
          <w:spacing w:val="0"/>
          <w:sz w:val="32"/>
          <w:szCs w:val="32"/>
          <w:shd w:val="clear" w:color="auto" w:fill="FFFFFF"/>
          <w:lang w:val="en-US" w:eastAsia="zh-CN"/>
        </w:rPr>
        <w:t>（四） 2022年度本单位在拓宽信息发布渠道方面做了大量实效工作，利用局政务微信公众号，及时主动发布工作动态、各级相关通知、应急管理及安全生产科普知识等信息。</w:t>
      </w:r>
    </w:p>
    <w:p>
      <w:pPr>
        <w:numPr>
          <w:ilvl w:val="0"/>
          <w:numId w:val="0"/>
        </w:numPr>
        <w:ind w:firstLine="643" w:firstLineChars="200"/>
        <w:rPr>
          <w:rFonts w:hint="eastAsia" w:ascii="方正仿宋简体" w:hAnsi="方正仿宋简体" w:eastAsia="方正仿宋简体" w:cs="方正仿宋简体"/>
          <w:b/>
          <w:bCs/>
          <w:i w:val="0"/>
          <w:caps w:val="0"/>
          <w:color w:val="000000"/>
          <w:spacing w:val="0"/>
          <w:sz w:val="32"/>
          <w:szCs w:val="32"/>
          <w:shd w:val="clear" w:color="auto" w:fill="FFFFFF"/>
          <w:lang w:val="en-US" w:eastAsia="zh-CN"/>
        </w:rPr>
      </w:pPr>
      <w:r>
        <w:rPr>
          <w:rFonts w:hint="eastAsia" w:ascii="方正仿宋简体" w:hAnsi="方正仿宋简体" w:eastAsia="方正仿宋简体" w:cs="方正仿宋简体"/>
          <w:b/>
          <w:bCs/>
          <w:i w:val="0"/>
          <w:caps w:val="0"/>
          <w:color w:val="000000"/>
          <w:spacing w:val="0"/>
          <w:sz w:val="32"/>
          <w:szCs w:val="32"/>
          <w:shd w:val="clear" w:color="auto" w:fill="FFFFFF"/>
          <w:lang w:val="en-US" w:eastAsia="zh-CN"/>
        </w:rPr>
        <w:t>（五）本单位政府信息公开工作年度报告数据统计方面无其他需要说明的事项。</w:t>
      </w:r>
    </w:p>
    <w:p>
      <w:pPr>
        <w:ind w:leftChars="300"/>
        <w:rPr>
          <w:rFonts w:hint="eastAsia" w:ascii="方正仿宋简体" w:hAnsi="方正仿宋简体" w:eastAsia="方正仿宋简体" w:cs="方正仿宋简体"/>
          <w:b/>
          <w:bCs/>
          <w:i w:val="0"/>
          <w:caps w:val="0"/>
          <w:color w:val="000000"/>
          <w:spacing w:val="0"/>
          <w:sz w:val="32"/>
          <w:szCs w:val="32"/>
          <w:shd w:val="clear" w:color="auto" w:fill="FFFFFF"/>
          <w:lang w:val="en-US" w:eastAsia="zh-CN"/>
        </w:rPr>
      </w:pPr>
      <w:r>
        <w:rPr>
          <w:rFonts w:hint="eastAsia" w:ascii="方正仿宋简体" w:hAnsi="方正仿宋简体" w:eastAsia="方正仿宋简体" w:cs="方正仿宋简体"/>
          <w:b/>
          <w:bCs/>
          <w:i w:val="0"/>
          <w:caps w:val="0"/>
          <w:color w:val="000000"/>
          <w:spacing w:val="0"/>
          <w:sz w:val="32"/>
          <w:szCs w:val="32"/>
          <w:shd w:val="clear" w:color="auto" w:fill="FFFFFF"/>
          <w:lang w:val="en-US" w:eastAsia="zh-CN"/>
        </w:rPr>
        <w:t>（六）本单位2022年度无需要报告的其他事项。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altName w:val="微软雅黑"/>
    <w:panose1 w:val="02000000000000000000"/>
    <w:charset w:val="86"/>
    <w:family w:val="auto"/>
    <w:pitch w:val="default"/>
    <w:sig w:usb0="00000000" w:usb1="00000000" w:usb2="00000012" w:usb3="00000000" w:csb0="00040001" w:csb1="00000000"/>
  </w:font>
  <w:font w:name="方正楷体简体">
    <w:altName w:val="宋体"/>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AEF5A8"/>
    <w:multiLevelType w:val="singleLevel"/>
    <w:tmpl w:val="3BAEF5A8"/>
    <w:lvl w:ilvl="0" w:tentative="0">
      <w:start w:val="3"/>
      <w:numFmt w:val="chineseCounting"/>
      <w:suff w:val="nothing"/>
      <w:lvlText w:val="%1、"/>
      <w:lvlJc w:val="left"/>
      <w:rPr>
        <w:rFonts w:hint="eastAsia"/>
      </w:rPr>
    </w:lvl>
  </w:abstractNum>
  <w:abstractNum w:abstractNumId="1">
    <w:nsid w:val="52944E72"/>
    <w:multiLevelType w:val="singleLevel"/>
    <w:tmpl w:val="52944E72"/>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zZTdhYmMzYmQ4MWZlMzhhOWQzOWZhOWJiZDRmZmIifQ=="/>
  </w:docVars>
  <w:rsids>
    <w:rsidRoot w:val="00000000"/>
    <w:rsid w:val="03CF3FFD"/>
    <w:rsid w:val="06E8731C"/>
    <w:rsid w:val="081E79D0"/>
    <w:rsid w:val="0A1C72DC"/>
    <w:rsid w:val="156F0B2D"/>
    <w:rsid w:val="1748601B"/>
    <w:rsid w:val="19DE008F"/>
    <w:rsid w:val="1B5468D6"/>
    <w:rsid w:val="23B31F24"/>
    <w:rsid w:val="25F64BF9"/>
    <w:rsid w:val="31DC5891"/>
    <w:rsid w:val="36FD79CA"/>
    <w:rsid w:val="44077E31"/>
    <w:rsid w:val="449D0A3E"/>
    <w:rsid w:val="4B037A6B"/>
    <w:rsid w:val="4D3C7C3D"/>
    <w:rsid w:val="50F07A70"/>
    <w:rsid w:val="52072290"/>
    <w:rsid w:val="575777FD"/>
    <w:rsid w:val="5A5968C5"/>
    <w:rsid w:val="5AD02B22"/>
    <w:rsid w:val="60144057"/>
    <w:rsid w:val="60736BF4"/>
    <w:rsid w:val="61EC7E6A"/>
    <w:rsid w:val="624C78D4"/>
    <w:rsid w:val="65C31656"/>
    <w:rsid w:val="67852F40"/>
    <w:rsid w:val="68196DEB"/>
    <w:rsid w:val="6AD01C35"/>
    <w:rsid w:val="6D463AEE"/>
    <w:rsid w:val="76522B87"/>
    <w:rsid w:val="77407DE3"/>
    <w:rsid w:val="7F321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oleObject" Target="file:///C:\Users\Administrator\Desktop\&#26032;&#24314;%20XLSX%20&#24037;&#20316;&#34920;1.xlsx!Sheet1!%5b&#26032;&#24314;%20XLSX%20&#24037;&#20316;&#34920;1.xlsx%5dSheet1%20&#22270;&#34920;%203" TargetMode="Externa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2335</Words>
  <Characters>2417</Characters>
  <Lines>0</Lines>
  <Paragraphs>0</Paragraphs>
  <TotalTime>14</TotalTime>
  <ScaleCrop>false</ScaleCrop>
  <LinksUpToDate>false</LinksUpToDate>
  <CharactersWithSpaces>2422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2023-01-31T01:53:00Z</dcterms:created>
  <dc:creator>Lenovo</dc:creator>
  <cp:lastModifiedBy>糖炒栗子 ້໌ᮨ</cp:lastModifiedBy>
  <dcterms:modified xsi:type="dcterms:W3CDTF">2024-03-26T08:11:02Z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784F4F59A95D4E2F8BB41C8CB2D99459</vt:lpwstr>
  </property>
</Properties>
</file>