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济宁高新区投资促进局</w:t>
      </w:r>
      <w:r>
        <w:rPr>
          <w:rFonts w:hint="eastAsia" w:ascii="方正小标宋简体" w:eastAsia="方正小标宋简体"/>
          <w:b/>
          <w:color w:val="000000"/>
          <w:sz w:val="44"/>
          <w:szCs w:val="44"/>
        </w:rPr>
        <w:t>2022年</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政府信息公开工作年度报告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济宁高新区投资促进局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本报告所列数据的统计期限自2022年1月1日起至2022年12月31日止。本报告电子版可在“济宁高新区管委会”门户网站（http://www.jnhn.gov.cn）查阅或下载</w:t>
      </w:r>
      <w:r>
        <w:rPr>
          <w:rFonts w:hint="eastAsia" w:ascii="方正仿宋简体" w:eastAsia="方正仿宋简体"/>
          <w:b/>
          <w:color w:val="000000"/>
          <w:sz w:val="32"/>
          <w:szCs w:val="32"/>
          <w:lang w:eastAsia="zh-CN"/>
        </w:rPr>
        <w:t>。</w:t>
      </w:r>
      <w:bookmarkStart w:id="0" w:name="_GoBack"/>
      <w:bookmarkEnd w:id="0"/>
      <w:r>
        <w:rPr>
          <w:rFonts w:hint="eastAsia" w:ascii="方正仿宋简体" w:eastAsia="方正仿宋简体"/>
          <w:b/>
          <w:color w:val="000000"/>
          <w:sz w:val="32"/>
          <w:szCs w:val="32"/>
        </w:rPr>
        <w:t>如对本报告有疑问，请与</w:t>
      </w:r>
      <w:r>
        <w:rPr>
          <w:rFonts w:hint="eastAsia" w:ascii="方正仿宋简体" w:eastAsia="方正仿宋简体"/>
          <w:b/>
          <w:color w:val="000000"/>
          <w:sz w:val="32"/>
          <w:szCs w:val="32"/>
          <w:lang w:val="en-US" w:eastAsia="zh-CN"/>
        </w:rPr>
        <w:t>济宁高新区投资促进局</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济宁市高新区柳行街道海川路产学研基地T2</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3255058</w:t>
      </w:r>
      <w:r>
        <w:rPr>
          <w:rFonts w:hint="eastAsia" w:ascii="方正仿宋简体" w:eastAsia="方正仿宋简体"/>
          <w:b/>
          <w:color w:val="000000"/>
          <w:sz w:val="32"/>
          <w:szCs w:val="32"/>
        </w:rPr>
        <w:t>）。</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2022年，济宁高新区投资促进局坚持以习近平新时代中国特色社会主义思想为指导，认真贯彻《中华人民共和国政府信息公开条例》和《山东省政府信息公开办法》，严格落实高新区管委会2022年重点工作安排，不断规范政府信息公开的内容、程序、形式及监督保障措施，通过信息公开不断优化对“双招招引”、“产业促进”的服务，进一步增强了工作透明度，切实推动了政务信息公开工作不断发展进步。</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w:t>
      </w:r>
      <w:r>
        <w:rPr>
          <w:rFonts w:hint="eastAsia" w:ascii="方正仿宋简体" w:eastAsia="方正仿宋简体" w:cs="Times New Roman"/>
          <w:b/>
          <w:color w:val="000000"/>
          <w:kern w:val="0"/>
          <w:sz w:val="32"/>
          <w:szCs w:val="32"/>
          <w:lang w:val="en-US" w:eastAsia="zh-CN" w:bidi="ar-SA"/>
        </w:rPr>
        <w:t>2</w:t>
      </w:r>
      <w:r>
        <w:rPr>
          <w:rFonts w:hint="eastAsia" w:ascii="方正仿宋简体" w:hAnsi="Times New Roman" w:eastAsia="方正仿宋简体" w:cs="Times New Roman"/>
          <w:b/>
          <w:color w:val="000000"/>
          <w:kern w:val="0"/>
          <w:sz w:val="32"/>
          <w:szCs w:val="32"/>
          <w:lang w:val="en-US" w:eastAsia="zh-CN" w:bidi="ar-SA"/>
        </w:rPr>
        <w:t>年度，济宁高新区投资促进</w:t>
      </w:r>
      <w:r>
        <w:rPr>
          <w:rFonts w:hint="eastAsia" w:ascii="方正仿宋简体" w:eastAsia="方正仿宋简体" w:cs="Times New Roman"/>
          <w:b/>
          <w:color w:val="000000"/>
          <w:kern w:val="0"/>
          <w:sz w:val="32"/>
          <w:szCs w:val="32"/>
          <w:lang w:val="en-US" w:eastAsia="zh-CN" w:bidi="ar-SA"/>
        </w:rPr>
        <w:t>局</w:t>
      </w:r>
      <w:r>
        <w:rPr>
          <w:rFonts w:hint="eastAsia" w:ascii="方正仿宋简体" w:hAnsi="Times New Roman" w:eastAsia="方正仿宋简体" w:cs="Times New Roman"/>
          <w:b/>
          <w:color w:val="000000"/>
          <w:kern w:val="0"/>
          <w:sz w:val="32"/>
          <w:szCs w:val="32"/>
          <w:lang w:val="en-US" w:eastAsia="zh-CN" w:bidi="ar-SA"/>
        </w:rPr>
        <w:t>公示政务信息</w:t>
      </w:r>
      <w:r>
        <w:rPr>
          <w:rFonts w:hint="eastAsia" w:ascii="方正仿宋简体" w:eastAsia="方正仿宋简体" w:cs="Times New Roman"/>
          <w:b/>
          <w:color w:val="000000"/>
          <w:kern w:val="0"/>
          <w:sz w:val="32"/>
          <w:szCs w:val="32"/>
          <w:lang w:val="en-US" w:eastAsia="zh-CN" w:bidi="ar-SA"/>
        </w:rPr>
        <w:t>185</w:t>
      </w:r>
      <w:r>
        <w:rPr>
          <w:rFonts w:hint="eastAsia" w:ascii="方正仿宋简体" w:hAnsi="Times New Roman" w:eastAsia="方正仿宋简体" w:cs="Times New Roman"/>
          <w:b/>
          <w:color w:val="000000"/>
          <w:kern w:val="0"/>
          <w:sz w:val="32"/>
          <w:szCs w:val="32"/>
          <w:lang w:val="en-US" w:eastAsia="zh-CN" w:bidi="ar-SA"/>
        </w:rPr>
        <w:t>条，其中政策文件（含法规）</w:t>
      </w:r>
      <w:r>
        <w:rPr>
          <w:rFonts w:hint="eastAsia" w:ascii="方正仿宋简体" w:eastAsia="方正仿宋简体" w:cs="Times New Roman"/>
          <w:b/>
          <w:color w:val="000000"/>
          <w:kern w:val="0"/>
          <w:sz w:val="32"/>
          <w:szCs w:val="32"/>
          <w:lang w:val="en-US" w:eastAsia="zh-CN" w:bidi="ar-SA"/>
        </w:rPr>
        <w:t>1</w:t>
      </w:r>
      <w:r>
        <w:rPr>
          <w:rFonts w:hint="eastAsia" w:ascii="方正仿宋简体" w:hAnsi="Times New Roman" w:eastAsia="方正仿宋简体" w:cs="Times New Roman"/>
          <w:b/>
          <w:color w:val="000000"/>
          <w:kern w:val="0"/>
          <w:sz w:val="32"/>
          <w:szCs w:val="32"/>
          <w:lang w:val="en-US" w:eastAsia="zh-CN" w:bidi="ar-SA"/>
        </w:rPr>
        <w:t>条，会议公开</w:t>
      </w:r>
      <w:r>
        <w:rPr>
          <w:rFonts w:hint="eastAsia" w:ascii="方正仿宋简体" w:eastAsia="方正仿宋简体" w:cs="Times New Roman"/>
          <w:b/>
          <w:color w:val="000000"/>
          <w:kern w:val="0"/>
          <w:sz w:val="32"/>
          <w:szCs w:val="32"/>
          <w:lang w:val="en-US" w:eastAsia="zh-CN" w:bidi="ar-SA"/>
        </w:rPr>
        <w:t>17</w:t>
      </w:r>
      <w:r>
        <w:rPr>
          <w:rFonts w:hint="eastAsia" w:ascii="方正仿宋简体" w:hAnsi="Times New Roman" w:eastAsia="方正仿宋简体" w:cs="Times New Roman"/>
          <w:b/>
          <w:color w:val="000000"/>
          <w:kern w:val="0"/>
          <w:sz w:val="32"/>
          <w:szCs w:val="32"/>
          <w:lang w:val="en-US" w:eastAsia="zh-CN" w:bidi="ar-SA"/>
        </w:rPr>
        <w:t>条，政策解读</w:t>
      </w:r>
      <w:r>
        <w:rPr>
          <w:rFonts w:hint="eastAsia" w:ascii="方正仿宋简体" w:eastAsia="方正仿宋简体" w:cs="Times New Roman"/>
          <w:b/>
          <w:color w:val="000000"/>
          <w:kern w:val="0"/>
          <w:sz w:val="32"/>
          <w:szCs w:val="32"/>
          <w:lang w:val="en-US" w:eastAsia="zh-CN" w:bidi="ar-SA"/>
        </w:rPr>
        <w:t>4</w:t>
      </w:r>
      <w:r>
        <w:rPr>
          <w:rFonts w:hint="eastAsia" w:ascii="方正仿宋简体" w:hAnsi="Times New Roman" w:eastAsia="方正仿宋简体" w:cs="Times New Roman"/>
          <w:b/>
          <w:color w:val="000000"/>
          <w:kern w:val="0"/>
          <w:sz w:val="32"/>
          <w:szCs w:val="32"/>
          <w:lang w:val="en-US" w:eastAsia="zh-CN" w:bidi="ar-SA"/>
        </w:rPr>
        <w:t>条（文字解读</w:t>
      </w:r>
      <w:r>
        <w:rPr>
          <w:rFonts w:hint="eastAsia" w:ascii="方正仿宋简体" w:eastAsia="方正仿宋简体" w:cs="Times New Roman"/>
          <w:b/>
          <w:color w:val="000000"/>
          <w:kern w:val="0"/>
          <w:sz w:val="32"/>
          <w:szCs w:val="32"/>
          <w:lang w:val="en-US" w:eastAsia="zh-CN" w:bidi="ar-SA"/>
        </w:rPr>
        <w:t>3</w:t>
      </w:r>
      <w:r>
        <w:rPr>
          <w:rFonts w:hint="eastAsia" w:ascii="方正仿宋简体" w:hAnsi="Times New Roman" w:eastAsia="方正仿宋简体" w:cs="Times New Roman"/>
          <w:b/>
          <w:color w:val="000000"/>
          <w:kern w:val="0"/>
          <w:sz w:val="32"/>
          <w:szCs w:val="32"/>
          <w:lang w:val="en-US" w:eastAsia="zh-CN" w:bidi="ar-SA"/>
        </w:rPr>
        <w:t>条、图文解读1条），主动公开基本目录（部门单位）1条，产业促进16</w:t>
      </w:r>
      <w:r>
        <w:rPr>
          <w:rFonts w:hint="eastAsia" w:ascii="方正仿宋简体" w:eastAsia="方正仿宋简体" w:cs="Times New Roman"/>
          <w:b/>
          <w:color w:val="000000"/>
          <w:kern w:val="0"/>
          <w:sz w:val="32"/>
          <w:szCs w:val="32"/>
          <w:lang w:val="en-US" w:eastAsia="zh-CN" w:bidi="ar-SA"/>
        </w:rPr>
        <w:t>3</w:t>
      </w:r>
      <w:r>
        <w:rPr>
          <w:rFonts w:hint="eastAsia" w:ascii="方正仿宋简体" w:hAnsi="Times New Roman" w:eastAsia="方正仿宋简体" w:cs="Times New Roman"/>
          <w:b/>
          <w:color w:val="000000"/>
          <w:kern w:val="0"/>
          <w:sz w:val="32"/>
          <w:szCs w:val="32"/>
          <w:lang w:val="en-US" w:eastAsia="zh-CN" w:bidi="ar-SA"/>
        </w:rPr>
        <w:t>条（产业动态</w:t>
      </w:r>
      <w:r>
        <w:rPr>
          <w:rFonts w:hint="eastAsia" w:ascii="方正仿宋简体" w:eastAsia="方正仿宋简体" w:cs="Times New Roman"/>
          <w:b/>
          <w:color w:val="000000"/>
          <w:kern w:val="0"/>
          <w:sz w:val="32"/>
          <w:szCs w:val="32"/>
          <w:lang w:val="en-US" w:eastAsia="zh-CN" w:bidi="ar-SA"/>
        </w:rPr>
        <w:t>54</w:t>
      </w:r>
      <w:r>
        <w:rPr>
          <w:rFonts w:hint="eastAsia" w:ascii="方正仿宋简体" w:hAnsi="Times New Roman" w:eastAsia="方正仿宋简体" w:cs="Times New Roman"/>
          <w:b/>
          <w:color w:val="000000"/>
          <w:kern w:val="0"/>
          <w:sz w:val="32"/>
          <w:szCs w:val="32"/>
          <w:lang w:val="en-US" w:eastAsia="zh-CN" w:bidi="ar-SA"/>
        </w:rPr>
        <w:t>条，投资政策4</w:t>
      </w:r>
      <w:r>
        <w:rPr>
          <w:rFonts w:hint="eastAsia" w:ascii="方正仿宋简体" w:eastAsia="方正仿宋简体" w:cs="Times New Roman"/>
          <w:b/>
          <w:color w:val="000000"/>
          <w:kern w:val="0"/>
          <w:sz w:val="32"/>
          <w:szCs w:val="32"/>
          <w:lang w:val="en-US" w:eastAsia="zh-CN" w:bidi="ar-SA"/>
        </w:rPr>
        <w:t>6</w:t>
      </w:r>
      <w:r>
        <w:rPr>
          <w:rFonts w:hint="eastAsia" w:ascii="方正仿宋简体" w:hAnsi="Times New Roman" w:eastAsia="方正仿宋简体" w:cs="Times New Roman"/>
          <w:b/>
          <w:color w:val="000000"/>
          <w:kern w:val="0"/>
          <w:sz w:val="32"/>
          <w:szCs w:val="32"/>
          <w:lang w:val="en-US" w:eastAsia="zh-CN" w:bidi="ar-SA"/>
        </w:rPr>
        <w:t>条，投资环境</w:t>
      </w:r>
      <w:r>
        <w:rPr>
          <w:rFonts w:hint="eastAsia" w:ascii="方正仿宋简体" w:eastAsia="方正仿宋简体" w:cs="Times New Roman"/>
          <w:b/>
          <w:color w:val="000000"/>
          <w:kern w:val="0"/>
          <w:sz w:val="32"/>
          <w:szCs w:val="32"/>
          <w:lang w:val="en-US" w:eastAsia="zh-CN" w:bidi="ar-SA"/>
        </w:rPr>
        <w:t>35</w:t>
      </w:r>
      <w:r>
        <w:rPr>
          <w:rFonts w:hint="eastAsia" w:ascii="方正仿宋简体" w:hAnsi="Times New Roman" w:eastAsia="方正仿宋简体" w:cs="Times New Roman"/>
          <w:b/>
          <w:color w:val="000000"/>
          <w:kern w:val="0"/>
          <w:sz w:val="32"/>
          <w:szCs w:val="32"/>
          <w:lang w:val="en-US" w:eastAsia="zh-CN" w:bidi="ar-SA"/>
        </w:rPr>
        <w:t>条、明星企业2</w:t>
      </w:r>
      <w:r>
        <w:rPr>
          <w:rFonts w:hint="eastAsia" w:ascii="方正仿宋简体" w:eastAsia="方正仿宋简体" w:cs="Times New Roman"/>
          <w:b/>
          <w:color w:val="000000"/>
          <w:kern w:val="0"/>
          <w:sz w:val="32"/>
          <w:szCs w:val="32"/>
          <w:lang w:val="en-US" w:eastAsia="zh-CN" w:bidi="ar-SA"/>
        </w:rPr>
        <w:t>8</w:t>
      </w:r>
      <w:r>
        <w:rPr>
          <w:rFonts w:hint="eastAsia" w:ascii="方正仿宋简体" w:hAnsi="Times New Roman" w:eastAsia="方正仿宋简体" w:cs="Times New Roman"/>
          <w:b/>
          <w:color w:val="000000"/>
          <w:kern w:val="0"/>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3" w:firstLineChars="200"/>
        <w:textAlignment w:val="auto"/>
        <w:rPr>
          <w:rFonts w:ascii="方正楷体简体" w:eastAsia="方正楷体简体"/>
          <w:b/>
          <w:color w:val="000000"/>
          <w:sz w:val="32"/>
          <w:szCs w:val="32"/>
        </w:rPr>
      </w:pPr>
      <w:r>
        <w:rPr>
          <w:rFonts w:hint="eastAsia" w:ascii="方正仿宋简体" w:hAnsi="Times New Roman" w:eastAsia="方正仿宋简体" w:cs="Times New Roman"/>
          <w:b/>
          <w:color w:val="000000"/>
          <w:kern w:val="0"/>
          <w:sz w:val="32"/>
          <w:szCs w:val="32"/>
          <w:lang w:val="en-US" w:eastAsia="zh-CN" w:bidi="ar-SA"/>
        </w:rPr>
        <w:object>
          <v:shape id="_x0000_i1025" o:spt="75" type="#_x0000_t75" style="height:222.75pt;width:440.25pt;" o:ole="t" filled="f" o:preferrelative="t" stroked="f" coordsize="21600,21600">
            <v:path/>
            <v:fill on="f" focussize="0,0"/>
            <v:stroke on="f"/>
            <v:imagedata r:id="rId5" o:title=""/>
            <o:lock v:ext="edit" aspectratio="t"/>
            <w10:wrap type="none"/>
            <w10:anchorlock/>
          </v:shape>
          <o:OLEObject Type="Embed" ProgID="Excel.Chart.8" ShapeID="_x0000_i1025" DrawAspect="Content" ObjectID="_1468075725" r:id="rId4">
            <o:LockedField>false</o:LockedField>
          </o:OLEObject>
        </w:object>
      </w:r>
      <w:r>
        <w:rPr>
          <w:rFonts w:hint="eastAsia" w:ascii="方正仿宋简体" w:eastAsia="方正仿宋简体" w:cs="Times New Roman"/>
          <w:b/>
          <w:color w:val="000000"/>
          <w:kern w:val="0"/>
          <w:sz w:val="32"/>
          <w:szCs w:val="32"/>
          <w:lang w:val="en-US" w:eastAsia="zh-CN" w:bidi="ar-SA"/>
        </w:rPr>
        <w:t xml:space="preserve">  </w:t>
      </w: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2022年未收到依申请公开相关信息。</w:t>
      </w: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（三）政府信息管理情况</w:t>
      </w:r>
    </w:p>
    <w:p>
      <w:pPr>
        <w:spacing w:line="590" w:lineRule="exact"/>
        <w:ind w:right="-100" w:rightChars="-50" w:firstLine="643" w:firstLineChars="200"/>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严格执行政府信息公开管理制度，完善</w:t>
      </w:r>
      <w:r>
        <w:rPr>
          <w:rFonts w:hint="default" w:ascii="方正仿宋简体" w:hAnsi="Times New Roman" w:eastAsia="方正仿宋简体" w:cs="Times New Roman"/>
          <w:b/>
          <w:color w:val="000000"/>
          <w:kern w:val="0"/>
          <w:sz w:val="32"/>
          <w:szCs w:val="32"/>
          <w:lang w:val="en-US" w:eastAsia="zh-CN" w:bidi="ar-SA"/>
        </w:rPr>
        <w:t>各处室信息联络员制度，负责本处室政府信息公开的日常工作。严格遵循“以公开为原则、不公开为例外”和“谁制作、谁公开、谁负责”的原则，切实提升信息公开的主动性、规范性、实效性。</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发挥政府政务公开平台政务公开主阵地作用，</w:t>
      </w:r>
      <w:r>
        <w:rPr>
          <w:rFonts w:hint="eastAsia" w:ascii="方正仿宋简体" w:eastAsia="方正仿宋简体" w:cs="Times New Roman"/>
          <w:b/>
          <w:color w:val="000000"/>
          <w:kern w:val="0"/>
          <w:sz w:val="32"/>
          <w:szCs w:val="32"/>
          <w:lang w:val="en-US" w:eastAsia="zh-CN" w:bidi="ar-SA"/>
        </w:rPr>
        <w:t>济宁高新区投资促进局</w:t>
      </w:r>
      <w:r>
        <w:rPr>
          <w:rFonts w:hint="eastAsia" w:ascii="方正仿宋简体" w:hAnsi="Times New Roman" w:eastAsia="方正仿宋简体" w:cs="Times New Roman"/>
          <w:b/>
          <w:color w:val="000000"/>
          <w:kern w:val="0"/>
          <w:sz w:val="32"/>
          <w:szCs w:val="32"/>
          <w:lang w:val="en-US" w:eastAsia="zh-CN" w:bidi="ar-SA"/>
        </w:rPr>
        <w:t>年度发布产业促进1</w:t>
      </w:r>
      <w:r>
        <w:rPr>
          <w:rFonts w:hint="eastAsia" w:ascii="方正仿宋简体" w:eastAsia="方正仿宋简体" w:cs="Times New Roman"/>
          <w:b/>
          <w:color w:val="000000"/>
          <w:kern w:val="0"/>
          <w:sz w:val="32"/>
          <w:szCs w:val="32"/>
          <w:lang w:val="en-US" w:eastAsia="zh-CN" w:bidi="ar-SA"/>
        </w:rPr>
        <w:t>85</w:t>
      </w:r>
      <w:r>
        <w:rPr>
          <w:rFonts w:hint="eastAsia" w:ascii="方正仿宋简体" w:hAnsi="Times New Roman" w:eastAsia="方正仿宋简体" w:cs="Times New Roman"/>
          <w:b/>
          <w:color w:val="000000"/>
          <w:kern w:val="0"/>
          <w:sz w:val="32"/>
          <w:szCs w:val="32"/>
          <w:lang w:val="en-US" w:eastAsia="zh-CN" w:bidi="ar-SA"/>
        </w:rPr>
        <w:t>条；开设产业动态、投资政策、投资环境、明星企业等栏目。</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default" w:ascii="方正仿宋简体" w:eastAsia="方正仿宋简体" w:cs="Times New Roman"/>
          <w:b/>
          <w:color w:val="000000"/>
          <w:kern w:val="0"/>
          <w:sz w:val="32"/>
          <w:szCs w:val="32"/>
          <w:lang w:val="en-US" w:eastAsia="zh-CN" w:bidi="ar-SA"/>
        </w:rPr>
      </w:pPr>
      <w:r>
        <w:rPr>
          <w:rFonts w:hint="eastAsia" w:ascii="方正仿宋简体" w:eastAsia="方正仿宋简体" w:cs="Times New Roman"/>
          <w:b/>
          <w:color w:val="000000"/>
          <w:kern w:val="0"/>
          <w:sz w:val="32"/>
          <w:szCs w:val="32"/>
          <w:lang w:val="en-US" w:eastAsia="zh-CN" w:bidi="ar-SA"/>
        </w:rPr>
        <w:t>通过济宁高新区投资促进局领导班子</w:t>
      </w:r>
      <w:r>
        <w:rPr>
          <w:rFonts w:hint="eastAsia" w:ascii="方正仿宋简体" w:hAnsi="Times New Roman" w:eastAsia="方正仿宋简体" w:cs="Times New Roman"/>
          <w:b/>
          <w:color w:val="000000"/>
          <w:kern w:val="0"/>
          <w:sz w:val="32"/>
          <w:szCs w:val="32"/>
          <w:lang w:val="en-US" w:eastAsia="zh-CN" w:bidi="ar-SA"/>
        </w:rPr>
        <w:t>研究布置政府信息公开工作；建立由</w:t>
      </w:r>
      <w:r>
        <w:rPr>
          <w:rFonts w:hint="eastAsia" w:ascii="方正仿宋简体" w:eastAsia="方正仿宋简体" w:cs="Times New Roman"/>
          <w:b/>
          <w:color w:val="000000"/>
          <w:kern w:val="0"/>
          <w:sz w:val="32"/>
          <w:szCs w:val="32"/>
          <w:lang w:val="en-US" w:eastAsia="zh-CN" w:bidi="ar-SA"/>
        </w:rPr>
        <w:t>综合处+产业处室的政务信息采集和发布的“贯穿”机制，综合处负责政策汇编和会议内容发布，各产业处室提供产业动态、投资环境、明星企业的信息收集。此外济宁高新区投资促进局积极开展业务培训和对标学习，认真学习省内外重点城市产业信息内容，高效率运用在现有产业信息动态中。</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07" w:type="dxa"/>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2022年，我局政务公开工作虽然取得了一定成绩，但仍然存在一些问题，</w:t>
      </w:r>
      <w:r>
        <w:rPr>
          <w:rFonts w:hint="default" w:ascii="方正仿宋简体" w:hAnsi="Times New Roman" w:eastAsia="方正仿宋简体" w:cs="Times New Roman"/>
          <w:b/>
          <w:color w:val="000000"/>
          <w:kern w:val="0"/>
          <w:sz w:val="32"/>
          <w:szCs w:val="32"/>
          <w:lang w:val="en-US" w:eastAsia="zh-CN" w:bidi="ar-SA"/>
        </w:rPr>
        <w:t>主要表现在：工作的标准要求还不够高，对标对表严的标准和要求，还存在部分公开内容不够规范，形式和手段不够丰富等问题。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default" w:ascii="方正仿宋简体" w:hAnsi="Times New Roman" w:eastAsia="方正仿宋简体" w:cs="Times New Roman"/>
          <w:b/>
          <w:color w:val="000000"/>
          <w:kern w:val="0"/>
          <w:sz w:val="32"/>
          <w:szCs w:val="32"/>
          <w:lang w:val="en-US" w:eastAsia="zh-CN" w:bidi="ar-SA"/>
        </w:rPr>
        <w:t>针对上述问题，我们积极采取改进措施：从制度上加以规范。印发政务公开工作要点，明确公开重点内容、时限、责任处室等，确保工作落实在平时、成效体现在日常。严格对照季度整改清单，做到立行立改、逐一销号。在政策解读等方面，积极丰富形式，全年发布的6个文件，从一图、视频、文字等多角度发布解读文件21件，逐步丰富公开的手段和形式。</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（一）依据《政府信息公开信息处理费管理办法》收取信息处理费的情况：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济宁高新区投资促进局2022年未收到信息公开申请事项，也无收费情况。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（二）落实上级年度政务公开工作要点情况：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济宁高新区投资促进局认真落实省、市、区关于政务公开工作的要求，一是把信息公开作为开展招商引资、宣传营商环境、拓宽招商引资渠道、加强廉政建设的重要举措，不断强化领导，健全完善机制，加强监督；二是全面推进政策内容公开、产业动态公开、营商环境公开、重点项目公开和招商成果公开，以公开促产业、以公开促监督、以公开促效能，推动招商引资、项目推动的发展；三是开展多渠道信息公开，积极参与“网络问政”、“新闻发布会”、第一时间宣传高新、公开高新。</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本行政机关人大代表建议和政协提案办理结果公开情况：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济宁高新区投资促进局2022年未有人大代表建议和政协提案办理事项。</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left"/>
        <w:textAlignment w:val="auto"/>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本行政机关年度政务公开工作创新情况：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一是成功举办“济宁高新区重点项目推进情况”新闻发布会，向全市、区人民传达“打造产业发展新能级”、“打造对外开放新高地”、“项目入区标准”等重点信息。二是运用“民意5来听”等平台建设政务信息服务平台，听取广大社区居民提供招商引资方面的建议和要求。三是依托济宁高新招商发展集团有限公司微信公众号，传达高新区产业动态和营商环境。</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41DA9"/>
    <w:multiLevelType w:val="singleLevel"/>
    <w:tmpl w:val="99D41DA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4CF11C8B"/>
    <w:rsid w:val="23964B27"/>
    <w:rsid w:val="34060D06"/>
    <w:rsid w:val="3AED1D69"/>
    <w:rsid w:val="4CF11C8B"/>
    <w:rsid w:val="6D28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2708</Words>
  <Characters>2807</Characters>
  <Lines>0</Lines>
  <Paragraphs>0</Paragraphs>
  <TotalTime>0</TotalTime>
  <ScaleCrop>false</ScaleCrop>
  <LinksUpToDate>false</LinksUpToDate>
  <CharactersWithSpaces>2811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2023-02-03T09:26:00Z</dcterms:created>
  <dc:creator>……</dc:creator>
  <cp:lastModifiedBy>……</cp:lastModifiedBy>
  <dcterms:modified xsi:type="dcterms:W3CDTF">2023-02-07T08:13:40Z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6A89F912130E4FE9A03FBAB1B7FF3FE7</vt:lpwstr>
  </property>
</Properties>
</file>