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方正小标宋_GBK" w:hAnsi="方正小标宋_GBK" w:eastAsia="方正小标宋_GBK"/>
          <w:b w:val="0"/>
          <w:bCs w:val="0"/>
          <w:sz w:val="30"/>
        </w:rPr>
      </w:pPr>
      <w:bookmarkStart w:id="0" w:name="_Toc24724725"/>
      <w:r>
        <w:rPr>
          <w:rFonts w:hint="eastAsia" w:ascii="方正小标宋_GBK" w:hAnsi="方正小标宋_GBK" w:eastAsia="方正小标宋_GBK"/>
          <w:b w:val="0"/>
          <w:bCs w:val="0"/>
          <w:sz w:val="30"/>
        </w:rPr>
        <w:t>安全生产领域基层政务公开标准目录</w:t>
      </w:r>
      <w:bookmarkEnd w:id="0"/>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noWrap/>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noWrap/>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noWrap/>
            <w:vAlign w:val="center"/>
          </w:tcPr>
          <w:p>
            <w:pPr>
              <w:widowControl/>
              <w:jc w:val="center"/>
              <w:rPr>
                <w:rFonts w:ascii="仿宋_GB2312" w:hAnsi="Times New Roman" w:eastAsia="仿宋_GB2312"/>
                <w:color w:val="000000"/>
                <w:kern w:val="0"/>
                <w:sz w:val="18"/>
                <w:szCs w:val="18"/>
              </w:rPr>
            </w:pPr>
          </w:p>
        </w:tc>
        <w:tc>
          <w:tcPr>
            <w:tcW w:w="90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noWrap/>
            <w:vAlign w:val="center"/>
          </w:tcPr>
          <w:p>
            <w:pPr>
              <w:widowControl/>
              <w:jc w:val="left"/>
              <w:rPr>
                <w:rFonts w:ascii="黑体" w:hAnsi="宋体" w:eastAsia="黑体" w:cs="宋体"/>
                <w:color w:val="000000"/>
                <w:kern w:val="0"/>
                <w:sz w:val="22"/>
              </w:rPr>
            </w:pPr>
          </w:p>
        </w:tc>
        <w:tc>
          <w:tcPr>
            <w:tcW w:w="2520" w:type="dxa"/>
            <w:vMerge w:val="continue"/>
            <w:noWrap/>
            <w:vAlign w:val="center"/>
          </w:tcPr>
          <w:p>
            <w:pPr>
              <w:widowControl/>
              <w:jc w:val="left"/>
              <w:rPr>
                <w:rFonts w:ascii="黑体" w:hAnsi="宋体" w:eastAsia="黑体" w:cs="宋体"/>
                <w:color w:val="000000"/>
                <w:kern w:val="0"/>
                <w:sz w:val="22"/>
              </w:rPr>
            </w:pPr>
          </w:p>
        </w:tc>
        <w:tc>
          <w:tcPr>
            <w:tcW w:w="1800" w:type="dxa"/>
            <w:vMerge w:val="continue"/>
            <w:noWrap/>
            <w:vAlign w:val="center"/>
          </w:tcPr>
          <w:p>
            <w:pPr>
              <w:widowControl/>
              <w:jc w:val="left"/>
              <w:rPr>
                <w:rFonts w:ascii="黑体" w:hAnsi="宋体" w:eastAsia="黑体" w:cs="宋体"/>
                <w:color w:val="000000"/>
                <w:kern w:val="0"/>
                <w:sz w:val="22"/>
              </w:rPr>
            </w:pPr>
          </w:p>
        </w:tc>
        <w:tc>
          <w:tcPr>
            <w:tcW w:w="900" w:type="dxa"/>
            <w:vMerge w:val="continue"/>
            <w:noWrap/>
            <w:vAlign w:val="center"/>
          </w:tcPr>
          <w:p>
            <w:pPr>
              <w:widowControl/>
              <w:jc w:val="center"/>
              <w:rPr>
                <w:rFonts w:ascii="黑体" w:hAnsi="宋体" w:eastAsia="黑体" w:cs="宋体"/>
                <w:color w:val="000000"/>
                <w:kern w:val="0"/>
                <w:sz w:val="22"/>
              </w:rPr>
            </w:pPr>
          </w:p>
        </w:tc>
        <w:tc>
          <w:tcPr>
            <w:tcW w:w="1496" w:type="dxa"/>
            <w:vMerge w:val="continue"/>
            <w:noWrap/>
            <w:vAlign w:val="center"/>
          </w:tcPr>
          <w:p>
            <w:pPr>
              <w:widowControl/>
              <w:jc w:val="left"/>
              <w:rPr>
                <w:rFonts w:ascii="黑体" w:hAnsi="宋体" w:eastAsia="黑体" w:cs="宋体"/>
                <w:kern w:val="0"/>
                <w:sz w:val="22"/>
              </w:rPr>
            </w:pPr>
          </w:p>
        </w:tc>
        <w:tc>
          <w:tcPr>
            <w:tcW w:w="664"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ign w:val="center"/>
          </w:tcPr>
          <w:p>
            <w:pPr>
              <w:jc w:val="cente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vMerge w:val="restart"/>
            <w:noWrap/>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4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noWrap/>
            <w:vAlign w:val="center"/>
          </w:tcPr>
          <w:p>
            <w:pPr>
              <w:rPr>
                <w:rFonts w:ascii="仿宋_GB2312" w:hAnsi="宋体" w:eastAsia="仿宋_GB2312" w:cs="宋体"/>
                <w:color w:val="000000"/>
                <w:sz w:val="18"/>
                <w:szCs w:val="18"/>
              </w:rPr>
            </w:pPr>
          </w:p>
        </w:tc>
        <w:tc>
          <w:tcPr>
            <w:tcW w:w="108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ign w:val="center"/>
          </w:tcPr>
          <w:p>
            <w:pPr>
              <w:jc w:val="cente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vMerge w:val="continue"/>
            <w:noWrap/>
            <w:vAlign w:val="center"/>
          </w:tcPr>
          <w:p>
            <w:pPr>
              <w:spacing w:line="240" w:lineRule="exact"/>
              <w:jc w:val="left"/>
              <w:rPr>
                <w:rFonts w:ascii="仿宋_GB2312" w:eastAsia="仿宋_GB2312"/>
                <w:sz w:val="18"/>
                <w:szCs w:val="18"/>
              </w:rPr>
            </w:pP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noWrap/>
            <w:vAlign w:val="center"/>
          </w:tcPr>
          <w:p>
            <w:pPr>
              <w:rPr>
                <w:rFonts w:ascii="仿宋_GB2312" w:hAnsi="宋体" w:eastAsia="仿宋_GB2312" w:cs="宋体"/>
                <w:color w:val="000000"/>
                <w:sz w:val="18"/>
                <w:szCs w:val="18"/>
              </w:rPr>
            </w:pPr>
          </w:p>
        </w:tc>
        <w:tc>
          <w:tcPr>
            <w:tcW w:w="108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ign w:val="center"/>
          </w:tcPr>
          <w:p>
            <w:pPr>
              <w:jc w:val="cente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vMerge w:val="continue"/>
            <w:noWrap/>
            <w:vAlign w:val="center"/>
          </w:tcPr>
          <w:p>
            <w:pPr>
              <w:spacing w:line="240" w:lineRule="exact"/>
              <w:jc w:val="left"/>
              <w:rPr>
                <w:rFonts w:ascii="仿宋_GB2312" w:eastAsia="仿宋_GB2312"/>
                <w:sz w:val="18"/>
                <w:szCs w:val="18"/>
              </w:rPr>
            </w:pP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noWrap/>
            <w:vAlign w:val="center"/>
          </w:tcPr>
          <w:p>
            <w:pPr>
              <w:rPr>
                <w:rFonts w:ascii="仿宋_GB2312" w:hAnsi="宋体" w:eastAsia="仿宋_GB2312" w:cs="宋体"/>
                <w:color w:val="000000"/>
                <w:sz w:val="18"/>
                <w:szCs w:val="18"/>
              </w:rPr>
            </w:pPr>
          </w:p>
        </w:tc>
        <w:tc>
          <w:tcPr>
            <w:tcW w:w="108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ign w:val="center"/>
          </w:tcPr>
          <w:p>
            <w:pPr>
              <w:jc w:val="cente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vMerge w:val="continue"/>
            <w:noWrap/>
            <w:vAlign w:val="center"/>
          </w:tcPr>
          <w:p>
            <w:pPr>
              <w:spacing w:line="240" w:lineRule="exact"/>
              <w:jc w:val="left"/>
              <w:rPr>
                <w:rFonts w:ascii="仿宋_GB2312" w:eastAsia="仿宋_GB2312"/>
                <w:sz w:val="18"/>
                <w:szCs w:val="18"/>
              </w:rPr>
            </w:pP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continue"/>
            <w:noWrap/>
            <w:vAlign w:val="center"/>
          </w:tcPr>
          <w:p>
            <w:pPr>
              <w:rPr>
                <w:rFonts w:ascii="仿宋_GB2312" w:hAnsi="宋体" w:eastAsia="仿宋_GB2312" w:cs="宋体"/>
                <w:color w:val="000000"/>
                <w:sz w:val="18"/>
                <w:szCs w:val="18"/>
              </w:rPr>
            </w:pPr>
          </w:p>
        </w:tc>
        <w:tc>
          <w:tcPr>
            <w:tcW w:w="108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noWrap/>
            <w:vAlign w:val="center"/>
          </w:tcPr>
          <w:p>
            <w:pPr>
              <w:jc w:val="cente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noWrap/>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6</w:t>
            </w:r>
          </w:p>
        </w:tc>
        <w:tc>
          <w:tcPr>
            <w:tcW w:w="900" w:type="dxa"/>
            <w:vMerge w:val="restart"/>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noWrap/>
          </w:tcPr>
          <w:p>
            <w:r>
              <w:rPr>
                <w:rFonts w:hint="eastAsia" w:ascii="仿宋_GB2312" w:eastAsia="仿宋_GB2312"/>
                <w:bCs/>
                <w:color w:val="000000"/>
                <w:sz w:val="18"/>
                <w:szCs w:val="18"/>
              </w:rPr>
              <w:t>《政府信息公开条例》、《关于全面推进政务公开工作的意见》</w:t>
            </w:r>
          </w:p>
        </w:tc>
        <w:tc>
          <w:tcPr>
            <w:tcW w:w="180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noWrap/>
            <w:vAlign w:val="center"/>
          </w:tcPr>
          <w:p>
            <w:pP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noWrap/>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r>
              <w:rPr>
                <w:rFonts w:hint="eastAsia" w:ascii="仿宋_GB2312" w:eastAsia="仿宋_GB2312"/>
                <w:sz w:val="18"/>
                <w:szCs w:val="18"/>
              </w:rPr>
              <w:t xml:space="preserve">   ■广播电视   </w:t>
            </w:r>
          </w:p>
          <w:p>
            <w:pPr>
              <w:spacing w:line="240" w:lineRule="exact"/>
              <w:jc w:val="left"/>
              <w:rPr>
                <w:rFonts w:ascii="仿宋_GB2312" w:eastAsia="仿宋_GB2312"/>
                <w:sz w:val="18"/>
                <w:szCs w:val="18"/>
              </w:rPr>
            </w:pPr>
            <w:r>
              <w:rPr>
                <w:rFonts w:hint="eastAsia" w:ascii="仿宋_GB2312" w:eastAsia="仿宋_GB2312"/>
                <w:sz w:val="18"/>
                <w:szCs w:val="18"/>
              </w:rPr>
              <w:t>■纸质媒体</w:t>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4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noWrap/>
            <w:vAlign w:val="center"/>
          </w:tcPr>
          <w:p>
            <w:pPr>
              <w:rPr>
                <w:rFonts w:ascii="仿宋_GB2312" w:hAnsi="宋体" w:eastAsia="仿宋_GB2312" w:cs="宋体"/>
                <w:color w:val="000000"/>
                <w:sz w:val="18"/>
                <w:szCs w:val="18"/>
              </w:rPr>
            </w:pPr>
          </w:p>
        </w:tc>
        <w:tc>
          <w:tcPr>
            <w:tcW w:w="1080" w:type="dxa"/>
            <w:noWrap/>
            <w:vAlign w:val="center"/>
          </w:tcPr>
          <w:p>
            <w:pPr>
              <w:rPr>
                <w:rFonts w:ascii="仿宋_GB2312" w:hAnsi="宋体" w:eastAsia="仿宋_GB2312" w:cs="宋体"/>
                <w:bCs/>
                <w:sz w:val="18"/>
                <w:szCs w:val="18"/>
              </w:rPr>
            </w:pPr>
            <w:r>
              <w:rPr>
                <w:rFonts w:hint="eastAsia" w:ascii="仿宋_GB2312" w:eastAsia="仿宋_GB2312"/>
                <w:bCs/>
                <w:sz w:val="18"/>
                <w:szCs w:val="18"/>
              </w:rPr>
              <w:t>重要会议</w:t>
            </w:r>
          </w:p>
        </w:tc>
        <w:tc>
          <w:tcPr>
            <w:tcW w:w="25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2520" w:type="dxa"/>
            <w:noWrap/>
          </w:tcPr>
          <w:p>
            <w:r>
              <w:rPr>
                <w:rFonts w:hint="eastAsia" w:ascii="仿宋_GB2312" w:eastAsia="仿宋_GB2312"/>
                <w:bCs/>
                <w:color w:val="000000"/>
                <w:sz w:val="18"/>
                <w:szCs w:val="18"/>
              </w:rPr>
              <w:t>《政府信息公开条例》、《关于全面推进政务公开工作的意见》</w:t>
            </w:r>
          </w:p>
        </w:tc>
        <w:tc>
          <w:tcPr>
            <w:tcW w:w="1800" w:type="dxa"/>
            <w:noWrap/>
            <w:vAlign w:val="center"/>
          </w:tcPr>
          <w:p>
            <w:pPr>
              <w:rPr>
                <w:rFonts w:ascii="仿宋_GB2312" w:hAnsi="宋体" w:eastAsia="仿宋_GB2312" w:cs="宋体"/>
                <w:bCs/>
                <w:sz w:val="18"/>
                <w:szCs w:val="18"/>
              </w:rPr>
            </w:pPr>
            <w:r>
              <w:rPr>
                <w:rFonts w:hint="eastAsia" w:ascii="仿宋_GB2312" w:eastAsia="仿宋_GB2312"/>
                <w:bCs/>
                <w:sz w:val="18"/>
                <w:szCs w:val="18"/>
              </w:rPr>
              <w:t>提前一周发通知邀请</w:t>
            </w:r>
          </w:p>
        </w:tc>
        <w:tc>
          <w:tcPr>
            <w:tcW w:w="900" w:type="dxa"/>
            <w:noWrap/>
            <w:vAlign w:val="center"/>
          </w:tcPr>
          <w:p>
            <w:pP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noWrap/>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4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noWrap/>
            <w:vAlign w:val="center"/>
          </w:tcPr>
          <w:p>
            <w:pPr>
              <w:rPr>
                <w:rFonts w:ascii="仿宋_GB2312" w:hAnsi="宋体" w:eastAsia="仿宋_GB2312" w:cs="宋体"/>
                <w:color w:val="000000"/>
                <w:sz w:val="18"/>
                <w:szCs w:val="18"/>
              </w:rPr>
            </w:pPr>
          </w:p>
        </w:tc>
        <w:tc>
          <w:tcPr>
            <w:tcW w:w="108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520" w:type="dxa"/>
            <w:noWrap/>
          </w:tcPr>
          <w:p>
            <w:r>
              <w:rPr>
                <w:rFonts w:hint="eastAsia" w:ascii="仿宋_GB2312" w:eastAsia="仿宋_GB2312"/>
                <w:bCs/>
                <w:color w:val="000000"/>
                <w:sz w:val="18"/>
                <w:szCs w:val="18"/>
              </w:rPr>
              <w:t>《政府信息公开条例》、《关于全面推进政务公开工作的意见》</w:t>
            </w:r>
          </w:p>
        </w:tc>
        <w:tc>
          <w:tcPr>
            <w:tcW w:w="180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900" w:type="dxa"/>
            <w:noWrap/>
            <w:vAlign w:val="center"/>
          </w:tcPr>
          <w:p>
            <w:pP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noWrap/>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54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108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行政许可</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办理行政许可和其他对外管理服务事项的依据、条件、程序</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《政府信息公开条例》、《关于推进安全生产领域改革发展的意见》</w:t>
            </w:r>
          </w:p>
        </w:tc>
        <w:tc>
          <w:tcPr>
            <w:tcW w:w="180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ign w:val="center"/>
          </w:tcPr>
          <w:p>
            <w:pP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noWrap/>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restart"/>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108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行政处罚</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办理行政处罚的依据、条件、程序以及本级行政机关认为具有一定社会影响的行政处罚决定</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《政府信息公开条例》、《关于推进安全生产领域改革发展的意见》</w:t>
            </w:r>
          </w:p>
        </w:tc>
        <w:tc>
          <w:tcPr>
            <w:tcW w:w="180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ign w:val="center"/>
          </w:tcPr>
          <w:p>
            <w:pP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noWrap/>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noWrap/>
            <w:vAlign w:val="center"/>
          </w:tcPr>
          <w:p>
            <w:pPr>
              <w:rPr>
                <w:rFonts w:ascii="仿宋_GB2312" w:hAnsi="宋体" w:eastAsia="仿宋_GB2312" w:cs="宋体"/>
                <w:color w:val="000000"/>
                <w:sz w:val="18"/>
                <w:szCs w:val="18"/>
              </w:rPr>
            </w:pPr>
          </w:p>
        </w:tc>
        <w:tc>
          <w:tcPr>
            <w:tcW w:w="108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行政强制</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办理行政强制的依据、条件、程序</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《政府信息公开条例》、《突发事件应对法》、《突发事件应急预案管理办法》、《中共中央 国务院关于推进安全生产领域改革发展的意见》</w:t>
            </w:r>
          </w:p>
        </w:tc>
        <w:tc>
          <w:tcPr>
            <w:tcW w:w="180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ign w:val="center"/>
          </w:tcPr>
          <w:p>
            <w:pP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noWrap/>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4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《安全生产法》、《政府信息公开条例》、《中共中央 国务院关于推进安全生产领域改革发展的意见》</w:t>
            </w:r>
          </w:p>
        </w:tc>
        <w:tc>
          <w:tcPr>
            <w:tcW w:w="180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noWrap/>
            <w:vAlign w:val="center"/>
          </w:tcPr>
          <w:p>
            <w:pP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noWrap/>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Merge w:val="restart"/>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5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《政府信息公开条例》、《突发事件应对法》、《关于全面加强政务公开工作的意见》</w:t>
            </w:r>
          </w:p>
        </w:tc>
        <w:tc>
          <w:tcPr>
            <w:tcW w:w="180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noWrap/>
            <w:vAlign w:val="center"/>
          </w:tcPr>
          <w:p>
            <w:pP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noWrap/>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continue"/>
            <w:noWrap/>
            <w:vAlign w:val="center"/>
          </w:tcPr>
          <w:p>
            <w:pPr>
              <w:rPr>
                <w:rFonts w:ascii="仿宋_GB2312" w:hAnsi="宋体" w:eastAsia="仿宋_GB2312" w:cs="宋体"/>
                <w:color w:val="000000"/>
                <w:sz w:val="18"/>
                <w:szCs w:val="18"/>
              </w:rPr>
            </w:pPr>
          </w:p>
        </w:tc>
        <w:tc>
          <w:tcPr>
            <w:tcW w:w="108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黑名单管理</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列入或撤销纳入安全生产黑名单管理的企业信息，具体企业名称、证照编号、经营地址、负责人姓名等</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《政府信息公开条例》、《社会信用体系建设规划纲要（2014-2020年）》</w:t>
            </w:r>
          </w:p>
        </w:tc>
        <w:tc>
          <w:tcPr>
            <w:tcW w:w="180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ign w:val="center"/>
          </w:tcPr>
          <w:p>
            <w:pP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noWrap/>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r>
              <w:rPr>
                <w:rFonts w:hint="eastAsia" w:ascii="仿宋_GB2312" w:eastAsia="仿宋_GB2312"/>
                <w:sz w:val="18"/>
                <w:szCs w:val="18"/>
              </w:rPr>
              <w:br w:type="textWrapping"/>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restart"/>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事故通报</w:t>
            </w:r>
          </w:p>
        </w:tc>
        <w:tc>
          <w:tcPr>
            <w:tcW w:w="2520" w:type="dxa"/>
            <w:noWrap/>
            <w:vAlign w:val="center"/>
          </w:tcPr>
          <w:p>
            <w:pPr>
              <w:jc w:val="left"/>
              <w:rPr>
                <w:rFonts w:ascii="仿宋_GB2312" w:hAnsi="宋体" w:eastAsia="仿宋_GB2312" w:cs="宋体"/>
                <w:bCs/>
                <w:sz w:val="18"/>
                <w:szCs w:val="18"/>
              </w:rPr>
            </w:pPr>
            <w:r>
              <w:rPr>
                <w:rFonts w:hint="eastAsia" w:ascii="仿宋_GB2312" w:eastAsia="仿宋_GB2312"/>
                <w:bCs/>
                <w:sz w:val="18"/>
                <w:szCs w:val="18"/>
              </w:rPr>
              <w:t xml:space="preserve">1、事故信息:本部门接报查实的各类生产安全事故情况（事故发生时间、地点、伤亡情况、简要经过）                         2、典型事故通报:各类典型安全生产事故情况通报，主要包括发生时间、地点、起因、经过、结果、相关领导批示情况、预防性措施建议等内容 </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《安全生产法》、《政府信息公开条例》、《中共中央 国务院关于推进安全生产领域改革发展的意见》</w:t>
            </w:r>
          </w:p>
        </w:tc>
        <w:tc>
          <w:tcPr>
            <w:tcW w:w="180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900" w:type="dxa"/>
            <w:noWrap/>
            <w:vAlign w:val="center"/>
          </w:tcPr>
          <w:p>
            <w:pP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noWrap/>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4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vMerge w:val="continue"/>
            <w:noWrap/>
            <w:vAlign w:val="center"/>
          </w:tcPr>
          <w:p>
            <w:pPr>
              <w:rPr>
                <w:rFonts w:ascii="仿宋_GB2312" w:hAnsi="宋体" w:eastAsia="仿宋_GB2312" w:cs="宋体"/>
                <w:color w:val="000000"/>
                <w:sz w:val="18"/>
                <w:szCs w:val="18"/>
              </w:rPr>
            </w:pPr>
          </w:p>
        </w:tc>
        <w:tc>
          <w:tcPr>
            <w:tcW w:w="1080" w:type="dxa"/>
            <w:noWrap/>
            <w:vAlign w:val="center"/>
          </w:tcPr>
          <w:p>
            <w:pPr>
              <w:rPr>
                <w:rFonts w:ascii="仿宋_GB2312" w:hAnsi="宋体" w:eastAsia="仿宋_GB2312" w:cs="宋体"/>
                <w:bCs/>
                <w:sz w:val="18"/>
                <w:szCs w:val="18"/>
              </w:rPr>
            </w:pPr>
            <w:r>
              <w:rPr>
                <w:rFonts w:hint="eastAsia" w:ascii="仿宋_GB2312" w:eastAsia="仿宋_GB2312"/>
                <w:bCs/>
                <w:sz w:val="18"/>
                <w:szCs w:val="18"/>
              </w:rPr>
              <w:t>动态信息</w:t>
            </w:r>
          </w:p>
        </w:tc>
        <w:tc>
          <w:tcPr>
            <w:tcW w:w="25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noWrap/>
            <w:vAlign w:val="center"/>
          </w:tcPr>
          <w:p>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noWrap/>
            <w:vAlign w:val="center"/>
          </w:tcPr>
          <w:p>
            <w:pP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noWrap/>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trPr>
        <w:tc>
          <w:tcPr>
            <w:tcW w:w="54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25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900" w:type="dxa"/>
            <w:noWrap/>
            <w:vAlign w:val="center"/>
          </w:tcPr>
          <w:p>
            <w:pP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noWrap/>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r>
              <w:rPr>
                <w:rFonts w:hint="eastAsia" w:ascii="仿宋_GB2312" w:eastAsia="仿宋_GB2312"/>
                <w:sz w:val="18"/>
                <w:szCs w:val="18"/>
              </w:rPr>
              <w:t xml:space="preserve">  ■两微一端   ■广播电视 </w:t>
            </w:r>
          </w:p>
          <w:p>
            <w:pPr>
              <w:spacing w:line="240" w:lineRule="exact"/>
              <w:jc w:val="left"/>
              <w:rPr>
                <w:rFonts w:ascii="仿宋_GB2312" w:eastAsia="仿宋_GB2312"/>
                <w:sz w:val="18"/>
                <w:szCs w:val="18"/>
              </w:rPr>
            </w:pPr>
            <w:r>
              <w:rPr>
                <w:rFonts w:hint="eastAsia" w:ascii="仿宋_GB2312" w:eastAsia="仿宋_GB2312"/>
                <w:sz w:val="18"/>
                <w:szCs w:val="18"/>
              </w:rPr>
              <w:t>■入户/现场</w:t>
            </w:r>
            <w:r>
              <w:rPr>
                <w:rFonts w:hint="eastAsia" w:ascii="仿宋_GB2312" w:eastAsia="仿宋_GB2312"/>
                <w:sz w:val="18"/>
                <w:szCs w:val="18"/>
              </w:rPr>
              <w:br w:type="textWrapping"/>
            </w:r>
            <w:r>
              <w:rPr>
                <w:rFonts w:hint="eastAsia" w:ascii="仿宋_GB2312" w:eastAsia="仿宋_GB2312"/>
                <w:sz w:val="18"/>
                <w:szCs w:val="18"/>
              </w:rPr>
              <w:t>■社区/企事业单位、村公示栏（电子屏）</w:t>
            </w:r>
            <w:r>
              <w:rPr>
                <w:rFonts w:hint="eastAsia" w:ascii="仿宋_GB2312" w:eastAsia="仿宋_GB2312"/>
                <w:sz w:val="18"/>
                <w:szCs w:val="18"/>
              </w:rPr>
              <w:br w:type="textWrapping"/>
            </w:r>
            <w:r>
              <w:rPr>
                <w:rFonts w:hint="eastAsia" w:ascii="仿宋_GB2312" w:eastAsia="仿宋_GB2312"/>
                <w:sz w:val="18"/>
                <w:szCs w:val="18"/>
              </w:rPr>
              <w:t>■其他</w:t>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4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restart"/>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08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政务公开目录</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政务公开事项的索引、名称、内容概述、生成日期等</w:t>
            </w:r>
          </w:p>
        </w:tc>
        <w:tc>
          <w:tcPr>
            <w:tcW w:w="25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noWrap/>
            <w:vAlign w:val="center"/>
          </w:tcPr>
          <w:p>
            <w:pP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noWrap/>
            <w:vAlign w:val="center"/>
          </w:tcPr>
          <w:p>
            <w:pPr>
              <w:spacing w:line="240" w:lineRule="exact"/>
              <w:jc w:val="left"/>
              <w:rPr>
                <w:rFonts w:ascii="仿宋_GB2312"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p>
          <w:p>
            <w:pPr>
              <w:spacing w:line="240" w:lineRule="exact"/>
              <w:jc w:val="left"/>
              <w:rPr>
                <w:rFonts w:ascii="仿宋_GB2312" w:eastAsia="仿宋_GB2312"/>
                <w:sz w:val="18"/>
                <w:szCs w:val="18"/>
              </w:rPr>
            </w:pPr>
            <w:r>
              <w:rPr>
                <w:rFonts w:hint="eastAsia" w:ascii="仿宋_GB2312" w:eastAsia="仿宋_GB2312"/>
                <w:sz w:val="18"/>
                <w:szCs w:val="18"/>
              </w:rPr>
              <w:t>■政务服务中心</w:t>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54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vMerge w:val="continue"/>
            <w:noWrap/>
            <w:vAlign w:val="center"/>
          </w:tcPr>
          <w:p>
            <w:pPr>
              <w:rPr>
                <w:rFonts w:ascii="仿宋_GB2312" w:hAnsi="宋体" w:eastAsia="仿宋_GB2312" w:cs="宋体"/>
                <w:color w:val="000000"/>
                <w:sz w:val="18"/>
                <w:szCs w:val="18"/>
              </w:rPr>
            </w:pPr>
          </w:p>
        </w:tc>
        <w:tc>
          <w:tcPr>
            <w:tcW w:w="108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政务公开标准</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政府信息公开指南等流程性信息</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noWrap/>
            <w:vAlign w:val="center"/>
          </w:tcPr>
          <w:p>
            <w:pP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noWrap/>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p>
          <w:p>
            <w:pPr>
              <w:spacing w:line="240" w:lineRule="exact"/>
              <w:jc w:val="left"/>
              <w:rPr>
                <w:rFonts w:ascii="仿宋_GB2312" w:eastAsia="仿宋_GB2312"/>
                <w:sz w:val="18"/>
                <w:szCs w:val="18"/>
              </w:rPr>
            </w:pPr>
            <w:r>
              <w:rPr>
                <w:rFonts w:hint="eastAsia" w:ascii="仿宋_GB2312" w:eastAsia="仿宋_GB2312"/>
                <w:sz w:val="18"/>
                <w:szCs w:val="18"/>
              </w:rPr>
              <w:t>■政务服务中心</w:t>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20</w:t>
            </w:r>
          </w:p>
        </w:tc>
        <w:tc>
          <w:tcPr>
            <w:tcW w:w="900" w:type="dxa"/>
            <w:vMerge w:val="restart"/>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080" w:type="dxa"/>
            <w:noWrap/>
            <w:vAlign w:val="center"/>
          </w:tcPr>
          <w:p>
            <w:pPr>
              <w:rPr>
                <w:rFonts w:ascii="仿宋_GB2312" w:hAnsi="宋体" w:eastAsia="仿宋_GB2312" w:cs="宋体"/>
                <w:bCs/>
                <w:sz w:val="18"/>
                <w:szCs w:val="18"/>
              </w:rPr>
            </w:pPr>
            <w:r>
              <w:rPr>
                <w:rFonts w:hint="eastAsia" w:ascii="仿宋_GB2312" w:eastAsia="仿宋_GB2312"/>
                <w:bCs/>
                <w:sz w:val="18"/>
                <w:szCs w:val="18"/>
              </w:rPr>
              <w:t>权力清单及责任清单</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同级政府审批通过的行政执法主体信息和行政许可、行政处罚、行政强制、行政检查、行政确认、行政奖励及其他行政职权等行政执法职权职责清单</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noWrap/>
            <w:vAlign w:val="center"/>
          </w:tcPr>
          <w:p>
            <w:pPr>
              <w:rPr>
                <w:rFonts w:ascii="仿宋_GB2312" w:hAnsi="宋体" w:eastAsia="仿宋_GB2312" w:cs="宋体"/>
                <w:bCs/>
                <w:sz w:val="18"/>
                <w:szCs w:val="18"/>
              </w:rPr>
            </w:pPr>
            <w:r>
              <w:rPr>
                <w:rFonts w:hint="eastAsia" w:ascii="仿宋_GB2312" w:eastAsia="仿宋_GB2312"/>
                <w:bCs/>
                <w:sz w:val="18"/>
                <w:szCs w:val="18"/>
              </w:rPr>
              <w:t>信息形成或者变更20个工作日内，如有更新，及时公开</w:t>
            </w:r>
          </w:p>
        </w:tc>
        <w:tc>
          <w:tcPr>
            <w:tcW w:w="900" w:type="dxa"/>
            <w:noWrap/>
            <w:vAlign w:val="center"/>
          </w:tcPr>
          <w:p>
            <w:pP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noWrap/>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r>
              <w:rPr>
                <w:rFonts w:hint="eastAsia" w:ascii="仿宋_GB2312" w:eastAsia="仿宋_GB2312"/>
                <w:sz w:val="18"/>
                <w:szCs w:val="18"/>
              </w:rPr>
              <w:t xml:space="preserve">    ■政务服务中心</w:t>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w:t>
            </w:r>
          </w:p>
        </w:tc>
        <w:tc>
          <w:tcPr>
            <w:tcW w:w="900" w:type="dxa"/>
            <w:vMerge w:val="continue"/>
            <w:noWrap/>
            <w:vAlign w:val="center"/>
          </w:tcPr>
          <w:p>
            <w:pPr>
              <w:rPr>
                <w:rFonts w:ascii="仿宋_GB2312" w:hAnsi="宋体" w:eastAsia="仿宋_GB2312" w:cs="宋体"/>
                <w:color w:val="000000"/>
                <w:sz w:val="18"/>
                <w:szCs w:val="18"/>
              </w:rPr>
            </w:pPr>
          </w:p>
        </w:tc>
        <w:tc>
          <w:tcPr>
            <w:tcW w:w="1080" w:type="dxa"/>
            <w:noWrap/>
            <w:vAlign w:val="center"/>
          </w:tcPr>
          <w:p>
            <w:pPr>
              <w:rPr>
                <w:rFonts w:ascii="仿宋_GB2312" w:hAnsi="宋体" w:eastAsia="仿宋_GB2312" w:cs="宋体"/>
                <w:bCs/>
                <w:sz w:val="18"/>
                <w:szCs w:val="18"/>
              </w:rPr>
            </w:pPr>
            <w:r>
              <w:rPr>
                <w:rFonts w:hint="eastAsia" w:ascii="仿宋_GB2312" w:eastAsia="仿宋_GB2312"/>
                <w:bCs/>
                <w:sz w:val="18"/>
                <w:szCs w:val="18"/>
              </w:rPr>
              <w:t>主要业务办事指南</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主要业务工作的办事依据、程序、时限，办事时间、地点、部门、联系方式及相关办理结果</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noWrap/>
            <w:vAlign w:val="center"/>
          </w:tcPr>
          <w:p>
            <w:pPr>
              <w:rPr>
                <w:rFonts w:ascii="仿宋_GB2312" w:hAnsi="宋体" w:eastAsia="仿宋_GB2312" w:cs="宋体"/>
                <w:bCs/>
                <w:sz w:val="18"/>
                <w:szCs w:val="18"/>
              </w:rPr>
            </w:pPr>
            <w:r>
              <w:rPr>
                <w:rFonts w:hint="eastAsia" w:ascii="仿宋_GB2312" w:eastAsia="仿宋_GB2312"/>
                <w:bCs/>
                <w:sz w:val="18"/>
                <w:szCs w:val="18"/>
              </w:rPr>
              <w:t>信息形成或者变更之日起20个工作日内</w:t>
            </w:r>
          </w:p>
        </w:tc>
        <w:tc>
          <w:tcPr>
            <w:tcW w:w="900" w:type="dxa"/>
            <w:noWrap/>
            <w:vAlign w:val="center"/>
          </w:tcPr>
          <w:p>
            <w:pP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noWrap/>
            <w:vAlign w:val="center"/>
          </w:tcPr>
          <w:p>
            <w:pPr>
              <w:spacing w:line="240" w:lineRule="exact"/>
              <w:jc w:val="left"/>
              <w:rPr>
                <w:rFonts w:ascii="仿宋_GB2312"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p>
          <w:p>
            <w:pPr>
              <w:spacing w:line="240" w:lineRule="exact"/>
              <w:jc w:val="left"/>
              <w:rPr>
                <w:rFonts w:ascii="仿宋_GB2312" w:eastAsia="仿宋_GB2312"/>
                <w:sz w:val="18"/>
                <w:szCs w:val="18"/>
              </w:rPr>
            </w:pPr>
            <w:r>
              <w:rPr>
                <w:rFonts w:hint="eastAsia" w:ascii="仿宋_GB2312" w:eastAsia="仿宋_GB2312"/>
                <w:sz w:val="18"/>
                <w:szCs w:val="18"/>
              </w:rPr>
              <w:t>■政务服务中心</w:t>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w:t>
            </w:r>
          </w:p>
        </w:tc>
        <w:tc>
          <w:tcPr>
            <w:tcW w:w="900" w:type="dxa"/>
            <w:vMerge w:val="continue"/>
            <w:noWrap/>
            <w:vAlign w:val="center"/>
          </w:tcPr>
          <w:p>
            <w:pPr>
              <w:rPr>
                <w:rFonts w:ascii="仿宋_GB2312" w:hAnsi="宋体" w:eastAsia="仿宋_GB2312" w:cs="宋体"/>
                <w:color w:val="000000"/>
                <w:sz w:val="18"/>
                <w:szCs w:val="18"/>
              </w:rPr>
            </w:pPr>
          </w:p>
        </w:tc>
        <w:tc>
          <w:tcPr>
            <w:tcW w:w="1080" w:type="dxa"/>
            <w:noWrap/>
            <w:vAlign w:val="center"/>
          </w:tcPr>
          <w:p>
            <w:pPr>
              <w:rPr>
                <w:rFonts w:ascii="仿宋_GB2312" w:hAnsi="宋体" w:eastAsia="仿宋_GB2312" w:cs="宋体"/>
                <w:bCs/>
                <w:sz w:val="18"/>
                <w:szCs w:val="18"/>
              </w:rPr>
            </w:pPr>
            <w:r>
              <w:rPr>
                <w:rFonts w:hint="eastAsia" w:ascii="仿宋_GB2312" w:eastAsia="仿宋_GB2312"/>
                <w:bCs/>
                <w:sz w:val="18"/>
                <w:szCs w:val="18"/>
              </w:rPr>
              <w:t>年度报告</w:t>
            </w:r>
          </w:p>
        </w:tc>
        <w:tc>
          <w:tcPr>
            <w:tcW w:w="25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政府信息公开年度报告及相关统计报表</w:t>
            </w:r>
          </w:p>
        </w:tc>
        <w:tc>
          <w:tcPr>
            <w:tcW w:w="25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w:t>
            </w:r>
          </w:p>
        </w:tc>
        <w:tc>
          <w:tcPr>
            <w:tcW w:w="180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每年1月31日前</w:t>
            </w:r>
          </w:p>
        </w:tc>
        <w:tc>
          <w:tcPr>
            <w:tcW w:w="900" w:type="dxa"/>
            <w:noWrap/>
            <w:vAlign w:val="center"/>
          </w:tcPr>
          <w:p>
            <w:pP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noWrap/>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540" w:type="dxa"/>
            <w:noWrap/>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2</w:t>
            </w:r>
            <w:r>
              <w:rPr>
                <w:rFonts w:hint="eastAsia" w:ascii="仿宋_GB2312" w:hAnsi="宋体" w:eastAsia="仿宋_GB2312" w:cs="宋体"/>
                <w:color w:val="000000"/>
                <w:sz w:val="18"/>
                <w:szCs w:val="18"/>
                <w:lang w:val="en-US" w:eastAsia="zh-CN"/>
              </w:rPr>
              <w:t>3</w:t>
            </w:r>
          </w:p>
        </w:tc>
        <w:tc>
          <w:tcPr>
            <w:tcW w:w="900" w:type="dxa"/>
            <w:vMerge w:val="restart"/>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noWrap/>
            <w:vAlign w:val="center"/>
          </w:tcPr>
          <w:p>
            <w:pPr>
              <w:rPr>
                <w:rFonts w:ascii="仿宋_GB2312" w:hAnsi="宋体" w:eastAsia="仿宋_GB2312" w:cs="宋体"/>
                <w:bCs/>
                <w:sz w:val="18"/>
                <w:szCs w:val="18"/>
              </w:rPr>
            </w:pPr>
            <w:r>
              <w:rPr>
                <w:rFonts w:hint="eastAsia" w:ascii="仿宋_GB2312" w:eastAsia="仿宋_GB2312"/>
                <w:bCs/>
                <w:sz w:val="18"/>
                <w:szCs w:val="18"/>
              </w:rPr>
              <w:t>政府采购信息</w:t>
            </w:r>
          </w:p>
        </w:tc>
        <w:tc>
          <w:tcPr>
            <w:tcW w:w="25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《政府信息公开条例》、《国务院关于深化预算管理制度改革的决定》、中办、国办印发《关于进一步推进预算公开工作的意见》的通知</w:t>
            </w:r>
          </w:p>
        </w:tc>
        <w:tc>
          <w:tcPr>
            <w:tcW w:w="1800" w:type="dxa"/>
            <w:noWrap/>
            <w:vAlign w:val="center"/>
          </w:tcPr>
          <w:p>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noWrap/>
            <w:vAlign w:val="center"/>
          </w:tcPr>
          <w:p>
            <w:pP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noWrap/>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540" w:type="dxa"/>
            <w:noWrap/>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2</w:t>
            </w:r>
            <w:r>
              <w:rPr>
                <w:rFonts w:hint="eastAsia" w:ascii="仿宋_GB2312" w:hAnsi="宋体" w:eastAsia="仿宋_GB2312" w:cs="宋体"/>
                <w:color w:val="000000"/>
                <w:sz w:val="18"/>
                <w:szCs w:val="18"/>
                <w:lang w:val="en-US" w:eastAsia="zh-CN"/>
              </w:rPr>
              <w:t>4</w:t>
            </w:r>
          </w:p>
        </w:tc>
        <w:tc>
          <w:tcPr>
            <w:tcW w:w="900" w:type="dxa"/>
            <w:vMerge w:val="continue"/>
            <w:noWrap/>
            <w:vAlign w:val="center"/>
          </w:tcPr>
          <w:p>
            <w:pPr>
              <w:rPr>
                <w:rFonts w:ascii="仿宋_GB2312" w:hAnsi="宋体" w:eastAsia="仿宋_GB2312" w:cs="宋体"/>
                <w:color w:val="000000"/>
                <w:sz w:val="18"/>
                <w:szCs w:val="18"/>
              </w:rPr>
            </w:pPr>
          </w:p>
        </w:tc>
        <w:tc>
          <w:tcPr>
            <w:tcW w:w="1080" w:type="dxa"/>
            <w:noWrap/>
            <w:vAlign w:val="center"/>
          </w:tcPr>
          <w:p>
            <w:pPr>
              <w:rPr>
                <w:rFonts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noWrap/>
            <w:vAlign w:val="center"/>
          </w:tcPr>
          <w:p>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noWrap/>
            <w:vAlign w:val="center"/>
          </w:tcPr>
          <w:p>
            <w:pP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noWrap/>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2</w:t>
            </w:r>
            <w:r>
              <w:rPr>
                <w:rFonts w:hint="eastAsia" w:ascii="仿宋_GB2312" w:hAnsi="宋体" w:eastAsia="仿宋_GB2312" w:cs="宋体"/>
                <w:color w:val="000000"/>
                <w:sz w:val="18"/>
                <w:szCs w:val="18"/>
                <w:lang w:val="en-US" w:eastAsia="zh-CN"/>
              </w:rPr>
              <w:t>5</w:t>
            </w:r>
          </w:p>
        </w:tc>
        <w:tc>
          <w:tcPr>
            <w:tcW w:w="900" w:type="dxa"/>
            <w:vMerge w:val="restart"/>
            <w:noWrap/>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noWrap/>
            <w:vAlign w:val="center"/>
          </w:tcPr>
          <w:p>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noWrap/>
            <w:vAlign w:val="center"/>
          </w:tcPr>
          <w:p>
            <w:pP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noWrap/>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color w:val="C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26</w:t>
            </w:r>
            <w:bookmarkStart w:id="1" w:name="_GoBack"/>
            <w:bookmarkEnd w:id="1"/>
          </w:p>
        </w:tc>
        <w:tc>
          <w:tcPr>
            <w:tcW w:w="900" w:type="dxa"/>
            <w:vMerge w:val="continue"/>
            <w:noWrap/>
            <w:vAlign w:val="center"/>
          </w:tcPr>
          <w:p>
            <w:pPr>
              <w:rPr>
                <w:rFonts w:ascii="仿宋_GB2312" w:hAnsi="宋体" w:eastAsia="仿宋_GB2312" w:cs="宋体"/>
                <w:color w:val="000000"/>
                <w:sz w:val="18"/>
                <w:szCs w:val="18"/>
              </w:rPr>
            </w:pPr>
          </w:p>
        </w:tc>
        <w:tc>
          <w:tcPr>
            <w:tcW w:w="108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建议提案办理</w:t>
            </w:r>
          </w:p>
        </w:tc>
        <w:tc>
          <w:tcPr>
            <w:tcW w:w="2520" w:type="dxa"/>
            <w:noWrap/>
            <w:vAlign w:val="center"/>
          </w:tcPr>
          <w:p>
            <w:pPr>
              <w:rPr>
                <w:rFonts w:ascii="仿宋_GB2312" w:eastAsia="仿宋_GB2312"/>
                <w:bCs/>
                <w:color w:val="000000"/>
                <w:sz w:val="18"/>
                <w:szCs w:val="18"/>
              </w:rPr>
            </w:pPr>
            <w:r>
              <w:rPr>
                <w:rFonts w:hint="eastAsia" w:ascii="仿宋_GB2312" w:eastAsia="仿宋_GB2312"/>
                <w:bCs/>
                <w:color w:val="000000"/>
                <w:sz w:val="18"/>
                <w:szCs w:val="18"/>
              </w:rPr>
              <w:t xml:space="preserve">办理制度与推进情况            </w:t>
            </w:r>
          </w:p>
          <w:p>
            <w:pPr>
              <w:rPr>
                <w:rFonts w:ascii="仿宋_GB2312" w:eastAsia="仿宋_GB2312"/>
                <w:bCs/>
                <w:color w:val="000000"/>
                <w:sz w:val="18"/>
                <w:szCs w:val="18"/>
              </w:rPr>
            </w:pPr>
            <w:r>
              <w:rPr>
                <w:rFonts w:hint="eastAsia" w:ascii="仿宋_GB2312" w:eastAsia="仿宋_GB2312"/>
                <w:bCs/>
                <w:color w:val="000000"/>
                <w:sz w:val="18"/>
                <w:szCs w:val="18"/>
              </w:rPr>
              <w:t xml:space="preserve">人大代表建议办理              </w:t>
            </w:r>
          </w:p>
          <w:p>
            <w:pPr>
              <w:rPr>
                <w:rFonts w:ascii="仿宋_GB2312" w:hAnsi="宋体" w:eastAsia="仿宋_GB2312" w:cs="宋体"/>
                <w:bCs/>
                <w:color w:val="000000"/>
                <w:sz w:val="18"/>
                <w:szCs w:val="18"/>
              </w:rPr>
            </w:pPr>
            <w:r>
              <w:rPr>
                <w:rFonts w:hint="eastAsia" w:ascii="仿宋_GB2312" w:eastAsia="仿宋_GB2312"/>
                <w:bCs/>
                <w:color w:val="000000"/>
                <w:sz w:val="18"/>
                <w:szCs w:val="18"/>
              </w:rPr>
              <w:t>政协委员提案办理</w:t>
            </w:r>
          </w:p>
        </w:tc>
        <w:tc>
          <w:tcPr>
            <w:tcW w:w="25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《政府信息公开条例》、《国务院办公厅关于做好全国人大代表建议和全国政协委员提案办理结果公开工作的通知》</w:t>
            </w:r>
          </w:p>
        </w:tc>
        <w:tc>
          <w:tcPr>
            <w:tcW w:w="1800" w:type="dxa"/>
            <w:noWrap/>
            <w:vAlign w:val="center"/>
          </w:tcPr>
          <w:p>
            <w:pPr>
              <w:rPr>
                <w:rFonts w:ascii="仿宋_GB2312" w:hAnsi="宋体" w:eastAsia="仿宋_GB2312" w:cs="宋体"/>
                <w:bCs/>
                <w:sz w:val="18"/>
                <w:szCs w:val="18"/>
              </w:rPr>
            </w:pPr>
            <w:r>
              <w:rPr>
                <w:rFonts w:hint="eastAsia" w:ascii="仿宋_GB2312" w:eastAsia="仿宋_GB2312"/>
                <w:bCs/>
                <w:sz w:val="18"/>
                <w:szCs w:val="18"/>
              </w:rPr>
              <w:t>按照中央有关要求公开</w:t>
            </w:r>
          </w:p>
        </w:tc>
        <w:tc>
          <w:tcPr>
            <w:tcW w:w="900" w:type="dxa"/>
            <w:noWrap/>
            <w:vAlign w:val="center"/>
          </w:tcPr>
          <w:p>
            <w:pPr>
              <w:rPr>
                <w:rFonts w:ascii="仿宋_GB2312" w:hAnsi="宋体" w:eastAsia="仿宋_GB2312" w:cs="宋体"/>
                <w:bCs/>
                <w:sz w:val="18"/>
                <w:szCs w:val="18"/>
              </w:rPr>
            </w:pPr>
            <w:r>
              <w:rPr>
                <w:rFonts w:hint="eastAsia" w:ascii="仿宋_GB2312" w:hAnsi="宋体" w:eastAsia="仿宋_GB2312" w:cs="宋体"/>
                <w:bCs/>
                <w:sz w:val="18"/>
                <w:szCs w:val="18"/>
              </w:rPr>
              <w:t>高新区应急管理局</w:t>
            </w:r>
          </w:p>
        </w:tc>
        <w:tc>
          <w:tcPr>
            <w:tcW w:w="1496" w:type="dxa"/>
            <w:noWrap/>
            <w:vAlign w:val="center"/>
          </w:tcPr>
          <w:p>
            <w:pPr>
              <w:spacing w:line="240" w:lineRule="exact"/>
              <w:jc w:val="left"/>
              <w:rPr>
                <w:rFonts w:ascii="仿宋_GB2312" w:hAnsi="宋体" w:eastAsia="仿宋_GB2312" w:cs="宋体"/>
                <w:bCs/>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高新区管委会门户网站</w:t>
            </w:r>
          </w:p>
        </w:tc>
        <w:tc>
          <w:tcPr>
            <w:tcW w:w="664"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noWrap/>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noWrap/>
            <w:vAlign w:val="center"/>
          </w:tcPr>
          <w:p>
            <w:pPr>
              <w:rPr>
                <w:rFonts w:ascii="仿宋_GB2312" w:hAnsi="宋体" w:eastAsia="仿宋_GB2312" w:cs="宋体"/>
                <w:bCs/>
                <w:sz w:val="18"/>
                <w:szCs w:val="18"/>
              </w:rPr>
            </w:pPr>
          </w:p>
        </w:tc>
      </w:tr>
    </w:tbl>
    <w:p/>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p>
  <w:p>
    <w:pPr>
      <w:pStyle w:val="5"/>
      <w:jc w:val="center"/>
    </w:pPr>
    <w:r>
      <w:fldChar w:fldCharType="begin"/>
    </w:r>
    <w:r>
      <w:rPr>
        <w:rStyle w:val="9"/>
      </w:rPr>
      <w:instrText xml:space="preserve"> PAGE </w:instrText>
    </w:r>
    <w:r>
      <w:fldChar w:fldCharType="separate"/>
    </w:r>
    <w:r>
      <w:rPr>
        <w:rStyle w:val="9"/>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rPr>
        <w:rStyle w:val="9"/>
      </w:rPr>
      <w:instrText xml:space="preserve"> PAGE </w:instrText>
    </w:r>
    <w:r>
      <w:fldChar w:fldCharType="separate"/>
    </w:r>
    <w:r>
      <w:rPr>
        <w:rStyle w:val="9"/>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26151C"/>
    <w:rsid w:val="00230116"/>
    <w:rsid w:val="0023661C"/>
    <w:rsid w:val="00BC6D91"/>
    <w:rsid w:val="5C26151C"/>
    <w:rsid w:val="628415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560" w:lineRule="exact"/>
      <w:ind w:left="0" w:leftChars="0" w:firstLine="420" w:firstLineChars="200"/>
    </w:pPr>
    <w:rPr>
      <w:rFonts w:ascii="Times New Roman" w:hAnsi="Times New Roman" w:eastAsia="仿宋_GB2312"/>
      <w:sz w:val="32"/>
      <w:szCs w:val="20"/>
    </w:rPr>
  </w:style>
  <w:style w:type="paragraph" w:styleId="3">
    <w:name w:val="Body Text Indent"/>
    <w:basedOn w:val="1"/>
    <w:qFormat/>
    <w:uiPriority w:val="0"/>
    <w:pPr>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532</Words>
  <Characters>3035</Characters>
  <Lines>25</Lines>
  <Paragraphs>7</Paragraphs>
  <TotalTime>5</TotalTime>
  <ScaleCrop>false</ScaleCrop>
  <LinksUpToDate>false</LinksUpToDate>
  <CharactersWithSpaces>3560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2020-09-08T09:02:00Z</dcterms:created>
  <dc:creator>Administrator</dc:creator>
  <cp:lastModifiedBy>Administrator</cp:lastModifiedBy>
  <dcterms:modified xsi:type="dcterms:W3CDTF">2020-09-15T07:42:01Z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