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F49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bCs/>
          <w:i w:val="0"/>
          <w:iCs w:val="0"/>
          <w:caps w:val="0"/>
          <w:color w:val="000000" w:themeColor="text1"/>
          <w:spacing w:val="0"/>
          <w:sz w:val="44"/>
          <w:szCs w:val="44"/>
          <w14:textFill>
            <w14:solidFill>
              <w14:schemeClr w14:val="tx1"/>
            </w14:solidFill>
          </w14:textFill>
        </w:rPr>
        <w:t>济宁高新区综合行政执法局202</w:t>
      </w:r>
      <w:r>
        <w:rPr>
          <w:rFonts w:hint="eastAsia" w:ascii="方正小标宋简体" w:hAnsi="方正小标宋简体" w:eastAsia="方正小标宋简体" w:cs="方正小标宋简体"/>
          <w:b/>
          <w:bCs/>
          <w:i w:val="0"/>
          <w:iCs w:val="0"/>
          <w:caps w:val="0"/>
          <w:color w:val="000000" w:themeColor="text1"/>
          <w:spacing w:val="0"/>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b/>
          <w:bCs/>
          <w:i w:val="0"/>
          <w:iCs w:val="0"/>
          <w:caps w:val="0"/>
          <w:color w:val="000000" w:themeColor="text1"/>
          <w:spacing w:val="0"/>
          <w:sz w:val="44"/>
          <w:szCs w:val="44"/>
          <w14:textFill>
            <w14:solidFill>
              <w14:schemeClr w14:val="tx1"/>
            </w14:solidFill>
          </w14:textFill>
        </w:rPr>
        <w:t>年</w:t>
      </w:r>
      <w:r>
        <w:rPr>
          <w:rFonts w:hint="eastAsia" w:ascii="方正小标宋简体" w:hAnsi="方正小标宋简体" w:eastAsia="方正小标宋简体" w:cs="方正小标宋简体"/>
          <w:b/>
          <w:bCs/>
          <w:i w:val="0"/>
          <w:iCs w:val="0"/>
          <w:caps w:val="0"/>
          <w:color w:val="000000" w:themeColor="text1"/>
          <w:spacing w:val="0"/>
          <w:sz w:val="44"/>
          <w:szCs w:val="44"/>
          <w:lang w:val="en-US" w:eastAsia="zh-CN"/>
          <w14:textFill>
            <w14:solidFill>
              <w14:schemeClr w14:val="tx1"/>
            </w14:solidFill>
          </w14:textFill>
        </w:rPr>
        <w:t>政府</w:t>
      </w:r>
      <w:r>
        <w:rPr>
          <w:rFonts w:hint="eastAsia" w:ascii="方正小标宋简体" w:hAnsi="方正小标宋简体" w:eastAsia="方正小标宋简体" w:cs="方正小标宋简体"/>
          <w:b/>
          <w:bCs/>
          <w:i w:val="0"/>
          <w:iCs w:val="0"/>
          <w:caps w:val="0"/>
          <w:color w:val="000000" w:themeColor="text1"/>
          <w:spacing w:val="0"/>
          <w:sz w:val="44"/>
          <w:szCs w:val="44"/>
          <w14:textFill>
            <w14:solidFill>
              <w14:schemeClr w14:val="tx1"/>
            </w14:solidFill>
          </w14:textFill>
        </w:rPr>
        <w:t>信息公开工作年度报告</w:t>
      </w:r>
    </w:p>
    <w:p w14:paraId="2AC587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eastAsia="zh-CN" w:bidi="ar-SA"/>
        </w:rPr>
      </w:pPr>
    </w:p>
    <w:p w14:paraId="7CCCD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本报告由高新区综合行政执法局按照《中华人民共和国政府信息公开条例》（以下简称《条例》）和《中华人民共和国政府信息公开工作年度报告格式》（国办公开办函〔2021〕30号）要求编制。</w:t>
      </w:r>
    </w:p>
    <w:p w14:paraId="6FCC1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本报告内容包括总体情况、主动公开政府信息情况、收到和处理政府信息公开申请情况、政府信息公开行政复议和行政诉讼情况、存在的主要问题及改进情况、其他需要报告的事项等六部分内容。</w:t>
      </w:r>
    </w:p>
    <w:p w14:paraId="7F462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Fonts w:hint="eastAsia" w:ascii="方正仿宋简体" w:hAnsi="方正仿宋简体" w:eastAsia="方正仿宋简体" w:cs="方正仿宋简体"/>
          <w:i w:val="0"/>
          <w:iCs w:val="0"/>
          <w:caps w:val="0"/>
          <w:color w:val="333333"/>
          <w:spacing w:val="0"/>
          <w:sz w:val="32"/>
          <w:szCs w:val="32"/>
        </w:rPr>
      </w:pPr>
      <w:bookmarkStart w:id="0" w:name="_GoBack"/>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本报告所列数据的统计期限自202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年1月1日起至202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年12月31日止。本报告电子版可在“济宁国家高新技术产业开发区”管委会门户网站（http://www.jnhn.gov.cn）查阅或下载。</w:t>
      </w:r>
      <w:bookmarkEnd w:id="0"/>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如对本报告有疑问，请与</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济宁</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高新区综合行政执法局联系（地址：济宁高新区海川路9号T3</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-3</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，联系电话：0537-</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3255301</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w:t>
      </w:r>
    </w:p>
    <w:p w14:paraId="7DBF45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黑体" w:hAnsi="黑体" w:eastAsia="黑体" w:cs="黑体"/>
          <w:i w:val="0"/>
          <w:iCs w:val="0"/>
          <w:caps w:val="0"/>
          <w:color w:val="333333"/>
          <w:spacing w:val="0"/>
          <w:sz w:val="32"/>
          <w:szCs w:val="32"/>
        </w:rPr>
      </w:pPr>
      <w:r>
        <w:rPr>
          <w:rStyle w:val="5"/>
          <w:rFonts w:hint="eastAsia" w:ascii="黑体" w:hAnsi="黑体" w:eastAsia="黑体" w:cs="黑体"/>
          <w:i w:val="0"/>
          <w:iCs w:val="0"/>
          <w:caps w:val="0"/>
          <w:color w:val="333333"/>
          <w:spacing w:val="0"/>
          <w:sz w:val="32"/>
          <w:szCs w:val="32"/>
        </w:rPr>
        <w:t>一、总体情况</w:t>
      </w:r>
    </w:p>
    <w:p w14:paraId="08B09A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auto"/>
          <w:spacing w:val="0"/>
          <w:kern w:val="2"/>
          <w:sz w:val="32"/>
          <w:szCs w:val="32"/>
          <w:lang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综合行政执法局</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深入贯彻习近平新时代中国特色社会主义思想，紧扣全区</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政务公开</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工作安排，秉持以人民为中心的发展思想，</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统筹推进政务信息公开工作，聚焦城市管理和综合执法中心工作，遵循公开透明的基本原则，切实保障广大群众的知情权、参与权、表达权和监督权。</w:t>
      </w:r>
    </w:p>
    <w:p w14:paraId="52E21EC1">
      <w:pPr>
        <w:numPr>
          <w:ilvl w:val="0"/>
          <w:numId w:val="0"/>
        </w:numPr>
        <w:ind w:firstLine="643" w:firstLineChars="200"/>
        <w:rPr>
          <w:rStyle w:val="5"/>
          <w:rFonts w:hint="eastAsia" w:ascii="方正楷体简体" w:hAnsi="方正楷体简体" w:eastAsia="方正楷体简体" w:cs="方正楷体简体"/>
          <w:b/>
          <w:bCs w:val="0"/>
          <w:i w:val="0"/>
          <w:iCs w:val="0"/>
          <w:caps w:val="0"/>
          <w:color w:val="auto"/>
          <w:spacing w:val="0"/>
          <w:sz w:val="32"/>
          <w:szCs w:val="32"/>
          <w:lang w:eastAsia="zh-CN"/>
        </w:rPr>
      </w:pPr>
      <w:r>
        <w:rPr>
          <w:rStyle w:val="5"/>
          <w:rFonts w:hint="eastAsia" w:ascii="方正楷体简体" w:hAnsi="方正楷体简体" w:eastAsia="方正楷体简体" w:cs="方正楷体简体"/>
          <w:b/>
          <w:bCs w:val="0"/>
          <w:i w:val="0"/>
          <w:iCs w:val="0"/>
          <w:caps w:val="0"/>
          <w:color w:val="auto"/>
          <w:spacing w:val="0"/>
          <w:sz w:val="32"/>
          <w:szCs w:val="32"/>
          <w:lang w:eastAsia="zh-CN"/>
        </w:rPr>
        <w:t>（一）主动公开情况</w:t>
      </w:r>
    </w:p>
    <w:p w14:paraId="05716C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30"/>
        <w:jc w:val="both"/>
        <w:rPr>
          <w:rStyle w:val="5"/>
          <w:rFonts w:hint="eastAsia" w:ascii="方正仿宋简体" w:hAnsi="方正仿宋简体" w:eastAsia="方正仿宋简体" w:cs="方正仿宋简体"/>
          <w:b/>
          <w:bCs w:val="0"/>
          <w:i w:val="0"/>
          <w:iCs w:val="0"/>
          <w:caps w:val="0"/>
          <w:color w:val="FF0000"/>
          <w:spacing w:val="0"/>
          <w:kern w:val="2"/>
          <w:sz w:val="32"/>
          <w:szCs w:val="32"/>
          <w:lang w:eastAsia="zh-CN" w:bidi="ar-SA"/>
        </w:rPr>
      </w:pPr>
      <w:r>
        <w:drawing>
          <wp:anchor distT="0" distB="0" distL="114300" distR="114300" simplePos="0" relativeHeight="251659264" behindDoc="0" locked="0" layoutInCell="1" allowOverlap="1">
            <wp:simplePos x="0" y="0"/>
            <wp:positionH relativeFrom="column">
              <wp:posOffset>232410</wp:posOffset>
            </wp:positionH>
            <wp:positionV relativeFrom="paragraph">
              <wp:posOffset>2483485</wp:posOffset>
            </wp:positionV>
            <wp:extent cx="4838700" cy="2743200"/>
            <wp:effectExtent l="0" t="0" r="0"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838700" cy="2743200"/>
                    </a:xfrm>
                    <a:prstGeom prst="rect">
                      <a:avLst/>
                    </a:prstGeom>
                    <a:noFill/>
                    <a:ln>
                      <a:noFill/>
                    </a:ln>
                  </pic:spPr>
                </pic:pic>
              </a:graphicData>
            </a:graphic>
          </wp:anchor>
        </w:drawing>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202</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4</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年济宁高新区综合行政执法局在济宁高新区管委会门户网站主动</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发布</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会议公开、</w:t>
      </w:r>
      <w:r>
        <w:rPr>
          <w:rStyle w:val="5"/>
          <w:rFonts w:hint="eastAsia" w:ascii="方正仿宋简体" w:hAnsi="方正仿宋简体" w:eastAsia="方正仿宋简体" w:cs="方正仿宋简体"/>
          <w:b/>
          <w:bCs w:val="0"/>
          <w:i w:val="0"/>
          <w:iCs w:val="0"/>
          <w:caps w:val="0"/>
          <w:color w:val="auto"/>
          <w:spacing w:val="0"/>
          <w:kern w:val="2"/>
          <w:sz w:val="32"/>
          <w:szCs w:val="32"/>
          <w:lang w:eastAsia="zh-CN" w:bidi="ar-SA"/>
        </w:rPr>
        <w:t>应急管理、公示公告</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和重点领域信息公开等各类信息</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22</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条。在各级各类媒体上刊播新闻报道25篇，其中国家级、省级媒体刊发新闻报道8篇，市级媒体刊发2篇，区级媒体刊发15篇，全面反映我区城市管理工作做法和动态。</w:t>
      </w:r>
    </w:p>
    <w:p w14:paraId="439257C4">
      <w:pPr>
        <w:numPr>
          <w:ilvl w:val="0"/>
          <w:numId w:val="0"/>
        </w:numPr>
        <w:ind w:firstLine="643" w:firstLineChars="200"/>
        <w:rPr>
          <w:rStyle w:val="5"/>
          <w:rFonts w:hint="eastAsia" w:ascii="方正楷体简体" w:hAnsi="方正楷体简体" w:eastAsia="方正楷体简体" w:cs="方正楷体简体"/>
          <w:b/>
          <w:bCs w:val="0"/>
          <w:i w:val="0"/>
          <w:iCs w:val="0"/>
          <w:caps w:val="0"/>
          <w:color w:val="auto"/>
          <w:spacing w:val="0"/>
          <w:sz w:val="32"/>
          <w:szCs w:val="32"/>
          <w:lang w:eastAsia="zh-CN"/>
        </w:rPr>
      </w:pPr>
      <w:r>
        <w:rPr>
          <w:rStyle w:val="5"/>
          <w:rFonts w:hint="eastAsia" w:ascii="方正楷体简体" w:hAnsi="方正楷体简体" w:eastAsia="方正楷体简体" w:cs="方正楷体简体"/>
          <w:b/>
          <w:bCs w:val="0"/>
          <w:i w:val="0"/>
          <w:iCs w:val="0"/>
          <w:caps w:val="0"/>
          <w:color w:val="auto"/>
          <w:spacing w:val="0"/>
          <w:sz w:val="32"/>
          <w:szCs w:val="32"/>
          <w:lang w:eastAsia="zh-CN"/>
        </w:rPr>
        <w:t>（二）依申请公开情况</w:t>
      </w:r>
    </w:p>
    <w:p w14:paraId="294EFB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t>按照政府信息公开条例，进一步规范答复内容，准确做好予以公开、不予公开、本机关不掌握相关政府信息等情况回复并做好解释说明工作，依法保障公民、法人和其他组织获取政府信息的权利。2024年我局收到两件依申请公开信件，已在规定时间内作出答复，无依申请信件收费情况。</w:t>
      </w:r>
    </w:p>
    <w:p w14:paraId="2BB966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Style w:val="5"/>
          <w:rFonts w:hint="eastAsia" w:ascii="方正仿宋简体" w:hAnsi="方正仿宋简体" w:eastAsia="方正仿宋简体" w:cs="方正仿宋简体"/>
          <w:bCs w:val="0"/>
          <w:i w:val="0"/>
          <w:iCs w:val="0"/>
          <w:caps w:val="0"/>
          <w:color w:val="auto"/>
          <w:spacing w:val="0"/>
          <w:kern w:val="2"/>
          <w:sz w:val="32"/>
          <w:szCs w:val="32"/>
          <w:lang w:val="en-US" w:eastAsia="zh-CN" w:bidi="ar-SA"/>
        </w:rPr>
      </w:pPr>
    </w:p>
    <w:p w14:paraId="56A67D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p>
    <w:p w14:paraId="705513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480" w:firstLineChars="200"/>
        <w:jc w:val="left"/>
        <w:textAlignment w:val="auto"/>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r>
        <w:drawing>
          <wp:anchor distT="0" distB="0" distL="114300" distR="114300" simplePos="0" relativeHeight="251660288" behindDoc="0" locked="0" layoutInCell="1" allowOverlap="1">
            <wp:simplePos x="0" y="0"/>
            <wp:positionH relativeFrom="column">
              <wp:posOffset>496570</wp:posOffset>
            </wp:positionH>
            <wp:positionV relativeFrom="paragraph">
              <wp:posOffset>8890</wp:posOffset>
            </wp:positionV>
            <wp:extent cx="3905250" cy="2439670"/>
            <wp:effectExtent l="0" t="0" r="0" b="1778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5"/>
                    <a:stretch>
                      <a:fillRect/>
                    </a:stretch>
                  </pic:blipFill>
                  <pic:spPr>
                    <a:xfrm>
                      <a:off x="0" y="0"/>
                      <a:ext cx="3905250" cy="2439670"/>
                    </a:xfrm>
                    <a:prstGeom prst="rect">
                      <a:avLst/>
                    </a:prstGeom>
                    <a:noFill/>
                    <a:ln>
                      <a:noFill/>
                    </a:ln>
                  </pic:spPr>
                </pic:pic>
              </a:graphicData>
            </a:graphic>
          </wp:anchor>
        </w:drawing>
      </w:r>
    </w:p>
    <w:p w14:paraId="7D7FE8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p>
    <w:p w14:paraId="10EE1AE6">
      <w:pPr>
        <w:tabs>
          <w:tab w:val="left" w:pos="651"/>
        </w:tabs>
        <w:spacing w:line="590" w:lineRule="exact"/>
        <w:ind w:right="-105" w:rightChars="-50"/>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pPr>
    </w:p>
    <w:p w14:paraId="60D626AC">
      <w:pPr>
        <w:tabs>
          <w:tab w:val="left" w:pos="651"/>
        </w:tabs>
        <w:spacing w:line="590" w:lineRule="exact"/>
        <w:ind w:right="-105" w:rightChars="-50"/>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pPr>
    </w:p>
    <w:p w14:paraId="57F30BA4">
      <w:pPr>
        <w:tabs>
          <w:tab w:val="left" w:pos="651"/>
        </w:tabs>
        <w:spacing w:line="590" w:lineRule="exact"/>
        <w:ind w:right="-105" w:rightChars="-50"/>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pPr>
    </w:p>
    <w:p w14:paraId="3815C3F6">
      <w:pPr>
        <w:tabs>
          <w:tab w:val="left" w:pos="651"/>
        </w:tabs>
        <w:spacing w:line="590" w:lineRule="exact"/>
        <w:ind w:right="-105" w:rightChars="-50"/>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pPr>
    </w:p>
    <w:p w14:paraId="3CAE73AA">
      <w:pPr>
        <w:tabs>
          <w:tab w:val="left" w:pos="651"/>
        </w:tabs>
        <w:spacing w:line="590" w:lineRule="exact"/>
        <w:ind w:right="-105" w:rightChars="-50"/>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pPr>
    </w:p>
    <w:p w14:paraId="22894496">
      <w:pPr>
        <w:numPr>
          <w:ilvl w:val="0"/>
          <w:numId w:val="0"/>
        </w:numPr>
        <w:ind w:firstLine="643" w:firstLineChars="200"/>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r>
        <w:rPr>
          <w:rStyle w:val="5"/>
          <w:rFonts w:hint="eastAsia" w:ascii="方正楷体简体" w:hAnsi="方正楷体简体" w:eastAsia="方正楷体简体" w:cs="方正楷体简体"/>
          <w:b/>
          <w:bCs w:val="0"/>
          <w:i w:val="0"/>
          <w:iCs w:val="0"/>
          <w:caps w:val="0"/>
          <w:color w:val="auto"/>
          <w:spacing w:val="0"/>
          <w:sz w:val="32"/>
          <w:szCs w:val="32"/>
          <w:lang w:eastAsia="zh-CN"/>
        </w:rPr>
        <w:t>（三）政府信息管理情况</w:t>
      </w:r>
    </w:p>
    <w:p w14:paraId="6A2EFE71">
      <w:pPr>
        <w:ind w:firstLine="643" w:firstLineChars="200"/>
        <w:rPr>
          <w:rStyle w:val="5"/>
          <w:rFonts w:hint="eastAsia" w:ascii="方正仿宋简体" w:hAnsi="方正仿宋简体" w:eastAsia="方正仿宋简体" w:cs="方正仿宋简体"/>
          <w:b/>
          <w:bCs w:val="0"/>
          <w:i w:val="0"/>
          <w:iCs w:val="0"/>
          <w:caps w:val="0"/>
          <w:color w:val="auto"/>
          <w:spacing w:val="0"/>
          <w:kern w:val="2"/>
          <w:sz w:val="32"/>
          <w:szCs w:val="32"/>
          <w:lang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强化组织领导，严格落实责任。切实加强对政务信息公开工作的领导，不断建立健全政务信息公开制度，细化局机关各部门责任，明确专人负责信息公开日常工作，严格落实保密审查工作要求及信息公开多级审核制度，形成横向广泛参与、纵向分级负责的信息网络，不断提升政府信息公开工作的能力、质量和效果。</w:t>
      </w:r>
    </w:p>
    <w:p w14:paraId="35CB0E62">
      <w:pPr>
        <w:numPr>
          <w:ilvl w:val="0"/>
          <w:numId w:val="0"/>
        </w:numPr>
        <w:ind w:firstLine="643" w:firstLineChars="200"/>
        <w:rPr>
          <w:rStyle w:val="5"/>
          <w:rFonts w:hint="eastAsia" w:ascii="方正楷体简体" w:hAnsi="方正楷体简体" w:eastAsia="方正楷体简体" w:cs="方正楷体简体"/>
          <w:b/>
          <w:bCs w:val="0"/>
          <w:i w:val="0"/>
          <w:iCs w:val="0"/>
          <w:caps w:val="0"/>
          <w:color w:val="auto"/>
          <w:spacing w:val="0"/>
          <w:sz w:val="32"/>
          <w:szCs w:val="32"/>
          <w:lang w:eastAsia="zh-CN"/>
        </w:rPr>
      </w:pPr>
      <w:r>
        <w:rPr>
          <w:rStyle w:val="5"/>
          <w:rFonts w:hint="eastAsia" w:ascii="方正楷体简体" w:hAnsi="方正楷体简体" w:eastAsia="方正楷体简体" w:cs="方正楷体简体"/>
          <w:b/>
          <w:bCs w:val="0"/>
          <w:i w:val="0"/>
          <w:iCs w:val="0"/>
          <w:caps w:val="0"/>
          <w:color w:val="auto"/>
          <w:spacing w:val="0"/>
          <w:sz w:val="32"/>
          <w:szCs w:val="32"/>
          <w:lang w:eastAsia="zh-CN"/>
        </w:rPr>
        <w:t>（四）政府信息公开平台建设情况</w:t>
      </w:r>
    </w:p>
    <w:p w14:paraId="21D2AEE9">
      <w:pPr>
        <w:ind w:firstLine="643" w:firstLineChars="200"/>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综合行政执法局通过管委会门户网站、政务新媒体等多种渠道，实现了政务信息的全面公开和及时更新，呈现出多元化、高效化的特点。此外，综合行政执法局还不断优化平台建设和运行管理，完善信息发布审核制度，确保信息的准确性和权威性。</w:t>
      </w:r>
    </w:p>
    <w:p w14:paraId="02654385">
      <w:pPr>
        <w:numPr>
          <w:ilvl w:val="0"/>
          <w:numId w:val="0"/>
        </w:numPr>
        <w:ind w:firstLine="643" w:firstLineChars="200"/>
        <w:rPr>
          <w:rStyle w:val="5"/>
          <w:rFonts w:hint="eastAsia" w:ascii="方正楷体简体" w:hAnsi="方正楷体简体" w:eastAsia="方正楷体简体" w:cs="方正楷体简体"/>
          <w:b/>
          <w:bCs w:val="0"/>
          <w:i w:val="0"/>
          <w:iCs w:val="0"/>
          <w:caps w:val="0"/>
          <w:color w:val="auto"/>
          <w:spacing w:val="0"/>
          <w:sz w:val="32"/>
          <w:szCs w:val="32"/>
          <w:lang w:eastAsia="zh-CN"/>
        </w:rPr>
      </w:pPr>
      <w:r>
        <w:rPr>
          <w:rStyle w:val="5"/>
          <w:rFonts w:hint="eastAsia" w:ascii="方正楷体简体" w:hAnsi="方正楷体简体" w:eastAsia="方正楷体简体" w:cs="方正楷体简体"/>
          <w:b/>
          <w:bCs w:val="0"/>
          <w:i w:val="0"/>
          <w:iCs w:val="0"/>
          <w:caps w:val="0"/>
          <w:color w:val="auto"/>
          <w:spacing w:val="0"/>
          <w:sz w:val="32"/>
          <w:szCs w:val="32"/>
          <w:lang w:eastAsia="zh-CN"/>
        </w:rPr>
        <w:t>（五）监督保障情况</w:t>
      </w:r>
    </w:p>
    <w:p w14:paraId="27AF7AF3">
      <w:pPr>
        <w:ind w:firstLine="643" w:firstLineChars="200"/>
        <w:rPr>
          <w:rStyle w:val="5"/>
          <w:rFonts w:hint="default" w:ascii="方正仿宋简体" w:hAnsi="方正仿宋简体" w:eastAsia="方正仿宋简体" w:cs="方正仿宋简体"/>
          <w:b/>
          <w:bCs w:val="0"/>
          <w:i w:val="0"/>
          <w:iCs w:val="0"/>
          <w:caps w:val="0"/>
          <w:color w:val="auto"/>
          <w:spacing w:val="0"/>
          <w:kern w:val="2"/>
          <w:sz w:val="32"/>
          <w:szCs w:val="32"/>
          <w:lang w:val="en-US" w:bidi="ar-SA"/>
        </w:rPr>
      </w:pP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完善监督保障机制</w:t>
      </w:r>
      <w:r>
        <w:rPr>
          <w:rStyle w:val="5"/>
          <w:rFonts w:hint="eastAsia" w:ascii="方正仿宋简体" w:hAnsi="方正仿宋简体" w:eastAsia="方正仿宋简体" w:cs="方正仿宋简体"/>
          <w:b/>
          <w:bCs w:val="0"/>
          <w:i w:val="0"/>
          <w:iCs w:val="0"/>
          <w:caps w:val="0"/>
          <w:color w:val="auto"/>
          <w:spacing w:val="0"/>
          <w:kern w:val="2"/>
          <w:sz w:val="32"/>
          <w:szCs w:val="32"/>
          <w:lang w:eastAsia="zh-CN" w:bidi="ar-SA"/>
        </w:rPr>
        <w:t>，</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进一步健全信息公开工作的监督与保障措施，坚决排查并排除各类问题隐患。同时，深入研究信息公开工作中出现的共性问题，找准症结所在，明确责任分工，确保信息公开工作有专人负责、有专人管理。全力推进信息公开工作的制度化、规范化建设，为公众提供更加优质、高效、透明的政务信息服务。</w:t>
      </w:r>
    </w:p>
    <w:p w14:paraId="7CB2CB2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jc w:val="left"/>
        <w:textAlignment w:val="auto"/>
        <w:rPr>
          <w:rStyle w:val="5"/>
          <w:rFonts w:hint="eastAsia" w:ascii="黑体" w:hAnsi="黑体" w:eastAsia="黑体" w:cs="黑体"/>
          <w:i w:val="0"/>
          <w:iCs w:val="0"/>
          <w:caps w:val="0"/>
          <w:color w:val="333333"/>
          <w:spacing w:val="0"/>
          <w:sz w:val="32"/>
          <w:szCs w:val="32"/>
        </w:rPr>
      </w:pPr>
      <w:r>
        <w:rPr>
          <w:rStyle w:val="5"/>
          <w:rFonts w:hint="eastAsia" w:ascii="黑体" w:hAnsi="黑体" w:eastAsia="黑体" w:cs="黑体"/>
          <w:i w:val="0"/>
          <w:iCs w:val="0"/>
          <w:caps w:val="0"/>
          <w:color w:val="333333"/>
          <w:spacing w:val="0"/>
          <w:sz w:val="32"/>
          <w:szCs w:val="32"/>
          <w:lang w:val="en-US" w:eastAsia="zh-CN"/>
        </w:rPr>
        <w:t>二、</w:t>
      </w:r>
      <w:r>
        <w:rPr>
          <w:rStyle w:val="5"/>
          <w:rFonts w:hint="eastAsia" w:ascii="黑体" w:hAnsi="黑体" w:eastAsia="黑体" w:cs="黑体"/>
          <w:i w:val="0"/>
          <w:iCs w:val="0"/>
          <w:caps w:val="0"/>
          <w:color w:val="333333"/>
          <w:spacing w:val="0"/>
          <w:sz w:val="32"/>
          <w:szCs w:val="32"/>
        </w:rPr>
        <w:t>主动公开政府信息情况</w:t>
      </w:r>
    </w:p>
    <w:tbl>
      <w:tblPr>
        <w:tblStyle w:val="3"/>
        <w:tblW w:w="5000" w:type="pct"/>
        <w:tblInd w:w="0" w:type="dxa"/>
        <w:tblLayout w:type="autofit"/>
        <w:tblCellMar>
          <w:top w:w="0" w:type="dxa"/>
          <w:left w:w="108" w:type="dxa"/>
          <w:bottom w:w="0" w:type="dxa"/>
          <w:right w:w="108" w:type="dxa"/>
        </w:tblCellMar>
      </w:tblPr>
      <w:tblGrid>
        <w:gridCol w:w="2130"/>
        <w:gridCol w:w="2130"/>
        <w:gridCol w:w="2131"/>
        <w:gridCol w:w="2131"/>
      </w:tblGrid>
      <w:tr w14:paraId="14D35FFA">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6B931D4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08FA295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589ACD0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14:paraId="646CB12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14:paraId="45FBAF3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14:paraId="066A4E2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2AB9926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319A819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noWrap w:val="0"/>
            <w:vAlign w:val="center"/>
          </w:tcPr>
          <w:p w14:paraId="16B168ED">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306501B9">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1F98C6AA">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5CD64BBC">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B6CCCF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14:paraId="29D875FB">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5956E41E">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4B971914">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3662843B">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59B885C">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7E657401">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77CEB4D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124E8E0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218ED6DD">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22DC54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14:paraId="559B5880">
            <w:pPr>
              <w:widowControl/>
              <w:jc w:val="center"/>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26</w:t>
            </w:r>
          </w:p>
        </w:tc>
      </w:tr>
      <w:tr w14:paraId="28DF90C5">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51801CB7">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77D02E0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70D163A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1C1BE5B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08D1F6A6">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AB3887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14:paraId="1FBA9712">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239</w:t>
            </w:r>
          </w:p>
        </w:tc>
      </w:tr>
      <w:tr w14:paraId="135BDBE6">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5BBA523">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14:paraId="3112E77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0DB5D77B">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D5F9BD1">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38BF9F47">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CBF37A3">
            <w:pPr>
              <w:widowControl/>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6A0B773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2006EE4D">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2BAEEDF">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14:paraId="5DFF3056">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06EFF0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微软雅黑" w:hAnsi="微软雅黑" w:eastAsia="微软雅黑" w:cs="微软雅黑"/>
          <w:i w:val="0"/>
          <w:iCs w:val="0"/>
          <w:caps w:val="0"/>
          <w:color w:val="333333"/>
          <w:spacing w:val="0"/>
          <w:sz w:val="13"/>
          <w:szCs w:val="13"/>
        </w:rPr>
      </w:pPr>
    </w:p>
    <w:p w14:paraId="6234D5F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jc w:val="left"/>
        <w:textAlignment w:val="auto"/>
        <w:rPr>
          <w:rStyle w:val="5"/>
          <w:rFonts w:hint="eastAsia" w:ascii="黑体" w:hAnsi="黑体" w:eastAsia="黑体" w:cs="黑体"/>
          <w:i w:val="0"/>
          <w:iCs w:val="0"/>
          <w:caps w:val="0"/>
          <w:color w:val="333333"/>
          <w:spacing w:val="0"/>
          <w:sz w:val="32"/>
          <w:szCs w:val="32"/>
          <w:lang w:val="en-US" w:eastAsia="zh-CN"/>
        </w:rPr>
      </w:pPr>
      <w:r>
        <w:rPr>
          <w:rStyle w:val="5"/>
          <w:rFonts w:hint="eastAsia" w:ascii="黑体" w:hAnsi="黑体" w:eastAsia="黑体" w:cs="黑体"/>
          <w:i w:val="0"/>
          <w:iCs w:val="0"/>
          <w:caps w:val="0"/>
          <w:color w:val="333333"/>
          <w:spacing w:val="0"/>
          <w:sz w:val="32"/>
          <w:szCs w:val="32"/>
          <w:lang w:val="en-US" w:eastAsia="zh-CN"/>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645F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54EAB015">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5CA0A2A0">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14:paraId="5CB5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737F8F77">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14:paraId="715F1DA1">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108" w:type="dxa"/>
              <w:right w:w="108" w:type="dxa"/>
            </w:tcMar>
            <w:vAlign w:val="center"/>
          </w:tcPr>
          <w:p w14:paraId="503B691A">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108" w:type="dxa"/>
              <w:right w:w="108" w:type="dxa"/>
            </w:tcMar>
            <w:vAlign w:val="center"/>
          </w:tcPr>
          <w:p w14:paraId="7F5E5A84">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14:paraId="3622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34C30330">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14:paraId="77C8B7CF">
            <w:pPr>
              <w:spacing w:line="300" w:lineRule="exact"/>
              <w:rPr>
                <w:rFonts w:ascii="方正仿宋简体" w:eastAsia="方正仿宋简体"/>
                <w:b/>
                <w:sz w:val="21"/>
                <w:szCs w:val="21"/>
              </w:rPr>
            </w:pPr>
          </w:p>
        </w:tc>
        <w:tc>
          <w:tcPr>
            <w:tcW w:w="599" w:type="dxa"/>
            <w:noWrap w:val="0"/>
            <w:tcMar>
              <w:left w:w="108" w:type="dxa"/>
              <w:right w:w="108" w:type="dxa"/>
            </w:tcMar>
            <w:vAlign w:val="center"/>
          </w:tcPr>
          <w:p w14:paraId="2AFEC7FA">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14:paraId="4B8CCED4">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108" w:type="dxa"/>
              <w:right w:w="108" w:type="dxa"/>
            </w:tcMar>
            <w:vAlign w:val="center"/>
          </w:tcPr>
          <w:p w14:paraId="5BA36E04">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14:paraId="77B913F8">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108" w:type="dxa"/>
              <w:right w:w="108" w:type="dxa"/>
            </w:tcMar>
            <w:vAlign w:val="center"/>
          </w:tcPr>
          <w:p w14:paraId="6A9CBAD3">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108" w:type="dxa"/>
              <w:right w:w="108" w:type="dxa"/>
            </w:tcMar>
            <w:vAlign w:val="center"/>
          </w:tcPr>
          <w:p w14:paraId="07396BDD">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108" w:type="dxa"/>
              <w:right w:w="108" w:type="dxa"/>
            </w:tcMar>
            <w:vAlign w:val="center"/>
          </w:tcPr>
          <w:p w14:paraId="3A441B31">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108" w:type="dxa"/>
              <w:right w:w="108" w:type="dxa"/>
            </w:tcMar>
            <w:vAlign w:val="center"/>
          </w:tcPr>
          <w:p w14:paraId="6A8B2FF3">
            <w:pPr>
              <w:spacing w:line="300" w:lineRule="exact"/>
              <w:rPr>
                <w:rFonts w:ascii="方正仿宋简体" w:eastAsia="方正仿宋简体"/>
                <w:b/>
                <w:sz w:val="21"/>
                <w:szCs w:val="21"/>
              </w:rPr>
            </w:pPr>
          </w:p>
        </w:tc>
      </w:tr>
      <w:tr w14:paraId="7447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50091FB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14:paraId="08F4003A">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2</w:t>
            </w:r>
          </w:p>
        </w:tc>
        <w:tc>
          <w:tcPr>
            <w:tcW w:w="599" w:type="dxa"/>
            <w:noWrap w:val="0"/>
            <w:tcMar>
              <w:left w:w="57" w:type="dxa"/>
              <w:right w:w="57" w:type="dxa"/>
            </w:tcMar>
            <w:vAlign w:val="center"/>
          </w:tcPr>
          <w:p w14:paraId="1708C5B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1B6B45C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2D3D5330">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05FE6B7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60FF102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center"/>
          </w:tcPr>
          <w:p w14:paraId="4D6A4D68">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2</w:t>
            </w:r>
          </w:p>
        </w:tc>
      </w:tr>
      <w:tr w14:paraId="4D84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78F541F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14:paraId="1CA60C5F">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19D3AEFE">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7056DA7D">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7D463953">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35BC0D2D">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4E88DA69">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6783FAE4">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415C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6A2E88A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14:paraId="042EDAF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14:paraId="7902C074">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1</w:t>
            </w:r>
          </w:p>
        </w:tc>
        <w:tc>
          <w:tcPr>
            <w:tcW w:w="599" w:type="dxa"/>
            <w:noWrap w:val="0"/>
            <w:tcMar>
              <w:left w:w="57" w:type="dxa"/>
              <w:right w:w="57" w:type="dxa"/>
            </w:tcMar>
            <w:vAlign w:val="center"/>
          </w:tcPr>
          <w:p w14:paraId="29743D7F">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53DF0CF7">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0C4331C5">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7CCE7D4B">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51C0397B">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46F4E782">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1</w:t>
            </w:r>
            <w:r>
              <w:rPr>
                <w:rFonts w:hint="eastAsia" w:ascii="方正仿宋简体" w:hAnsi="Calibri" w:eastAsia="方正仿宋简体" w:cs="Calibri"/>
                <w:b/>
                <w:sz w:val="21"/>
                <w:szCs w:val="21"/>
                <w:lang w:bidi="ar"/>
              </w:rPr>
              <w:t>  </w:t>
            </w:r>
          </w:p>
        </w:tc>
      </w:tr>
      <w:tr w14:paraId="00E4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306B23E8">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4AF74AC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14:paraId="5F7384B0">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14:paraId="5E535D56">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72788D31">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60DA8218">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24273EFA">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12EDE28C">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143CEAC2">
            <w:pPr>
              <w:widowControl/>
              <w:spacing w:line="300" w:lineRule="exact"/>
              <w:jc w:val="both"/>
              <w:rPr>
                <w:rFonts w:hint="eastAsia" w:ascii="方正仿宋简体" w:hAnsi="Calibri" w:eastAsia="方正仿宋简体" w:cs="Calibri"/>
                <w:b/>
                <w:sz w:val="21"/>
                <w:szCs w:val="21"/>
                <w:lang w:val="en-US" w:eastAsia="zh-CN" w:bidi="ar"/>
              </w:rPr>
            </w:pPr>
          </w:p>
          <w:p w14:paraId="11F389D9">
            <w:pPr>
              <w:widowControl/>
              <w:spacing w:line="300" w:lineRule="exact"/>
              <w:ind w:firstLine="211" w:firstLineChars="100"/>
              <w:jc w:val="both"/>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517C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7ED55B5">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09E7D72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14:paraId="35EDACC3">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14:paraId="06D2341D">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637A1588">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4F5E7A39">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6234E24E">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5AA52CF9">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14B22E04">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2C24875B">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1344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F5A28C9">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A12A42D">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14D33152">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14:paraId="3624E183">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52A8DC5A">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5DEE5D87">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7A44E238">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127E18AB">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6B127C64">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465365C7">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7758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C71586E">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92327B1">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6217B5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14:paraId="7D160312">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38A1125E">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7764BFF5">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5C227481">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2760A8E9">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107D2D3A">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5E6C9FBA">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003A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A332ED1">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D8D8C1F">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4B261B1B">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14:paraId="302D5960">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4AC84617">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50A584A5">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33236E63">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58C3FAFF">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314BE626">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31C54C92">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75E1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04C0949">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F3CE89D">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66D95FB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14:paraId="03FD6DDD">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05220A22">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12D547FE">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535B91E2">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664DAE85">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1372E0FA">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4DA757F3">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250B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7FCDC76">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91FE636">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E5886D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14:paraId="39632BAC">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092D2AFB">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2BA6F724">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5FB46FB8">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23982826">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3BAECCDA">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3D1E973A">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09AB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799E6BB7">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F91A30B">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2FD59E5A">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14:paraId="506A8129">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32EE42E4">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09576A87">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315ACDAB">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6E0FA215">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5A78E9CB">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4166575F">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16DC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02683BD">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47FA2D9E">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5EC4BEA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14:paraId="6877A1F7">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7C5CB86C">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72361554">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585B7B8C">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792D0990">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7060F388">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3574D517">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1E26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61FE323D">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56F2CEB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14:paraId="6D3891A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14:paraId="2474B21C">
            <w:pPr>
              <w:widowControl/>
              <w:spacing w:line="300" w:lineRule="exact"/>
              <w:ind w:firstLine="211" w:firstLineChars="100"/>
              <w:jc w:val="both"/>
              <w:rPr>
                <w:rFonts w:hint="default" w:ascii="方正仿宋简体" w:eastAsia="方正仿宋简体" w:hAnsiTheme="minorHAnsi" w:cstheme="minorBidi"/>
                <w:b/>
                <w:kern w:val="2"/>
                <w:sz w:val="21"/>
                <w:szCs w:val="21"/>
                <w:lang w:val="en-US" w:eastAsia="zh-CN" w:bidi="ar-SA"/>
              </w:rPr>
            </w:pPr>
            <w:r>
              <w:rPr>
                <w:rFonts w:hint="eastAsia" w:ascii="方正仿宋简体" w:eastAsia="方正仿宋简体" w:cstheme="minorBidi"/>
                <w:b/>
                <w:kern w:val="2"/>
                <w:sz w:val="21"/>
                <w:szCs w:val="21"/>
                <w:lang w:val="en-US" w:eastAsia="zh-CN" w:bidi="ar-SA"/>
              </w:rPr>
              <w:t>1</w:t>
            </w:r>
          </w:p>
        </w:tc>
        <w:tc>
          <w:tcPr>
            <w:tcW w:w="599" w:type="dxa"/>
            <w:noWrap w:val="0"/>
            <w:tcMar>
              <w:left w:w="57" w:type="dxa"/>
              <w:right w:w="57" w:type="dxa"/>
            </w:tcMar>
            <w:vAlign w:val="center"/>
          </w:tcPr>
          <w:p w14:paraId="0CC81563">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60EBBD91">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4B90B587">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13510156">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105147F3">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15FA41BC">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1</w:t>
            </w:r>
            <w:r>
              <w:rPr>
                <w:rFonts w:hint="eastAsia" w:ascii="方正仿宋简体" w:hAnsi="Calibri" w:eastAsia="方正仿宋简体" w:cs="Calibri"/>
                <w:b/>
                <w:sz w:val="21"/>
                <w:szCs w:val="21"/>
                <w:lang w:bidi="ar"/>
              </w:rPr>
              <w:t> </w:t>
            </w:r>
          </w:p>
        </w:tc>
      </w:tr>
      <w:tr w14:paraId="5441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E82268F">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DD074FA">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5A1CFC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14:paraId="389AB81B">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500CE047">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4061F587">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0B9B9FD6">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380D1EEE">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3F6FCF71">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240D1415">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2A19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21CF28B8">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77BAC4D3">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3DBB7D4E">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14:paraId="2C870F5E">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32EFA87B">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5955C773">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3DF4915C">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25FEA535">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021CD2DF">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218AAFCA">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7118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779525B0">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7A33EACD">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14:paraId="2E843955">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14:paraId="22328CD8">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1473E2B1">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10A2BC55">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2EC8E87F">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6B0BDCBE">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7FCF8A39">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196FBF7C">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74DB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EEE6718">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F4393C3">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01A66906">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14:paraId="209E4288">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53FC6CA8">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77202CEB">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5447F9A3">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57765F57">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76D45B11">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2C69C512">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056B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49FD9E5">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BAD40C0">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261C8EB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14:paraId="017B3220">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4B590DB2">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2F05206C">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5C118E7C">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5D96B287">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6A53926F">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26D0F6E5">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4727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8E14926">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1397EEC6">
            <w:pPr>
              <w:spacing w:line="300" w:lineRule="exact"/>
              <w:rPr>
                <w:rFonts w:ascii="方正仿宋简体" w:eastAsia="方正仿宋简体"/>
                <w:b/>
                <w:sz w:val="21"/>
                <w:szCs w:val="21"/>
              </w:rPr>
            </w:pPr>
          </w:p>
        </w:tc>
        <w:tc>
          <w:tcPr>
            <w:tcW w:w="2878" w:type="dxa"/>
            <w:noWrap w:val="0"/>
            <w:tcMar>
              <w:left w:w="57" w:type="dxa"/>
              <w:right w:w="57" w:type="dxa"/>
            </w:tcMar>
            <w:vAlign w:val="top"/>
          </w:tcPr>
          <w:p w14:paraId="67A17E2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14:paraId="6A371CB3">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706F2C21">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276D7C45">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69573C2F">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0C2D317A">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46CB3EB2">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21BCF4C4">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5506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36021405">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04AB55D9">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6B264CF9">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14:paraId="119049D6">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6203B0AB">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21FEB97F">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30BD917A">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458A20AF">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31D3BFCD">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116B0142">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5DD3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ABFB1C7">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14:paraId="433C24F8">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14:paraId="32355BF1">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38F9698C">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6B06ED1C">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013CC6D8">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6C3B961B">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718470EC">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00CE327B">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center"/>
          </w:tcPr>
          <w:p w14:paraId="231FEE3A">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4EB8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C6FEBDE">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5BA64FBE">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038DB595">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6D23DF41">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4FFBF2C2">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284CA5EA">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6ED34E4A">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0793FB4F">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317D9F22">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center"/>
          </w:tcPr>
          <w:p w14:paraId="68BD60EC">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p>
        </w:tc>
      </w:tr>
      <w:tr w14:paraId="61323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2536F20">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14:paraId="28C5DECB">
            <w:pPr>
              <w:spacing w:line="300" w:lineRule="exact"/>
              <w:rPr>
                <w:rFonts w:ascii="方正仿宋简体" w:eastAsia="方正仿宋简体"/>
                <w:b/>
                <w:sz w:val="21"/>
                <w:szCs w:val="21"/>
              </w:rPr>
            </w:pPr>
          </w:p>
        </w:tc>
        <w:tc>
          <w:tcPr>
            <w:tcW w:w="2878" w:type="dxa"/>
            <w:noWrap w:val="0"/>
            <w:tcMar>
              <w:left w:w="57" w:type="dxa"/>
              <w:right w:w="57" w:type="dxa"/>
            </w:tcMar>
            <w:vAlign w:val="center"/>
          </w:tcPr>
          <w:p w14:paraId="1A0D75CF">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14:paraId="054934E2">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57E2CDE3">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79250CC6">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65B4FE36">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5FFC2D23">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3F4EC8B3">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4B0CEE6B">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r w14:paraId="6C1C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1988FDD">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14:paraId="77EBE40C">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14:paraId="4169700C">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2</w:t>
            </w:r>
          </w:p>
        </w:tc>
        <w:tc>
          <w:tcPr>
            <w:tcW w:w="599" w:type="dxa"/>
            <w:noWrap w:val="0"/>
            <w:tcMar>
              <w:left w:w="57" w:type="dxa"/>
              <w:right w:w="57" w:type="dxa"/>
            </w:tcMar>
            <w:vAlign w:val="center"/>
          </w:tcPr>
          <w:p w14:paraId="2A8F0F1C">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04C9DB3B">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6C25FC5E">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68C8DEEE">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579538AA">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6100BD5F">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highlight w:val="none"/>
                <w:lang w:val="en-US" w:eastAsia="zh-CN" w:bidi="ar"/>
              </w:rPr>
              <w:t>2</w:t>
            </w:r>
            <w:r>
              <w:rPr>
                <w:rFonts w:hint="eastAsia" w:ascii="方正仿宋简体" w:hAnsi="Calibri" w:eastAsia="方正仿宋简体" w:cs="Calibri"/>
                <w:b/>
                <w:sz w:val="21"/>
                <w:szCs w:val="21"/>
                <w:highlight w:val="none"/>
                <w:lang w:bidi="ar"/>
              </w:rPr>
              <w:t> </w:t>
            </w:r>
          </w:p>
        </w:tc>
      </w:tr>
      <w:tr w14:paraId="358A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40430ED9">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14:paraId="12509891">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noWrap w:val="0"/>
            <w:tcMar>
              <w:left w:w="57" w:type="dxa"/>
              <w:right w:w="57" w:type="dxa"/>
            </w:tcMar>
            <w:vAlign w:val="center"/>
          </w:tcPr>
          <w:p w14:paraId="73E623CB">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noWrap w:val="0"/>
            <w:tcMar>
              <w:left w:w="57" w:type="dxa"/>
              <w:right w:w="57" w:type="dxa"/>
            </w:tcMar>
            <w:vAlign w:val="center"/>
          </w:tcPr>
          <w:p w14:paraId="58982E6F">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noWrap w:val="0"/>
            <w:tcMar>
              <w:left w:w="57" w:type="dxa"/>
              <w:right w:w="57" w:type="dxa"/>
            </w:tcMar>
            <w:vAlign w:val="center"/>
          </w:tcPr>
          <w:p w14:paraId="4E72B245">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noWrap w:val="0"/>
            <w:tcMar>
              <w:left w:w="57" w:type="dxa"/>
              <w:right w:w="57" w:type="dxa"/>
            </w:tcMar>
            <w:vAlign w:val="center"/>
          </w:tcPr>
          <w:p w14:paraId="14F07AD3">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noWrap w:val="0"/>
            <w:tcMar>
              <w:left w:w="57" w:type="dxa"/>
              <w:right w:w="57" w:type="dxa"/>
            </w:tcMar>
            <w:vAlign w:val="center"/>
          </w:tcPr>
          <w:p w14:paraId="14FF778C">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noWrap w:val="0"/>
            <w:tcMar>
              <w:left w:w="57" w:type="dxa"/>
              <w:right w:w="57" w:type="dxa"/>
            </w:tcMar>
            <w:vAlign w:val="top"/>
          </w:tcPr>
          <w:p w14:paraId="59CB19CD">
            <w:pPr>
              <w:widowControl/>
              <w:spacing w:line="300" w:lineRule="exact"/>
              <w:jc w:val="center"/>
              <w:rPr>
                <w:rFonts w:ascii="方正仿宋简体" w:eastAsia="方正仿宋简体" w:hAnsiTheme="minorHAnsi" w:cstheme="minorBidi"/>
                <w:b/>
                <w:kern w:val="2"/>
                <w:sz w:val="21"/>
                <w:szCs w:val="21"/>
                <w:lang w:val="en-US" w:eastAsia="zh-CN" w:bidi="ar-SA"/>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r>
    </w:tbl>
    <w:p w14:paraId="5692F65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jc w:val="left"/>
        <w:textAlignment w:val="auto"/>
        <w:rPr>
          <w:rStyle w:val="5"/>
          <w:rFonts w:hint="eastAsia" w:ascii="黑体" w:hAnsi="黑体" w:eastAsia="黑体" w:cs="黑体"/>
          <w:i w:val="0"/>
          <w:iCs w:val="0"/>
          <w:caps w:val="0"/>
          <w:color w:val="333333"/>
          <w:spacing w:val="0"/>
          <w:sz w:val="32"/>
          <w:szCs w:val="32"/>
          <w:lang w:val="en-US" w:eastAsia="zh-CN"/>
        </w:rPr>
      </w:pPr>
      <w:r>
        <w:rPr>
          <w:rStyle w:val="5"/>
          <w:rFonts w:hint="eastAsia" w:ascii="黑体" w:hAnsi="黑体" w:eastAsia="黑体" w:cs="黑体"/>
          <w:i w:val="0"/>
          <w:iCs w:val="0"/>
          <w:caps w:val="0"/>
          <w:color w:val="333333"/>
          <w:spacing w:val="0"/>
          <w:sz w:val="32"/>
          <w:szCs w:val="32"/>
          <w:lang w:val="en-US" w:eastAsia="zh-CN"/>
        </w:rPr>
        <w:t>四、政府信息公开行政复议、行政诉讼情况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C5886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C6647E1">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794B3A0B">
            <w:pPr>
              <w:widowControl/>
              <w:jc w:val="center"/>
              <w:rPr>
                <w:rFonts w:ascii="黑体" w:hAnsi="黑体" w:eastAsia="黑体"/>
              </w:rPr>
            </w:pPr>
            <w:r>
              <w:rPr>
                <w:rFonts w:ascii="黑体" w:hAnsi="黑体" w:eastAsia="黑体"/>
                <w:kern w:val="0"/>
                <w:sz w:val="20"/>
                <w:szCs w:val="20"/>
              </w:rPr>
              <w:t>行政诉讼</w:t>
            </w:r>
          </w:p>
        </w:tc>
      </w:tr>
      <w:tr w14:paraId="198F0F0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4F1A95E">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078B09DE">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40CA26F1">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7560CD7F">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3781EA22">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59F45D3A">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55D66DA">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45822DDB">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F3550D9">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56B92D9D">
            <w:pPr>
              <w:widowControl/>
              <w:jc w:val="center"/>
              <w:rPr>
                <w:rFonts w:ascii="黑体" w:hAnsi="黑体" w:eastAsia="黑体"/>
              </w:rPr>
            </w:pPr>
            <w:r>
              <w:rPr>
                <w:rFonts w:ascii="黑体" w:hAnsi="黑体" w:eastAsia="黑体"/>
                <w:kern w:val="0"/>
                <w:sz w:val="20"/>
                <w:szCs w:val="20"/>
              </w:rPr>
              <w:t>复议后起诉</w:t>
            </w:r>
          </w:p>
        </w:tc>
      </w:tr>
      <w:tr w14:paraId="28B013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3E8E6F2">
            <w:pPr>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5234535D">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6D48FAD">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EC64DC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04FC292F">
            <w:pPr>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1E51A4B5">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511F205">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DFCD8E4">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2484F1DA">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BAA8E09">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57E29F1D">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DF03D7B">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EC100BD">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2644F8D">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4A098297">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3B2C4B9">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03A768DB">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22E20CF">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D7CA92A">
            <w:pPr>
              <w:widowControl/>
              <w:jc w:val="center"/>
              <w:rPr>
                <w:rFonts w:ascii="黑体" w:hAnsi="黑体" w:eastAsia="黑体"/>
              </w:rPr>
            </w:pPr>
            <w:r>
              <w:rPr>
                <w:rFonts w:ascii="黑体" w:hAnsi="黑体" w:eastAsia="黑体"/>
                <w:kern w:val="0"/>
                <w:sz w:val="20"/>
                <w:szCs w:val="20"/>
              </w:rPr>
              <w:t>总计</w:t>
            </w:r>
          </w:p>
        </w:tc>
      </w:tr>
      <w:tr w14:paraId="5EB9F7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EB03CEB">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37B40555">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399732E6">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1DB69ADC">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77275BE9">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71260394">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FFBFE04">
            <w:pPr>
              <w:widowControl/>
              <w:spacing w:after="180"/>
              <w:jc w:val="center"/>
              <w:rPr>
                <w:rFonts w:hint="default"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0B4BDD5">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D11CA2D">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A772E2E">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7055C16">
            <w:pPr>
              <w:widowControl/>
              <w:spacing w:after="180"/>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4B442AF">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B0F5869">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7C7B7BEA">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4B84127A">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352F51C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jc w:val="left"/>
        <w:textAlignment w:val="auto"/>
        <w:rPr>
          <w:rStyle w:val="5"/>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b/>
          <w:i w:val="0"/>
          <w:iCs w:val="0"/>
          <w:caps w:val="0"/>
          <w:color w:val="333333"/>
          <w:spacing w:val="0"/>
          <w:kern w:val="0"/>
          <w:sz w:val="32"/>
          <w:szCs w:val="32"/>
          <w:lang w:val="en-US" w:eastAsia="zh-CN" w:bidi="ar"/>
        </w:rPr>
        <w:t>五、</w:t>
      </w:r>
      <w:r>
        <w:rPr>
          <w:rStyle w:val="5"/>
          <w:rFonts w:hint="eastAsia" w:ascii="黑体" w:hAnsi="黑体" w:eastAsia="黑体" w:cs="黑体"/>
          <w:i w:val="0"/>
          <w:iCs w:val="0"/>
          <w:caps w:val="0"/>
          <w:color w:val="333333"/>
          <w:spacing w:val="0"/>
          <w:sz w:val="32"/>
          <w:szCs w:val="32"/>
          <w:lang w:val="en-US" w:eastAsia="zh-CN"/>
        </w:rPr>
        <w:t>存在的主要问题及改进情况</w:t>
      </w:r>
    </w:p>
    <w:p w14:paraId="7385E99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Style w:val="5"/>
          <w:rFonts w:hint="eastAsia" w:ascii="黑体" w:hAnsi="黑体" w:eastAsia="黑体" w:cs="黑体"/>
          <w:i w:val="0"/>
          <w:iCs w:val="0"/>
          <w:caps w:val="0"/>
          <w:color w:val="333333"/>
          <w:spacing w:val="0"/>
          <w:sz w:val="32"/>
          <w:szCs w:val="32"/>
          <w:lang w:val="en-US" w:eastAsia="zh-CN"/>
        </w:rPr>
      </w:pP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2024年综合行政执法局</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围绕城市管理领域重大政策、热点问题以及涉及人民群众切身利益的重点工作，及时通过</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管委会门户</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网站、微信公众号等渠道</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公开群众需要的</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政府信息</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，改善了公开内容的不够全面的问题，同时通过加强人员培训，提高了人员的公开意识，在信息发布及时性方面取得一定成效</w:t>
      </w:r>
      <w:r>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t>。</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但仍存在一些问题</w:t>
      </w:r>
      <w:r>
        <w:rPr>
          <w:rStyle w:val="5"/>
          <w:rFonts w:hint="eastAsia" w:ascii="方正仿宋简体" w:hAnsi="方正仿宋简体" w:eastAsia="方正仿宋简体" w:cs="方正仿宋简体"/>
          <w:b/>
          <w:bCs w:val="0"/>
          <w:i w:val="0"/>
          <w:iCs w:val="0"/>
          <w:caps w:val="0"/>
          <w:color w:val="auto"/>
          <w:spacing w:val="0"/>
          <w:kern w:val="2"/>
          <w:sz w:val="32"/>
          <w:szCs w:val="32"/>
          <w:lang w:eastAsia="zh-CN" w:bidi="ar-SA"/>
        </w:rPr>
        <w:t>，</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主要表现为</w:t>
      </w:r>
      <w:r>
        <w:rPr>
          <w:rStyle w:val="5"/>
          <w:rFonts w:hint="eastAsia" w:ascii="方正仿宋简体" w:hAnsi="方正仿宋简体" w:eastAsia="方正仿宋简体" w:cs="方正仿宋简体"/>
          <w:b/>
          <w:bCs w:val="0"/>
          <w:i w:val="0"/>
          <w:iCs w:val="0"/>
          <w:caps w:val="0"/>
          <w:color w:val="auto"/>
          <w:spacing w:val="0"/>
          <w:kern w:val="2"/>
          <w:sz w:val="32"/>
          <w:szCs w:val="32"/>
          <w:lang w:eastAsia="zh-CN" w:bidi="ar-SA"/>
        </w:rPr>
        <w:t>：</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信息公开的深度</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不足</w:t>
      </w:r>
      <w:r>
        <w:rPr>
          <w:rStyle w:val="5"/>
          <w:rFonts w:hint="eastAsia" w:ascii="方正仿宋简体" w:hAnsi="方正仿宋简体" w:eastAsia="方正仿宋简体" w:cs="方正仿宋简体"/>
          <w:b/>
          <w:bCs w:val="0"/>
          <w:i w:val="0"/>
          <w:iCs w:val="0"/>
          <w:caps w:val="0"/>
          <w:color w:val="auto"/>
          <w:spacing w:val="0"/>
          <w:kern w:val="2"/>
          <w:sz w:val="32"/>
          <w:szCs w:val="32"/>
          <w:lang w:eastAsia="zh-CN" w:bidi="ar-SA"/>
        </w:rPr>
        <w:t>、信息公开方式</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不够新颖的问题</w:t>
      </w:r>
      <w:r>
        <w:rPr>
          <w:rStyle w:val="5"/>
          <w:rFonts w:hint="eastAsia" w:ascii="方正仿宋简体" w:hAnsi="方正仿宋简体" w:eastAsia="方正仿宋简体" w:cs="方正仿宋简体"/>
          <w:b/>
          <w:bCs w:val="0"/>
          <w:i w:val="0"/>
          <w:iCs w:val="0"/>
          <w:caps w:val="0"/>
          <w:color w:val="auto"/>
          <w:spacing w:val="0"/>
          <w:kern w:val="2"/>
          <w:sz w:val="32"/>
          <w:szCs w:val="32"/>
          <w:lang w:eastAsia="zh-CN" w:bidi="ar-SA"/>
        </w:rPr>
        <w:t>。</w:t>
      </w:r>
      <w:r>
        <w:rPr>
          <w:rStyle w:val="5"/>
          <w:rFonts w:hint="eastAsia" w:ascii="方正仿宋简体" w:hAnsi="方正仿宋简体" w:eastAsia="方正仿宋简体" w:cs="方正仿宋简体"/>
          <w:b/>
          <w:bCs w:val="0"/>
          <w:i w:val="0"/>
          <w:iCs w:val="0"/>
          <w:caps w:val="0"/>
          <w:color w:val="auto"/>
          <w:spacing w:val="0"/>
          <w:kern w:val="2"/>
          <w:sz w:val="32"/>
          <w:szCs w:val="32"/>
          <w:lang w:bidi="ar-SA"/>
        </w:rPr>
        <w:t>下一步</w:t>
      </w:r>
      <w:r>
        <w:rPr>
          <w:rStyle w:val="5"/>
          <w:rFonts w:hint="eastAsia" w:ascii="方正仿宋简体" w:hAnsi="方正仿宋简体" w:eastAsia="方正仿宋简体" w:cs="方正仿宋简体"/>
          <w:b/>
          <w:bCs w:val="0"/>
          <w:i w:val="0"/>
          <w:iCs w:val="0"/>
          <w:caps w:val="0"/>
          <w:color w:val="auto"/>
          <w:spacing w:val="0"/>
          <w:kern w:val="2"/>
          <w:sz w:val="32"/>
          <w:szCs w:val="32"/>
          <w:lang w:val="en-US" w:eastAsia="zh-CN" w:bidi="ar-SA"/>
        </w:rPr>
        <w:t>综合行政执法局将利用图表、动画等可视化手段展示数据和信息，提高信息可读性和理解度的同时创新公开手段。</w:t>
      </w:r>
    </w:p>
    <w:p w14:paraId="77CD3C55">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20" w:leftChars="0" w:right="0" w:rightChars="0"/>
        <w:jc w:val="left"/>
        <w:textAlignment w:val="auto"/>
        <w:rPr>
          <w:rStyle w:val="5"/>
          <w:rFonts w:hint="eastAsia" w:ascii="黑体" w:hAnsi="黑体" w:eastAsia="黑体" w:cs="黑体"/>
          <w:i w:val="0"/>
          <w:iCs w:val="0"/>
          <w:caps w:val="0"/>
          <w:color w:val="333333"/>
          <w:spacing w:val="0"/>
          <w:sz w:val="32"/>
          <w:szCs w:val="32"/>
          <w:lang w:val="en-US" w:eastAsia="zh-CN"/>
        </w:rPr>
      </w:pPr>
      <w:r>
        <w:rPr>
          <w:rStyle w:val="5"/>
          <w:rFonts w:hint="eastAsia" w:ascii="黑体" w:hAnsi="黑体" w:eastAsia="黑体" w:cs="黑体"/>
          <w:i w:val="0"/>
          <w:iCs w:val="0"/>
          <w:caps w:val="0"/>
          <w:color w:val="333333"/>
          <w:spacing w:val="0"/>
          <w:sz w:val="32"/>
          <w:szCs w:val="32"/>
          <w:lang w:val="en-US" w:eastAsia="zh-CN"/>
        </w:rPr>
        <w:t>其他需要报告的事项</w:t>
      </w:r>
    </w:p>
    <w:p w14:paraId="32692090">
      <w:pPr>
        <w:numPr>
          <w:ilvl w:val="0"/>
          <w:numId w:val="0"/>
        </w:numPr>
        <w:ind w:firstLine="643" w:firstLineChars="200"/>
        <w:rPr>
          <w:rStyle w:val="5"/>
          <w:rFonts w:hint="default" w:ascii="方正楷体简体" w:hAnsi="方正楷体简体" w:eastAsia="方正楷体简体" w:cs="方正楷体简体"/>
          <w:b/>
          <w:bCs w:val="0"/>
          <w:i w:val="0"/>
          <w:iCs w:val="0"/>
          <w:caps w:val="0"/>
          <w:color w:val="auto"/>
          <w:spacing w:val="0"/>
          <w:sz w:val="32"/>
          <w:szCs w:val="32"/>
          <w:lang w:val="en-US" w:eastAsia="zh-CN"/>
        </w:rPr>
      </w:pPr>
      <w:r>
        <w:rPr>
          <w:rStyle w:val="5"/>
          <w:rFonts w:hint="eastAsia" w:ascii="方正楷体简体" w:hAnsi="方正楷体简体" w:eastAsia="方正楷体简体" w:cs="方正楷体简体"/>
          <w:b/>
          <w:bCs w:val="0"/>
          <w:i w:val="0"/>
          <w:iCs w:val="0"/>
          <w:caps w:val="0"/>
          <w:color w:val="auto"/>
          <w:spacing w:val="0"/>
          <w:sz w:val="32"/>
          <w:szCs w:val="32"/>
          <w:lang w:val="en-US" w:eastAsia="zh-CN"/>
        </w:rPr>
        <w:t>（一）</w:t>
      </w:r>
      <w:r>
        <w:rPr>
          <w:rStyle w:val="5"/>
          <w:rFonts w:hint="default" w:ascii="方正楷体简体" w:hAnsi="方正楷体简体" w:eastAsia="方正楷体简体" w:cs="方正楷体简体"/>
          <w:b/>
          <w:bCs w:val="0"/>
          <w:i w:val="0"/>
          <w:iCs w:val="0"/>
          <w:caps w:val="0"/>
          <w:color w:val="auto"/>
          <w:spacing w:val="0"/>
          <w:sz w:val="32"/>
          <w:szCs w:val="32"/>
          <w:lang w:val="en-US" w:eastAsia="zh-CN"/>
        </w:rPr>
        <w:t>依据《政府信息公开信息处理费管理办法》收取信息处理费的情况需在此专门报告</w:t>
      </w:r>
      <w:r>
        <w:rPr>
          <w:rStyle w:val="5"/>
          <w:rFonts w:hint="eastAsia" w:ascii="方正楷体简体" w:hAnsi="方正楷体简体" w:eastAsia="方正楷体简体" w:cs="方正楷体简体"/>
          <w:b/>
          <w:bCs w:val="0"/>
          <w:i w:val="0"/>
          <w:iCs w:val="0"/>
          <w:caps w:val="0"/>
          <w:color w:val="auto"/>
          <w:spacing w:val="0"/>
          <w:sz w:val="32"/>
          <w:szCs w:val="32"/>
          <w:lang w:val="en-US" w:eastAsia="zh-CN"/>
        </w:rPr>
        <w:t>：</w:t>
      </w:r>
    </w:p>
    <w:p w14:paraId="2AD7FB78">
      <w:pPr>
        <w:spacing w:line="600" w:lineRule="exact"/>
        <w:ind w:firstLine="643" w:firstLineChars="200"/>
        <w:rPr>
          <w:rFonts w:hint="default" w:ascii="方正仿宋简体" w:hAnsi="Calibri" w:eastAsia="方正仿宋简体"/>
          <w:b/>
          <w:color w:val="000000"/>
          <w:kern w:val="2"/>
          <w:sz w:val="32"/>
          <w:szCs w:val="32"/>
          <w:lang w:val="en-US" w:eastAsia="zh-CN"/>
        </w:rPr>
      </w:pPr>
      <w:r>
        <w:rPr>
          <w:rFonts w:hint="default" w:ascii="方正仿宋简体" w:hAnsi="Calibri" w:eastAsia="方正仿宋简体"/>
          <w:b/>
          <w:color w:val="000000"/>
          <w:kern w:val="2"/>
          <w:sz w:val="32"/>
          <w:szCs w:val="32"/>
          <w:lang w:val="en-US" w:eastAsia="zh-CN"/>
        </w:rPr>
        <w:t>本年度无收取信息处理费情况。</w:t>
      </w:r>
    </w:p>
    <w:p w14:paraId="60646A16">
      <w:pPr>
        <w:numPr>
          <w:ilvl w:val="0"/>
          <w:numId w:val="2"/>
        </w:numPr>
        <w:ind w:firstLine="643" w:firstLineChars="200"/>
        <w:rPr>
          <w:rStyle w:val="5"/>
          <w:rFonts w:hint="eastAsia" w:ascii="方正楷体简体" w:hAnsi="方正楷体简体" w:eastAsia="方正楷体简体" w:cs="方正楷体简体"/>
          <w:b/>
          <w:bCs w:val="0"/>
          <w:i w:val="0"/>
          <w:iCs w:val="0"/>
          <w:caps w:val="0"/>
          <w:color w:val="auto"/>
          <w:spacing w:val="0"/>
          <w:sz w:val="32"/>
          <w:szCs w:val="32"/>
          <w:lang w:val="en-US" w:eastAsia="zh-CN"/>
        </w:rPr>
      </w:pPr>
      <w:r>
        <w:rPr>
          <w:rStyle w:val="5"/>
          <w:rFonts w:hint="default" w:ascii="方正楷体简体" w:hAnsi="方正楷体简体" w:eastAsia="方正楷体简体" w:cs="方正楷体简体"/>
          <w:b/>
          <w:bCs w:val="0"/>
          <w:i w:val="0"/>
          <w:iCs w:val="0"/>
          <w:caps w:val="0"/>
          <w:color w:val="auto"/>
          <w:spacing w:val="0"/>
          <w:sz w:val="32"/>
          <w:szCs w:val="32"/>
          <w:lang w:val="en-US" w:eastAsia="zh-CN"/>
        </w:rPr>
        <w:t>本行政机关落实上级年度政务公开工作要点情况</w:t>
      </w:r>
      <w:r>
        <w:rPr>
          <w:rStyle w:val="5"/>
          <w:rFonts w:hint="eastAsia" w:ascii="方正楷体简体" w:hAnsi="方正楷体简体" w:eastAsia="方正楷体简体" w:cs="方正楷体简体"/>
          <w:b/>
          <w:bCs w:val="0"/>
          <w:i w:val="0"/>
          <w:iCs w:val="0"/>
          <w:caps w:val="0"/>
          <w:color w:val="auto"/>
          <w:spacing w:val="0"/>
          <w:sz w:val="32"/>
          <w:szCs w:val="32"/>
          <w:lang w:val="en-US" w:eastAsia="zh-CN"/>
        </w:rPr>
        <w:t>：</w:t>
      </w:r>
    </w:p>
    <w:p w14:paraId="5567C27D">
      <w:pPr>
        <w:spacing w:line="600" w:lineRule="exact"/>
        <w:ind w:firstLine="643" w:firstLineChars="200"/>
        <w:rPr>
          <w:rFonts w:hint="default" w:ascii="方正仿宋简体" w:hAnsi="Calibri" w:eastAsia="方正仿宋简体"/>
          <w:b/>
          <w:color w:val="000000"/>
          <w:kern w:val="2"/>
          <w:sz w:val="32"/>
          <w:szCs w:val="32"/>
          <w:lang w:val="en-US" w:eastAsia="zh-CN"/>
        </w:rPr>
      </w:pPr>
      <w:r>
        <w:rPr>
          <w:rFonts w:hint="default" w:ascii="方正仿宋简体" w:hAnsi="Calibri" w:eastAsia="方正仿宋简体"/>
          <w:b/>
          <w:color w:val="000000"/>
          <w:kern w:val="2"/>
          <w:sz w:val="32"/>
          <w:szCs w:val="32"/>
          <w:lang w:val="en-US" w:eastAsia="zh-CN"/>
        </w:rPr>
        <w:t>综合行政执法局积极落实上级政务公开</w:t>
      </w:r>
      <w:r>
        <w:rPr>
          <w:rFonts w:hint="eastAsia" w:ascii="方正仿宋简体" w:hAnsi="Calibri" w:eastAsia="方正仿宋简体"/>
          <w:b/>
          <w:color w:val="000000"/>
          <w:kern w:val="2"/>
          <w:sz w:val="32"/>
          <w:szCs w:val="32"/>
          <w:lang w:val="en-US" w:eastAsia="zh-CN"/>
        </w:rPr>
        <w:t>工作</w:t>
      </w:r>
      <w:r>
        <w:rPr>
          <w:rFonts w:hint="default" w:ascii="方正仿宋简体" w:hAnsi="Calibri" w:eastAsia="方正仿宋简体"/>
          <w:b/>
          <w:color w:val="000000"/>
          <w:kern w:val="2"/>
          <w:sz w:val="32"/>
          <w:szCs w:val="32"/>
          <w:lang w:val="en-US" w:eastAsia="zh-CN"/>
        </w:rPr>
        <w:t>要点，强化组织，加大主动公开力度，利用新媒体拓宽</w:t>
      </w:r>
      <w:r>
        <w:rPr>
          <w:rFonts w:hint="eastAsia" w:ascii="方正仿宋简体" w:hAnsi="Calibri" w:eastAsia="方正仿宋简体"/>
          <w:b/>
          <w:color w:val="000000"/>
          <w:kern w:val="2"/>
          <w:sz w:val="32"/>
          <w:szCs w:val="32"/>
          <w:lang w:val="en-US" w:eastAsia="zh-CN"/>
        </w:rPr>
        <w:t>公开</w:t>
      </w:r>
      <w:r>
        <w:rPr>
          <w:rFonts w:hint="default" w:ascii="方正仿宋简体" w:hAnsi="Calibri" w:eastAsia="方正仿宋简体"/>
          <w:b/>
          <w:color w:val="000000"/>
          <w:kern w:val="2"/>
          <w:sz w:val="32"/>
          <w:szCs w:val="32"/>
          <w:lang w:val="en-US" w:eastAsia="zh-CN"/>
        </w:rPr>
        <w:t>渠道，确保</w:t>
      </w:r>
      <w:r>
        <w:rPr>
          <w:rFonts w:hint="eastAsia" w:ascii="方正仿宋简体" w:hAnsi="Calibri" w:eastAsia="方正仿宋简体"/>
          <w:b/>
          <w:color w:val="000000"/>
          <w:kern w:val="2"/>
          <w:sz w:val="32"/>
          <w:szCs w:val="32"/>
          <w:lang w:val="en-US" w:eastAsia="zh-CN"/>
        </w:rPr>
        <w:t>公开</w:t>
      </w:r>
      <w:r>
        <w:rPr>
          <w:rFonts w:hint="default" w:ascii="方正仿宋简体" w:hAnsi="Calibri" w:eastAsia="方正仿宋简体"/>
          <w:b/>
          <w:color w:val="000000"/>
          <w:kern w:val="2"/>
          <w:sz w:val="32"/>
          <w:szCs w:val="32"/>
          <w:lang w:val="en-US" w:eastAsia="zh-CN"/>
        </w:rPr>
        <w:t>信息</w:t>
      </w:r>
      <w:r>
        <w:rPr>
          <w:rFonts w:hint="eastAsia" w:ascii="方正仿宋简体" w:hAnsi="Calibri" w:eastAsia="方正仿宋简体"/>
          <w:b/>
          <w:color w:val="000000"/>
          <w:kern w:val="2"/>
          <w:sz w:val="32"/>
          <w:szCs w:val="32"/>
          <w:lang w:val="en-US" w:eastAsia="zh-CN"/>
        </w:rPr>
        <w:t>的</w:t>
      </w:r>
      <w:r>
        <w:rPr>
          <w:rFonts w:hint="default" w:ascii="方正仿宋简体" w:hAnsi="Calibri" w:eastAsia="方正仿宋简体"/>
          <w:b/>
          <w:color w:val="000000"/>
          <w:kern w:val="2"/>
          <w:sz w:val="32"/>
          <w:szCs w:val="32"/>
          <w:lang w:val="en-US" w:eastAsia="zh-CN"/>
        </w:rPr>
        <w:t>时效</w:t>
      </w:r>
      <w:r>
        <w:rPr>
          <w:rFonts w:hint="eastAsia" w:ascii="方正仿宋简体" w:hAnsi="Calibri" w:eastAsia="方正仿宋简体"/>
          <w:b/>
          <w:color w:val="000000"/>
          <w:kern w:val="2"/>
          <w:sz w:val="32"/>
          <w:szCs w:val="32"/>
          <w:lang w:val="en-US" w:eastAsia="zh-CN"/>
        </w:rPr>
        <w:t>性和</w:t>
      </w:r>
      <w:r>
        <w:rPr>
          <w:rFonts w:hint="default" w:ascii="方正仿宋简体" w:hAnsi="Calibri" w:eastAsia="方正仿宋简体"/>
          <w:b/>
          <w:color w:val="000000"/>
          <w:kern w:val="2"/>
          <w:sz w:val="32"/>
          <w:szCs w:val="32"/>
          <w:lang w:val="en-US" w:eastAsia="zh-CN"/>
        </w:rPr>
        <w:t>准确</w:t>
      </w:r>
      <w:r>
        <w:rPr>
          <w:rFonts w:hint="eastAsia" w:ascii="方正仿宋简体" w:hAnsi="Calibri" w:eastAsia="方正仿宋简体"/>
          <w:b/>
          <w:color w:val="000000"/>
          <w:kern w:val="2"/>
          <w:sz w:val="32"/>
          <w:szCs w:val="32"/>
          <w:lang w:val="en-US" w:eastAsia="zh-CN"/>
        </w:rPr>
        <w:t>性</w:t>
      </w:r>
      <w:r>
        <w:rPr>
          <w:rFonts w:hint="default" w:ascii="方正仿宋简体" w:hAnsi="Calibri" w:eastAsia="方正仿宋简体"/>
          <w:b/>
          <w:color w:val="000000"/>
          <w:kern w:val="2"/>
          <w:sz w:val="32"/>
          <w:szCs w:val="32"/>
          <w:lang w:val="en-US" w:eastAsia="zh-CN"/>
        </w:rPr>
        <w:t>，同时建立监督机制并纳入考核，政务公开工作取得显著成效，提升了政务服务效率。</w:t>
      </w:r>
    </w:p>
    <w:p w14:paraId="195ECF2C">
      <w:pPr>
        <w:numPr>
          <w:ilvl w:val="0"/>
          <w:numId w:val="0"/>
        </w:numPr>
        <w:ind w:firstLine="643" w:firstLineChars="200"/>
        <w:rPr>
          <w:rStyle w:val="5"/>
          <w:rFonts w:hint="eastAsia" w:ascii="方正楷体简体" w:hAnsi="方正楷体简体" w:eastAsia="方正楷体简体" w:cs="方正楷体简体"/>
          <w:b/>
          <w:bCs w:val="0"/>
          <w:i w:val="0"/>
          <w:iCs w:val="0"/>
          <w:caps w:val="0"/>
          <w:color w:val="auto"/>
          <w:spacing w:val="0"/>
          <w:sz w:val="32"/>
          <w:szCs w:val="32"/>
          <w:lang w:val="en-US" w:eastAsia="zh-CN"/>
        </w:rPr>
      </w:pPr>
      <w:r>
        <w:rPr>
          <w:rStyle w:val="5"/>
          <w:rFonts w:hint="eastAsia" w:ascii="方正楷体简体" w:hAnsi="方正楷体简体" w:eastAsia="方正楷体简体" w:cs="方正楷体简体"/>
          <w:b/>
          <w:bCs w:val="0"/>
          <w:i w:val="0"/>
          <w:iCs w:val="0"/>
          <w:caps w:val="0"/>
          <w:color w:val="auto"/>
          <w:spacing w:val="0"/>
          <w:sz w:val="32"/>
          <w:szCs w:val="32"/>
          <w:lang w:val="en-US" w:eastAsia="zh-CN"/>
        </w:rPr>
        <w:t>（三）</w:t>
      </w:r>
      <w:r>
        <w:rPr>
          <w:rFonts w:ascii="仿宋_GB2312" w:eastAsia="仿宋_GB2312"/>
          <w:b/>
          <w:bCs w:val="0"/>
          <w:color w:val="auto"/>
          <w:sz w:val="32"/>
          <w:szCs w:val="32"/>
        </w:rPr>
        <w:t>本行政机关人大代表建议和政协提案办理结果公开情况</w:t>
      </w:r>
      <w:r>
        <w:rPr>
          <w:rStyle w:val="5"/>
          <w:rFonts w:hint="eastAsia" w:ascii="方正楷体简体" w:hAnsi="方正楷体简体" w:eastAsia="方正楷体简体" w:cs="方正楷体简体"/>
          <w:b/>
          <w:bCs w:val="0"/>
          <w:i w:val="0"/>
          <w:iCs w:val="0"/>
          <w:caps w:val="0"/>
          <w:color w:val="auto"/>
          <w:spacing w:val="0"/>
          <w:sz w:val="32"/>
          <w:szCs w:val="32"/>
          <w:lang w:val="en-US" w:eastAsia="zh-CN"/>
        </w:rPr>
        <w:t>：</w:t>
      </w:r>
    </w:p>
    <w:p w14:paraId="7EE37610">
      <w:pPr>
        <w:spacing w:line="600" w:lineRule="exact"/>
        <w:ind w:firstLine="643" w:firstLineChars="200"/>
        <w:rPr>
          <w:rFonts w:hint="eastAsia" w:ascii="方正仿宋简体" w:hAnsi="Calibri" w:eastAsia="方正仿宋简体"/>
          <w:b/>
          <w:color w:val="000000"/>
          <w:kern w:val="2"/>
          <w:sz w:val="32"/>
          <w:szCs w:val="32"/>
          <w:lang w:val="en-US" w:eastAsia="zh-CN"/>
        </w:rPr>
      </w:pPr>
      <w:r>
        <w:rPr>
          <w:rFonts w:hint="eastAsia" w:ascii="方正仿宋简体" w:hAnsi="Calibri" w:eastAsia="方正仿宋简体"/>
          <w:b/>
          <w:color w:val="000000"/>
          <w:kern w:val="2"/>
          <w:sz w:val="32"/>
          <w:szCs w:val="32"/>
          <w:lang w:val="en-US" w:eastAsia="zh-CN"/>
        </w:rPr>
        <w:t>2024年我部门未收到人大代表建议和政协提案。</w:t>
      </w:r>
    </w:p>
    <w:p w14:paraId="5BCB3CD3">
      <w:pPr>
        <w:spacing w:line="600" w:lineRule="exact"/>
        <w:ind w:firstLine="643" w:firstLineChars="200"/>
        <w:rPr>
          <w:rFonts w:hint="eastAsia" w:ascii="方正仿宋简体" w:hAnsi="Calibri" w:eastAsia="方正仿宋简体"/>
          <w:b/>
          <w:color w:val="000000"/>
          <w:kern w:val="2"/>
          <w:sz w:val="32"/>
          <w:szCs w:val="32"/>
          <w:lang w:val="en-US" w:eastAsia="zh-CN"/>
        </w:rPr>
      </w:pPr>
      <w:r>
        <w:rPr>
          <w:rStyle w:val="5"/>
          <w:rFonts w:hint="eastAsia" w:ascii="方正楷体简体" w:hAnsi="方正楷体简体" w:eastAsia="方正楷体简体" w:cs="方正楷体简体"/>
          <w:b/>
          <w:bCs w:val="0"/>
          <w:i w:val="0"/>
          <w:iCs w:val="0"/>
          <w:caps w:val="0"/>
          <w:color w:val="auto"/>
          <w:spacing w:val="0"/>
          <w:sz w:val="32"/>
          <w:szCs w:val="32"/>
          <w:lang w:val="en-US" w:eastAsia="zh-CN"/>
        </w:rPr>
        <w:t>（四）其他有关文件专门要求通过政府信息公开工作年度报告予以报告的事项：</w:t>
      </w:r>
      <w:r>
        <w:rPr>
          <w:rFonts w:hint="eastAsia" w:ascii="方正仿宋简体" w:hAnsi="Calibri" w:eastAsia="方正仿宋简体"/>
          <w:b/>
          <w:color w:val="000000"/>
          <w:kern w:val="2"/>
          <w:sz w:val="32"/>
          <w:szCs w:val="32"/>
          <w:lang w:val="en-US" w:eastAsia="zh-CN"/>
        </w:rPr>
        <w:t>无。</w:t>
      </w:r>
    </w:p>
    <w:p w14:paraId="562ACE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right="0"/>
        <w:jc w:val="both"/>
        <w:rPr>
          <w:rStyle w:val="5"/>
          <w:rFonts w:hint="default" w:ascii="方正仿宋简体" w:hAnsi="方正仿宋简体" w:eastAsia="方正仿宋简体" w:cs="方正仿宋简体"/>
          <w:b/>
          <w:bCs w:val="0"/>
          <w:i w:val="0"/>
          <w:iCs w:val="0"/>
          <w:caps w:val="0"/>
          <w:color w:val="auto"/>
          <w:spacing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99CE7"/>
    <w:multiLevelType w:val="singleLevel"/>
    <w:tmpl w:val="3C099CE7"/>
    <w:lvl w:ilvl="0" w:tentative="0">
      <w:start w:val="6"/>
      <w:numFmt w:val="chineseCounting"/>
      <w:suff w:val="nothing"/>
      <w:lvlText w:val="%1、"/>
      <w:lvlJc w:val="left"/>
      <w:rPr>
        <w:rFonts w:hint="eastAsia"/>
      </w:rPr>
    </w:lvl>
  </w:abstractNum>
  <w:abstractNum w:abstractNumId="1">
    <w:nsid w:val="51E85E86"/>
    <w:multiLevelType w:val="singleLevel"/>
    <w:tmpl w:val="51E85E8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WNmNTJjYTFiMjlmNmY3M2Y1OGFhMTA3NTYwMzkifQ=="/>
  </w:docVars>
  <w:rsids>
    <w:rsidRoot w:val="2EA42C5C"/>
    <w:rsid w:val="04630965"/>
    <w:rsid w:val="056106F1"/>
    <w:rsid w:val="06D9524C"/>
    <w:rsid w:val="08033CE1"/>
    <w:rsid w:val="0B460AB5"/>
    <w:rsid w:val="0C4D5E73"/>
    <w:rsid w:val="13946135"/>
    <w:rsid w:val="15911CED"/>
    <w:rsid w:val="17066528"/>
    <w:rsid w:val="182302AD"/>
    <w:rsid w:val="1A934ABE"/>
    <w:rsid w:val="1C8A21AD"/>
    <w:rsid w:val="211A6C39"/>
    <w:rsid w:val="215533A8"/>
    <w:rsid w:val="24B23B7B"/>
    <w:rsid w:val="29F34EC0"/>
    <w:rsid w:val="2EA42C5C"/>
    <w:rsid w:val="307C11E7"/>
    <w:rsid w:val="320B79AA"/>
    <w:rsid w:val="332E1CAB"/>
    <w:rsid w:val="37447484"/>
    <w:rsid w:val="37F60B61"/>
    <w:rsid w:val="46C33BD6"/>
    <w:rsid w:val="48563BE3"/>
    <w:rsid w:val="4C211F55"/>
    <w:rsid w:val="4D533946"/>
    <w:rsid w:val="4E402B66"/>
    <w:rsid w:val="4EC45545"/>
    <w:rsid w:val="4FFC544F"/>
    <w:rsid w:val="512F30ED"/>
    <w:rsid w:val="53D35A51"/>
    <w:rsid w:val="57044ED0"/>
    <w:rsid w:val="5B06013F"/>
    <w:rsid w:val="5B6D0D13"/>
    <w:rsid w:val="5F6D2429"/>
    <w:rsid w:val="60607DAB"/>
    <w:rsid w:val="63B45709"/>
    <w:rsid w:val="65BD63F3"/>
    <w:rsid w:val="68597FD5"/>
    <w:rsid w:val="68991270"/>
    <w:rsid w:val="6A58493C"/>
    <w:rsid w:val="6B4156BF"/>
    <w:rsid w:val="6CB74321"/>
    <w:rsid w:val="6F3911E0"/>
    <w:rsid w:val="6FBD3BBF"/>
    <w:rsid w:val="70B2346E"/>
    <w:rsid w:val="712577ED"/>
    <w:rsid w:val="74291BEF"/>
    <w:rsid w:val="757E3DD8"/>
    <w:rsid w:val="78BA219C"/>
    <w:rsid w:val="7BC462D5"/>
    <w:rsid w:val="7BEB1AB4"/>
    <w:rsid w:val="7DFA7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Emphasis"/>
    <w:basedOn w:val="4"/>
    <w:qFormat/>
    <w:uiPriority w:val="0"/>
    <w:rPr>
      <w:i/>
    </w:rPr>
  </w:style>
  <w:style w:type="character" w:styleId="7">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1944</Words>
  <Characters>2056</Characters>
  <Lines>0</Lines>
  <Paragraphs>0</Paragraphs>
  <TotalTime>0</TotalTime>
  <ScaleCrop>false</ScaleCrop>
  <LinksUpToDate>false</LinksUpToDate>
  <CharactersWithSpaces>2319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2024-01-16T07:25:00Z</dcterms:created>
  <dc:creator>Jarred</dc:creator>
  <cp:lastModifiedBy>张满月</cp:lastModifiedBy>
  <dcterms:modified xsi:type="dcterms:W3CDTF">2025-01-24T01:32:22Z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04A98BD978D7443991F98C5FE4B08B12_13</vt:lpwstr>
  </property>
  <property fmtid="{D5CDD505-2E9C-101B-9397-08002B2CF9AE}" pid="4" name="KSOTemplateDocerSaveRecord">
    <vt:lpwstr>eyJoZGlkIjoiODI0MjUyNDQ3ZDNmOWFkZjkxMmFiZTAwZGNhODEwYzAiLCJ1c2VySWQiOiIxMDcwNjU0NDE5In0=</vt:lpwstr>
  </property>
</Properties>
</file>