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rPr>
        <w:t>济宁高新区王因街道办事处2019年度政府信息公开工作年度报告</w:t>
      </w:r>
    </w:p>
    <w:bookmarkEnd w:id="0"/>
    <w:p>
      <w:pPr>
        <w:pStyle w:val="3"/>
        <w:keepNext w:val="0"/>
        <w:keepLines w:val="0"/>
        <w:widowControl/>
        <w:suppressLineNumbers w:val="0"/>
        <w:shd w:val="clear" w:fill="FFFFFF"/>
        <w:spacing w:before="0" w:beforeAutospacing="0" w:after="0" w:afterAutospacing="0" w:line="420" w:lineRule="atLeast"/>
        <w:ind w:left="0" w:right="0" w:firstLine="0"/>
        <w:rPr>
          <w:rFonts w:ascii="sans-serif" w:hAnsi="sans-serif" w:eastAsia="sans-serif" w:cs="sans-serif"/>
          <w:i w:val="0"/>
          <w:caps w:val="0"/>
          <w:color w:val="000000"/>
          <w:spacing w:val="0"/>
          <w:sz w:val="24"/>
          <w:szCs w:val="24"/>
        </w:rPr>
      </w:pPr>
      <w:r>
        <w:rPr>
          <w:rStyle w:val="6"/>
          <w:rFonts w:hint="eastAsia" w:ascii="宋体" w:hAnsi="宋体" w:eastAsia="宋体" w:cs="宋体"/>
          <w:b/>
          <w:i w:val="0"/>
          <w:caps w:val="0"/>
          <w:color w:val="000000"/>
          <w:spacing w:val="0"/>
          <w:sz w:val="24"/>
          <w:szCs w:val="24"/>
          <w:shd w:val="clear" w:fill="FFFFFF"/>
        </w:rPr>
        <w:t>一、总体情况</w:t>
      </w:r>
    </w:p>
    <w:p>
      <w:pPr>
        <w:pStyle w:val="3"/>
        <w:keepNext w:val="0"/>
        <w:keepLines w:val="0"/>
        <w:widowControl/>
        <w:suppressLineNumbers w:val="0"/>
        <w:shd w:val="clear" w:fill="FFFFFF"/>
        <w:spacing w:before="0" w:beforeAutospacing="0" w:after="0" w:afterAutospacing="0" w:line="420" w:lineRule="atLeast"/>
        <w:ind w:left="0" w:right="0" w:firstLine="0"/>
        <w:rPr>
          <w:rFonts w:hint="default" w:ascii="sans-serif" w:hAnsi="sans-serif" w:eastAsia="sans-serif" w:cs="sans-serif"/>
          <w:i w:val="0"/>
          <w:caps w:val="0"/>
          <w:color w:val="000000"/>
          <w:spacing w:val="0"/>
          <w:sz w:val="24"/>
          <w:szCs w:val="24"/>
        </w:rPr>
      </w:pPr>
      <w:r>
        <w:rPr>
          <w:rFonts w:ascii="仿宋_GB2312" w:hAnsi="宋体" w:eastAsia="仿宋_GB2312" w:cs="仿宋_GB2312"/>
          <w:i w:val="0"/>
          <w:caps w:val="0"/>
          <w:color w:val="000000"/>
          <w:spacing w:val="0"/>
          <w:sz w:val="31"/>
          <w:szCs w:val="31"/>
          <w:shd w:val="clear" w:fill="FFFFFF"/>
        </w:rPr>
        <w:t> </w:t>
      </w:r>
      <w:r>
        <w:rPr>
          <w:rFonts w:hint="default" w:ascii="仿宋_GB2312" w:hAnsi="宋体" w:eastAsia="仿宋_GB2312" w:cs="仿宋_GB2312"/>
          <w:i w:val="0"/>
          <w:caps w:val="0"/>
          <w:color w:val="000000"/>
          <w:spacing w:val="0"/>
          <w:sz w:val="31"/>
          <w:szCs w:val="31"/>
          <w:shd w:val="clear" w:fill="FFFFFF"/>
        </w:rPr>
        <w:t> </w:t>
      </w:r>
      <w:r>
        <w:rPr>
          <w:rFonts w:hint="eastAsia" w:ascii="宋体" w:hAnsi="宋体" w:eastAsia="宋体" w:cs="宋体"/>
          <w:i w:val="0"/>
          <w:caps w:val="0"/>
          <w:color w:val="000000"/>
          <w:spacing w:val="0"/>
          <w:sz w:val="31"/>
          <w:szCs w:val="31"/>
          <w:shd w:val="clear" w:fill="FFFFFF"/>
        </w:rPr>
        <w:t> 根据《中华人民共和国政府信息公开条例》和省市关于政府信息公开的有关要求规定，现向社会公布济宁高新区王因街道办事处2019年度政府信息公开年度工作报告。本报告由2019年政府信息公开工作总体情况、主动公开政府信息情况、收到和处理政府信息公开申请情况、政府信息公开行政复议、行政诉讼情况、存在的主要问题及改进情况、其他需要报告的事项等共六部分组成。</w:t>
      </w:r>
    </w:p>
    <w:p>
      <w:pPr>
        <w:pStyle w:val="3"/>
        <w:keepNext w:val="0"/>
        <w:keepLines w:val="0"/>
        <w:widowControl/>
        <w:suppressLineNumbers w:val="0"/>
        <w:shd w:val="clear" w:fill="FFFFFF"/>
        <w:spacing w:before="0" w:beforeAutospacing="0" w:after="0" w:afterAutospacing="0" w:line="420" w:lineRule="atLeast"/>
        <w:ind w:left="0" w:right="0" w:firstLine="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31"/>
          <w:szCs w:val="31"/>
          <w:shd w:val="clear" w:fill="FFFFFF"/>
        </w:rPr>
        <w:t>   本报告所列数据统计期限自2019年1月1日起至2019年12月31日止。</w:t>
      </w:r>
    </w:p>
    <w:p>
      <w:pPr>
        <w:pStyle w:val="3"/>
        <w:keepNext w:val="0"/>
        <w:keepLines w:val="0"/>
        <w:widowControl/>
        <w:suppressLineNumbers w:val="0"/>
        <w:shd w:val="clear" w:fill="FFFFFF"/>
        <w:spacing w:before="0" w:beforeAutospacing="0" w:after="0" w:afterAutospacing="0" w:line="420" w:lineRule="atLeast"/>
        <w:ind w:left="0" w:right="0" w:firstLine="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31"/>
          <w:szCs w:val="31"/>
          <w:shd w:val="clear" w:fill="FFFFFF"/>
        </w:rPr>
        <w:t>   2019年度济宁高新区王因街道办事处主动公开组织机构类信息3条，政策文件类信息8条，会议公开类信息15条，规划计划类信息4条，财政资金类信息1条，行政权力运行公开信息12条，重点领域信息公开19条，应急管理类信息12条，政务公开管理类信息1条，政务动态类信息19条，主动公开基本目录1条。</w:t>
      </w:r>
    </w:p>
    <w:p>
      <w:pPr>
        <w:pStyle w:val="3"/>
        <w:keepNext w:val="0"/>
        <w:keepLines w:val="0"/>
        <w:widowControl/>
        <w:suppressLineNumbers w:val="0"/>
        <w:shd w:val="clear" w:fill="FFFFFF"/>
        <w:spacing w:before="0" w:beforeAutospacing="0" w:after="0" w:afterAutospacing="0" w:line="420" w:lineRule="atLeast"/>
        <w:ind w:left="0" w:right="0" w:firstLine="0"/>
        <w:rPr>
          <w:rFonts w:hint="default" w:ascii="sans-serif" w:hAnsi="sans-serif" w:eastAsia="sans-serif" w:cs="sans-serif"/>
          <w:i w:val="0"/>
          <w:caps w:val="0"/>
          <w:color w:val="000000"/>
          <w:spacing w:val="0"/>
          <w:sz w:val="24"/>
          <w:szCs w:val="24"/>
        </w:rPr>
      </w:pPr>
      <w:r>
        <w:rPr>
          <w:rStyle w:val="6"/>
          <w:rFonts w:hint="eastAsia" w:ascii="宋体" w:hAnsi="宋体" w:eastAsia="宋体" w:cs="宋体"/>
          <w:b/>
          <w:i w:val="0"/>
          <w:caps w:val="0"/>
          <w:color w:val="000000"/>
          <w:spacing w:val="0"/>
          <w:sz w:val="24"/>
          <w:szCs w:val="24"/>
          <w:shd w:val="clear" w:fill="FFFFFF"/>
        </w:rPr>
        <w:t> </w:t>
      </w:r>
    </w:p>
    <w:p>
      <w:pPr>
        <w:pStyle w:val="3"/>
        <w:keepNext w:val="0"/>
        <w:keepLines w:val="0"/>
        <w:widowControl/>
        <w:suppressLineNumbers w:val="0"/>
        <w:shd w:val="clear" w:fill="FFFFFF"/>
        <w:spacing w:before="0" w:beforeAutospacing="0" w:after="240" w:afterAutospacing="0" w:line="420" w:lineRule="atLeast"/>
        <w:ind w:left="0" w:right="0" w:firstLine="0"/>
        <w:rPr>
          <w:rFonts w:hint="default" w:ascii="sans-serif" w:hAnsi="sans-serif" w:eastAsia="sans-serif" w:cs="sans-serif"/>
          <w:i w:val="0"/>
          <w:caps w:val="0"/>
          <w:color w:val="000000"/>
          <w:spacing w:val="0"/>
          <w:sz w:val="24"/>
          <w:szCs w:val="24"/>
        </w:rPr>
      </w:pPr>
      <w:r>
        <w:rPr>
          <w:rStyle w:val="6"/>
          <w:rFonts w:hint="eastAsia" w:ascii="宋体" w:hAnsi="宋体" w:eastAsia="宋体" w:cs="宋体"/>
          <w:b/>
          <w:i w:val="0"/>
          <w:caps w:val="0"/>
          <w:color w:val="000000"/>
          <w:spacing w:val="0"/>
          <w:sz w:val="24"/>
          <w:szCs w:val="24"/>
          <w:shd w:val="clear" w:fill="FFFFFF"/>
        </w:rPr>
        <w:t>二、主动公开政府信息情况</w:t>
      </w:r>
    </w:p>
    <w:tbl>
      <w:tblPr>
        <w:tblW w:w="8145" w:type="dxa"/>
        <w:jc w:val="center"/>
        <w:shd w:val="clear"/>
        <w:tblLayout w:type="autofit"/>
        <w:tblCellMar>
          <w:top w:w="15" w:type="dxa"/>
          <w:left w:w="15" w:type="dxa"/>
          <w:bottom w:w="15" w:type="dxa"/>
          <w:right w:w="15" w:type="dxa"/>
        </w:tblCellMar>
      </w:tblPr>
      <w:tblGrid>
        <w:gridCol w:w="3120"/>
        <w:gridCol w:w="1875"/>
        <w:gridCol w:w="1275"/>
        <w:gridCol w:w="1875"/>
      </w:tblGrid>
      <w:tr>
        <w:tblPrEx>
          <w:shd w:val="clear"/>
          <w:tblCellMar>
            <w:top w:w="15" w:type="dxa"/>
            <w:left w:w="15" w:type="dxa"/>
            <w:bottom w:w="15" w:type="dxa"/>
            <w:right w:w="15" w:type="dxa"/>
          </w:tblCellMar>
        </w:tblPrEx>
        <w:trPr>
          <w:trHeight w:val="495" w:hRule="atLeast"/>
          <w:jc w:val="center"/>
        </w:trPr>
        <w:tc>
          <w:tcPr>
            <w:tcW w:w="8145"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第二十条第（一）项</w:t>
            </w:r>
          </w:p>
        </w:tc>
      </w:tr>
      <w:tr>
        <w:tblPrEx>
          <w:shd w:val="clear"/>
          <w:tblCellMar>
            <w:top w:w="15" w:type="dxa"/>
            <w:left w:w="15" w:type="dxa"/>
            <w:bottom w:w="15" w:type="dxa"/>
            <w:right w:w="15" w:type="dxa"/>
          </w:tblCellMar>
        </w:tblPrEx>
        <w:trPr>
          <w:trHeight w:val="885" w:hRule="atLeast"/>
          <w:jc w:val="center"/>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bdr w:val="none" w:color="auto" w:sz="0" w:space="0"/>
              </w:rPr>
              <w:t>信息内容</w:t>
            </w:r>
          </w:p>
        </w:tc>
        <w:tc>
          <w:tcPr>
            <w:tcW w:w="18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本年新</w:t>
            </w:r>
            <w:r>
              <w:rPr>
                <w:rFonts w:ascii="Calibri" w:hAnsi="Calibri" w:cs="Calibri"/>
                <w:sz w:val="19"/>
                <w:szCs w:val="19"/>
                <w:bdr w:val="none" w:color="auto" w:sz="0" w:space="0"/>
              </w:rPr>
              <w:t>制作数量</w:t>
            </w:r>
          </w:p>
        </w:tc>
        <w:tc>
          <w:tcPr>
            <w:tcW w:w="12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本年新</w:t>
            </w:r>
            <w:r>
              <w:rPr>
                <w:rFonts w:hint="default" w:ascii="Calibri" w:hAnsi="Calibri" w:cs="Calibri"/>
                <w:sz w:val="19"/>
                <w:szCs w:val="19"/>
                <w:bdr w:val="none" w:color="auto" w:sz="0" w:space="0"/>
              </w:rPr>
              <w:t>公开数量</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对外公开总数量</w:t>
            </w:r>
          </w:p>
        </w:tc>
      </w:tr>
      <w:tr>
        <w:tblPrEx>
          <w:tblCellMar>
            <w:top w:w="15" w:type="dxa"/>
            <w:left w:w="15" w:type="dxa"/>
            <w:bottom w:w="15" w:type="dxa"/>
            <w:right w:w="15" w:type="dxa"/>
          </w:tblCellMar>
        </w:tblPrEx>
        <w:trPr>
          <w:trHeight w:val="525" w:hRule="atLeast"/>
          <w:jc w:val="center"/>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bdr w:val="none" w:color="auto" w:sz="0" w:space="0"/>
              </w:rPr>
              <w:t>规章</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12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CellMar>
            <w:top w:w="15" w:type="dxa"/>
            <w:left w:w="15" w:type="dxa"/>
            <w:bottom w:w="15" w:type="dxa"/>
            <w:right w:w="15" w:type="dxa"/>
          </w:tblCellMar>
        </w:tblPrEx>
        <w:trPr>
          <w:trHeight w:val="465" w:hRule="atLeast"/>
          <w:jc w:val="center"/>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bdr w:val="none" w:color="auto" w:sz="0" w:space="0"/>
              </w:rPr>
              <w:t>规范性文件</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12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CellMar>
            <w:top w:w="15" w:type="dxa"/>
            <w:left w:w="15" w:type="dxa"/>
            <w:bottom w:w="15" w:type="dxa"/>
            <w:right w:w="15" w:type="dxa"/>
          </w:tblCellMar>
        </w:tblPrEx>
        <w:trPr>
          <w:trHeight w:val="480" w:hRule="atLeast"/>
          <w:jc w:val="center"/>
        </w:trPr>
        <w:tc>
          <w:tcPr>
            <w:tcW w:w="814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第二十条第（五）项</w:t>
            </w:r>
          </w:p>
        </w:tc>
      </w:tr>
      <w:tr>
        <w:tblPrEx>
          <w:tblCellMar>
            <w:top w:w="15" w:type="dxa"/>
            <w:left w:w="15" w:type="dxa"/>
            <w:bottom w:w="15" w:type="dxa"/>
            <w:right w:w="15" w:type="dxa"/>
          </w:tblCellMar>
        </w:tblPrEx>
        <w:trPr>
          <w:trHeight w:val="630" w:hRule="atLeast"/>
          <w:jc w:val="center"/>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信息内容</w:t>
            </w:r>
          </w:p>
        </w:tc>
        <w:tc>
          <w:tcPr>
            <w:tcW w:w="18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上一年项目数量</w:t>
            </w:r>
          </w:p>
        </w:tc>
        <w:tc>
          <w:tcPr>
            <w:tcW w:w="12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本年增/减</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处理决定数量</w:t>
            </w:r>
          </w:p>
        </w:tc>
      </w:tr>
      <w:tr>
        <w:tblPrEx>
          <w:tblCellMar>
            <w:top w:w="15" w:type="dxa"/>
            <w:left w:w="15" w:type="dxa"/>
            <w:bottom w:w="15" w:type="dxa"/>
            <w:right w:w="15" w:type="dxa"/>
          </w:tblCellMar>
        </w:tblPrEx>
        <w:trPr>
          <w:trHeight w:val="525" w:hRule="atLeast"/>
          <w:jc w:val="center"/>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bdr w:val="none" w:color="auto" w:sz="0" w:space="0"/>
              </w:rPr>
              <w:t>行政许可</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bdr w:val="none" w:color="auto" w:sz="0" w:space="0"/>
              </w:rPr>
              <w:t>　</w:t>
            </w:r>
            <w:r>
              <w:rPr>
                <w:rFonts w:hint="eastAsia" w:ascii="宋体" w:hAnsi="宋体" w:eastAsia="宋体" w:cs="宋体"/>
                <w:sz w:val="19"/>
                <w:szCs w:val="19"/>
                <w:bdr w:val="none" w:color="auto" w:sz="0" w:space="0"/>
              </w:rPr>
              <w:t>0</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bdr w:val="none" w:color="auto" w:sz="0" w:space="0"/>
              </w:rPr>
              <w:t>　</w:t>
            </w:r>
            <w:r>
              <w:rPr>
                <w:rFonts w:hint="eastAsia" w:ascii="宋体" w:hAnsi="宋体" w:eastAsia="宋体" w:cs="宋体"/>
                <w:sz w:val="19"/>
                <w:szCs w:val="19"/>
                <w:bdr w:val="none" w:color="auto" w:sz="0" w:space="0"/>
              </w:rPr>
              <w:t>0</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bdr w:val="none" w:color="auto" w:sz="0" w:space="0"/>
              </w:rPr>
              <w:t>　</w:t>
            </w:r>
            <w:r>
              <w:rPr>
                <w:rFonts w:hint="eastAsia" w:ascii="宋体" w:hAnsi="宋体" w:eastAsia="宋体" w:cs="宋体"/>
                <w:sz w:val="19"/>
                <w:szCs w:val="19"/>
                <w:bdr w:val="none" w:color="auto" w:sz="0" w:space="0"/>
              </w:rPr>
              <w:t>0</w:t>
            </w:r>
          </w:p>
        </w:tc>
      </w:tr>
      <w:tr>
        <w:tblPrEx>
          <w:tblCellMar>
            <w:top w:w="15" w:type="dxa"/>
            <w:left w:w="15" w:type="dxa"/>
            <w:bottom w:w="15" w:type="dxa"/>
            <w:right w:w="15" w:type="dxa"/>
          </w:tblCellMar>
        </w:tblPrEx>
        <w:trPr>
          <w:trHeight w:val="555" w:hRule="atLeast"/>
          <w:jc w:val="center"/>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bdr w:val="none" w:color="auto" w:sz="0" w:space="0"/>
              </w:rPr>
              <w:t>其他对外管理服务事项</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bdr w:val="none" w:color="auto" w:sz="0" w:space="0"/>
              </w:rPr>
              <w:t>　</w:t>
            </w:r>
            <w:r>
              <w:rPr>
                <w:rFonts w:hint="eastAsia" w:ascii="宋体" w:hAnsi="宋体" w:eastAsia="宋体" w:cs="宋体"/>
                <w:sz w:val="19"/>
                <w:szCs w:val="19"/>
                <w:bdr w:val="none" w:color="auto" w:sz="0" w:space="0"/>
              </w:rPr>
              <w:t>0</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bdr w:val="none" w:color="auto" w:sz="0" w:space="0"/>
              </w:rPr>
              <w:t>　</w:t>
            </w:r>
            <w:r>
              <w:rPr>
                <w:rFonts w:hint="eastAsia" w:ascii="宋体" w:hAnsi="宋体" w:eastAsia="宋体" w:cs="宋体"/>
                <w:sz w:val="19"/>
                <w:szCs w:val="19"/>
                <w:bdr w:val="none" w:color="auto" w:sz="0" w:space="0"/>
              </w:rPr>
              <w:t>0</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bdr w:val="none" w:color="auto" w:sz="0" w:space="0"/>
              </w:rPr>
              <w:t>　</w:t>
            </w:r>
            <w:r>
              <w:rPr>
                <w:rFonts w:hint="eastAsia" w:ascii="宋体" w:hAnsi="宋体" w:eastAsia="宋体" w:cs="宋体"/>
                <w:sz w:val="19"/>
                <w:szCs w:val="19"/>
                <w:bdr w:val="none" w:color="auto" w:sz="0" w:space="0"/>
              </w:rPr>
              <w:t>0</w:t>
            </w:r>
          </w:p>
        </w:tc>
      </w:tr>
      <w:tr>
        <w:tblPrEx>
          <w:tblCellMar>
            <w:top w:w="15" w:type="dxa"/>
            <w:left w:w="15" w:type="dxa"/>
            <w:bottom w:w="15" w:type="dxa"/>
            <w:right w:w="15" w:type="dxa"/>
          </w:tblCellMar>
        </w:tblPrEx>
        <w:trPr>
          <w:trHeight w:val="405" w:hRule="atLeast"/>
          <w:jc w:val="center"/>
        </w:trPr>
        <w:tc>
          <w:tcPr>
            <w:tcW w:w="814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第二十条第（六）项</w:t>
            </w:r>
          </w:p>
        </w:tc>
      </w:tr>
      <w:tr>
        <w:tblPrEx>
          <w:tblCellMar>
            <w:top w:w="15" w:type="dxa"/>
            <w:left w:w="15" w:type="dxa"/>
            <w:bottom w:w="15" w:type="dxa"/>
            <w:right w:w="15" w:type="dxa"/>
          </w:tblCellMar>
        </w:tblPrEx>
        <w:trPr>
          <w:trHeight w:val="630" w:hRule="atLeast"/>
          <w:jc w:val="center"/>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信息内容</w:t>
            </w:r>
          </w:p>
        </w:tc>
        <w:tc>
          <w:tcPr>
            <w:tcW w:w="18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上一年项目数量</w:t>
            </w:r>
          </w:p>
        </w:tc>
        <w:tc>
          <w:tcPr>
            <w:tcW w:w="12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本年增/减</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处理决定数量</w:t>
            </w:r>
          </w:p>
        </w:tc>
      </w:tr>
      <w:tr>
        <w:tblPrEx>
          <w:tblCellMar>
            <w:top w:w="15" w:type="dxa"/>
            <w:left w:w="15" w:type="dxa"/>
            <w:bottom w:w="15" w:type="dxa"/>
            <w:right w:w="15" w:type="dxa"/>
          </w:tblCellMar>
        </w:tblPrEx>
        <w:trPr>
          <w:trHeight w:val="435" w:hRule="atLeast"/>
          <w:jc w:val="center"/>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bdr w:val="none" w:color="auto" w:sz="0" w:space="0"/>
              </w:rPr>
              <w:t>行政处罚</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CellMar>
            <w:top w:w="15" w:type="dxa"/>
            <w:left w:w="15" w:type="dxa"/>
            <w:bottom w:w="15" w:type="dxa"/>
            <w:right w:w="15" w:type="dxa"/>
          </w:tblCellMar>
        </w:tblPrEx>
        <w:trPr>
          <w:trHeight w:val="405" w:hRule="atLeast"/>
          <w:jc w:val="center"/>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bdr w:val="none" w:color="auto" w:sz="0" w:space="0"/>
              </w:rPr>
              <w:t>行政强制</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CellMar>
            <w:top w:w="15" w:type="dxa"/>
            <w:left w:w="15" w:type="dxa"/>
            <w:bottom w:w="15" w:type="dxa"/>
            <w:right w:w="15" w:type="dxa"/>
          </w:tblCellMar>
        </w:tblPrEx>
        <w:trPr>
          <w:trHeight w:val="480" w:hRule="atLeast"/>
          <w:jc w:val="center"/>
        </w:trPr>
        <w:tc>
          <w:tcPr>
            <w:tcW w:w="814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第二十条第（八）项</w:t>
            </w:r>
          </w:p>
        </w:tc>
      </w:tr>
      <w:tr>
        <w:tblPrEx>
          <w:tblCellMar>
            <w:top w:w="15" w:type="dxa"/>
            <w:left w:w="15" w:type="dxa"/>
            <w:bottom w:w="15" w:type="dxa"/>
            <w:right w:w="15" w:type="dxa"/>
          </w:tblCellMar>
        </w:tblPrEx>
        <w:trPr>
          <w:trHeight w:val="270" w:hRule="atLeast"/>
          <w:jc w:val="center"/>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信息内容</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bdr w:val="none" w:color="auto" w:sz="0" w:space="0"/>
              </w:rPr>
              <w:t>上一年项目数量</w:t>
            </w:r>
          </w:p>
        </w:tc>
        <w:tc>
          <w:tcPr>
            <w:tcW w:w="3150" w:type="dxa"/>
            <w:gridSpan w:val="2"/>
            <w:tcBorders>
              <w:top w:val="single" w:color="auto" w:sz="6" w:space="0"/>
              <w:left w:val="nil"/>
              <w:bottom w:val="single" w:color="auto"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本年增/减</w:t>
            </w:r>
          </w:p>
        </w:tc>
      </w:tr>
      <w:tr>
        <w:tblPrEx>
          <w:tblCellMar>
            <w:top w:w="15" w:type="dxa"/>
            <w:left w:w="15" w:type="dxa"/>
            <w:bottom w:w="15" w:type="dxa"/>
            <w:right w:w="15" w:type="dxa"/>
          </w:tblCellMar>
        </w:tblPrEx>
        <w:trPr>
          <w:trHeight w:val="555" w:hRule="atLeast"/>
          <w:jc w:val="center"/>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bdr w:val="none" w:color="auto" w:sz="0" w:space="0"/>
              </w:rPr>
              <w:t>行政事业性收费</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3150"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0 </w:t>
            </w:r>
          </w:p>
        </w:tc>
      </w:tr>
      <w:tr>
        <w:tblPrEx>
          <w:tblCellMar>
            <w:top w:w="15" w:type="dxa"/>
            <w:left w:w="15" w:type="dxa"/>
            <w:bottom w:w="15" w:type="dxa"/>
            <w:right w:w="15" w:type="dxa"/>
          </w:tblCellMar>
        </w:tblPrEx>
        <w:trPr>
          <w:trHeight w:val="480" w:hRule="atLeast"/>
          <w:jc w:val="center"/>
        </w:trPr>
        <w:tc>
          <w:tcPr>
            <w:tcW w:w="814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第二十条第（九）项</w:t>
            </w:r>
          </w:p>
        </w:tc>
      </w:tr>
      <w:tr>
        <w:tblPrEx>
          <w:tblCellMar>
            <w:top w:w="15" w:type="dxa"/>
            <w:left w:w="15" w:type="dxa"/>
            <w:bottom w:w="15" w:type="dxa"/>
            <w:right w:w="15" w:type="dxa"/>
          </w:tblCellMar>
        </w:tblPrEx>
        <w:trPr>
          <w:trHeight w:val="585" w:hRule="atLeast"/>
          <w:jc w:val="center"/>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信息内容</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采购项目数量</w:t>
            </w:r>
          </w:p>
        </w:tc>
        <w:tc>
          <w:tcPr>
            <w:tcW w:w="3150" w:type="dxa"/>
            <w:gridSpan w:val="2"/>
            <w:tcBorders>
              <w:top w:val="single" w:color="auto" w:sz="6" w:space="0"/>
              <w:left w:val="nil"/>
              <w:bottom w:val="single" w:color="auto"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采购总金额</w:t>
            </w:r>
          </w:p>
        </w:tc>
      </w:tr>
      <w:tr>
        <w:tblPrEx>
          <w:tblCellMar>
            <w:top w:w="15" w:type="dxa"/>
            <w:left w:w="15" w:type="dxa"/>
            <w:bottom w:w="15" w:type="dxa"/>
            <w:right w:w="15" w:type="dxa"/>
          </w:tblCellMar>
        </w:tblPrEx>
        <w:trPr>
          <w:trHeight w:val="540" w:hRule="atLeast"/>
          <w:jc w:val="center"/>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bdr w:val="none" w:color="auto" w:sz="0" w:space="0"/>
              </w:rPr>
              <w:t>政府集中采购</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3150"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sz w:val="24"/>
                <w:szCs w:val="24"/>
                <w:bdr w:val="none" w:color="auto" w:sz="0" w:space="0"/>
              </w:rPr>
              <w:t>0</w:t>
            </w:r>
          </w:p>
        </w:tc>
      </w:tr>
    </w:tbl>
    <w:p>
      <w:pPr>
        <w:pStyle w:val="3"/>
        <w:keepNext w:val="0"/>
        <w:keepLines w:val="0"/>
        <w:widowControl/>
        <w:suppressLineNumbers w:val="0"/>
        <w:shd w:val="clear" w:fill="FFFFFF"/>
        <w:spacing w:before="0" w:beforeAutospacing="0" w:after="0" w:afterAutospacing="0" w:line="420" w:lineRule="atLeast"/>
        <w:ind w:left="0" w:right="0" w:firstLine="42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3"/>
        <w:keepNext w:val="0"/>
        <w:keepLines w:val="0"/>
        <w:widowControl/>
        <w:suppressLineNumbers w:val="0"/>
        <w:shd w:val="clear" w:fill="FFFFFF"/>
        <w:spacing w:before="0" w:beforeAutospacing="0" w:after="240" w:afterAutospacing="0" w:line="420" w:lineRule="atLeast"/>
        <w:ind w:left="0" w:right="0" w:firstLine="420"/>
        <w:jc w:val="both"/>
        <w:rPr>
          <w:rFonts w:hint="default" w:ascii="sans-serif" w:hAnsi="sans-serif" w:eastAsia="sans-serif" w:cs="sans-serif"/>
          <w:i w:val="0"/>
          <w:caps w:val="0"/>
          <w:color w:val="000000"/>
          <w:spacing w:val="0"/>
          <w:sz w:val="24"/>
          <w:szCs w:val="24"/>
        </w:rPr>
      </w:pPr>
      <w:r>
        <w:rPr>
          <w:rStyle w:val="6"/>
          <w:rFonts w:hint="eastAsia" w:ascii="宋体" w:hAnsi="宋体" w:eastAsia="宋体" w:cs="宋体"/>
          <w:b/>
          <w:i w:val="0"/>
          <w:caps w:val="0"/>
          <w:color w:val="000000"/>
          <w:spacing w:val="0"/>
          <w:sz w:val="31"/>
          <w:szCs w:val="31"/>
          <w:shd w:val="clear" w:fill="FFFFFF"/>
        </w:rPr>
        <w:t>三、收到和处理政府信息公开申请情况</w:t>
      </w:r>
    </w:p>
    <w:tbl>
      <w:tblPr>
        <w:tblW w:w="90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14"/>
        <w:gridCol w:w="854"/>
        <w:gridCol w:w="2080"/>
        <w:gridCol w:w="809"/>
        <w:gridCol w:w="749"/>
        <w:gridCol w:w="749"/>
        <w:gridCol w:w="809"/>
        <w:gridCol w:w="973"/>
        <w:gridCol w:w="719"/>
        <w:gridCol w:w="7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555" w:type="dxa"/>
            <w:gridSpan w:val="3"/>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（本列数据的勾稽关系为：第一项加第二项之和，等于第三项加第四项之和）</w:t>
            </w:r>
          </w:p>
        </w:tc>
        <w:tc>
          <w:tcPr>
            <w:tcW w:w="5520" w:type="dxa"/>
            <w:gridSpan w:val="7"/>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555"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1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自然人</w:t>
            </w:r>
          </w:p>
        </w:tc>
        <w:tc>
          <w:tcPr>
            <w:tcW w:w="4005" w:type="dxa"/>
            <w:gridSpan w:val="5"/>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法人或其他组织</w:t>
            </w:r>
          </w:p>
        </w:tc>
        <w:tc>
          <w:tcPr>
            <w:tcW w:w="69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555"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商业企业</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科研机构</w:t>
            </w:r>
          </w:p>
        </w:tc>
        <w:tc>
          <w:tcPr>
            <w:tcW w:w="81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社会公益组织</w:t>
            </w:r>
          </w:p>
        </w:tc>
        <w:tc>
          <w:tcPr>
            <w:tcW w:w="9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法律服务机构</w:t>
            </w:r>
          </w:p>
        </w:tc>
        <w:tc>
          <w:tcPr>
            <w:tcW w:w="7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其他</w:t>
            </w:r>
          </w:p>
        </w:tc>
        <w:tc>
          <w:tcPr>
            <w:tcW w:w="69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55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bdr w:val="none" w:color="auto" w:sz="0" w:space="0"/>
              </w:rPr>
              <w:t>一、本年新收政府信息公开申请数量</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55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bdr w:val="none" w:color="auto" w:sz="0" w:space="0"/>
              </w:rPr>
              <w:t>二、上年结转政府信息公开申请数量</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三、本年度办理结果</w:t>
            </w:r>
          </w:p>
        </w:tc>
        <w:tc>
          <w:tcPr>
            <w:tcW w:w="294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ascii="楷体" w:hAnsi="楷体" w:eastAsia="楷体" w:cs="楷体"/>
                <w:sz w:val="19"/>
                <w:szCs w:val="19"/>
                <w:bdr w:val="none" w:color="auto" w:sz="0" w:space="0"/>
              </w:rPr>
              <w:t>（一）予以公开</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94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（二）部分公开（区分处理的，只计这一情形，不计其他情形）</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（三）不予公开</w:t>
            </w: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1.属于国家秘密</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2.其他法律行政法规禁止公开</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3.危及“三安全一稳定”</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4.保护第三方合法权益</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5.属于三类内部事务信息</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6.属于四类过程性信息</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7.属于行政执法案卷</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8.属于行政查询事项</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（四）无法提供</w:t>
            </w: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1.本机关不掌握相关政府信息</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2.没有现成信息需要另行制作</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3.补正后申请内容仍不明确</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（五）不予处理</w:t>
            </w: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1.信访举报投诉类申请</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2.重复申请</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3.要求提供公开出版物</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4.无正当理由大量反复申请</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5.要求行政机关确认或重新出具已获取信息</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94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（六）其他处理</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94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（七）总计</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55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bdr w:val="none" w:color="auto" w:sz="0" w:space="0"/>
              </w:rPr>
              <w:t>四、结转下年度继续办理</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4"/>
                <w:szCs w:val="24"/>
                <w:bdr w:val="none" w:color="auto" w:sz="0" w:space="0"/>
              </w:rPr>
              <w:t>0</w:t>
            </w:r>
          </w:p>
        </w:tc>
      </w:tr>
    </w:tbl>
    <w:p>
      <w:pPr>
        <w:pStyle w:val="3"/>
        <w:keepNext w:val="0"/>
        <w:keepLines w:val="0"/>
        <w:widowControl/>
        <w:suppressLineNumbers w:val="0"/>
        <w:shd w:val="clear" w:fill="FFFFFF"/>
        <w:spacing w:before="0" w:beforeAutospacing="0" w:after="0" w:afterAutospacing="0" w:line="420" w:lineRule="atLeast"/>
        <w:ind w:left="0" w:right="0" w:firstLine="420"/>
        <w:jc w:val="both"/>
        <w:rPr>
          <w:rFonts w:hint="default" w:ascii="sans-serif" w:hAnsi="sans-serif" w:eastAsia="sans-serif" w:cs="sans-serif"/>
          <w:i w:val="0"/>
          <w:caps w:val="0"/>
          <w:color w:val="000000"/>
          <w:spacing w:val="0"/>
          <w:sz w:val="24"/>
          <w:szCs w:val="24"/>
        </w:rPr>
      </w:pPr>
      <w:r>
        <w:rPr>
          <w:rStyle w:val="6"/>
          <w:rFonts w:hint="eastAsia" w:ascii="宋体" w:hAnsi="宋体" w:eastAsia="宋体" w:cs="宋体"/>
          <w:b/>
          <w:i w:val="0"/>
          <w:caps w:val="0"/>
          <w:color w:val="000000"/>
          <w:spacing w:val="0"/>
          <w:sz w:val="31"/>
          <w:szCs w:val="31"/>
          <w:shd w:val="clear" w:fill="FFFFFF"/>
        </w:rPr>
        <w:t>四、政府信息公开行政复议、行政诉讼情况</w:t>
      </w:r>
    </w:p>
    <w:p>
      <w:pPr>
        <w:pStyle w:val="3"/>
        <w:keepNext w:val="0"/>
        <w:keepLines w:val="0"/>
        <w:widowControl/>
        <w:suppressLineNumbers w:val="0"/>
        <w:shd w:val="clear" w:fill="FFFFFF"/>
        <w:spacing w:before="0" w:beforeAutospacing="0" w:after="0" w:afterAutospacing="0" w:line="420" w:lineRule="atLeast"/>
        <w:ind w:left="0" w:right="0" w:firstLine="42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tbl>
      <w:tblPr>
        <w:tblW w:w="903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00"/>
        <w:gridCol w:w="600"/>
        <w:gridCol w:w="600"/>
        <w:gridCol w:w="600"/>
        <w:gridCol w:w="675"/>
        <w:gridCol w:w="555"/>
        <w:gridCol w:w="600"/>
        <w:gridCol w:w="600"/>
        <w:gridCol w:w="600"/>
        <w:gridCol w:w="615"/>
        <w:gridCol w:w="600"/>
        <w:gridCol w:w="600"/>
        <w:gridCol w:w="600"/>
        <w:gridCol w:w="600"/>
        <w:gridCol w:w="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075" w:type="dxa"/>
            <w:gridSpan w:val="5"/>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行政复议</w:t>
            </w:r>
          </w:p>
        </w:tc>
        <w:tc>
          <w:tcPr>
            <w:tcW w:w="5955" w:type="dxa"/>
            <w:gridSpan w:val="10"/>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0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结果维持</w:t>
            </w:r>
          </w:p>
        </w:tc>
        <w:tc>
          <w:tcPr>
            <w:tcW w:w="60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结果纠正</w:t>
            </w:r>
          </w:p>
        </w:tc>
        <w:tc>
          <w:tcPr>
            <w:tcW w:w="60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其他结果</w:t>
            </w:r>
          </w:p>
        </w:tc>
        <w:tc>
          <w:tcPr>
            <w:tcW w:w="60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尚未审结</w:t>
            </w:r>
          </w:p>
        </w:tc>
        <w:tc>
          <w:tcPr>
            <w:tcW w:w="66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总计</w:t>
            </w:r>
          </w:p>
        </w:tc>
        <w:tc>
          <w:tcPr>
            <w:tcW w:w="2970" w:type="dxa"/>
            <w:gridSpan w:val="5"/>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未经复议直接起诉</w:t>
            </w:r>
          </w:p>
        </w:tc>
        <w:tc>
          <w:tcPr>
            <w:tcW w:w="2985" w:type="dxa"/>
            <w:gridSpan w:val="5"/>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结果维持</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结果纠正</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其他结果</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尚未审结</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总计</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结果维持</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结果纠正</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其他结果</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尚未审结</w:t>
            </w:r>
          </w:p>
        </w:tc>
        <w:tc>
          <w:tcPr>
            <w:tcW w:w="57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bl>
    <w:p>
      <w:pPr>
        <w:pStyle w:val="3"/>
        <w:keepNext w:val="0"/>
        <w:keepLines w:val="0"/>
        <w:widowControl/>
        <w:suppressLineNumbers w:val="0"/>
        <w:shd w:val="clear" w:fill="FFFFFF"/>
        <w:spacing w:before="0" w:beforeAutospacing="0" w:after="0" w:afterAutospacing="0" w:line="420" w:lineRule="atLeast"/>
        <w:ind w:left="0" w:right="0" w:firstLine="42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3"/>
        <w:keepNext w:val="0"/>
        <w:keepLines w:val="0"/>
        <w:widowControl/>
        <w:suppressLineNumbers w:val="0"/>
        <w:shd w:val="clear" w:fill="FFFFFF"/>
        <w:spacing w:before="0" w:beforeAutospacing="0" w:after="0" w:afterAutospacing="0" w:line="420" w:lineRule="atLeast"/>
        <w:ind w:left="0" w:right="0" w:firstLine="420"/>
        <w:rPr>
          <w:rFonts w:hint="default" w:ascii="sans-serif" w:hAnsi="sans-serif" w:eastAsia="sans-serif" w:cs="sans-serif"/>
          <w:i w:val="0"/>
          <w:caps w:val="0"/>
          <w:color w:val="000000"/>
          <w:spacing w:val="0"/>
          <w:sz w:val="24"/>
          <w:szCs w:val="24"/>
        </w:rPr>
      </w:pPr>
      <w:r>
        <w:rPr>
          <w:rStyle w:val="6"/>
          <w:rFonts w:hint="eastAsia" w:ascii="宋体" w:hAnsi="宋体" w:eastAsia="宋体" w:cs="宋体"/>
          <w:b/>
          <w:i w:val="0"/>
          <w:caps w:val="0"/>
          <w:color w:val="000000"/>
          <w:spacing w:val="0"/>
          <w:sz w:val="24"/>
          <w:szCs w:val="24"/>
          <w:shd w:val="clear" w:fill="FFFFFF"/>
        </w:rPr>
        <w:t>四、政府信息公开行政复议、行政诉讼情况</w:t>
      </w:r>
    </w:p>
    <w:p>
      <w:pPr>
        <w:pStyle w:val="3"/>
        <w:keepNext w:val="0"/>
        <w:keepLines w:val="0"/>
        <w:widowControl/>
        <w:suppressLineNumbers w:val="0"/>
        <w:shd w:val="clear" w:fill="FFFFFF"/>
        <w:spacing w:before="0" w:beforeAutospacing="0" w:after="0" w:afterAutospacing="0" w:line="420" w:lineRule="atLeast"/>
        <w:ind w:left="0" w:right="0" w:firstLine="42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tbl>
      <w:tblPr>
        <w:tblW w:w="90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jc w:val="center"/>
        </w:trPr>
        <w:tc>
          <w:tcPr>
            <w:tcW w:w="3075" w:type="dxa"/>
            <w:gridSpan w:val="5"/>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行政复议</w:t>
            </w:r>
          </w:p>
        </w:tc>
        <w:tc>
          <w:tcPr>
            <w:tcW w:w="6000" w:type="dxa"/>
            <w:gridSpan w:val="10"/>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0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结果维持</w:t>
            </w:r>
          </w:p>
        </w:tc>
        <w:tc>
          <w:tcPr>
            <w:tcW w:w="60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结果纠正</w:t>
            </w:r>
          </w:p>
        </w:tc>
        <w:tc>
          <w:tcPr>
            <w:tcW w:w="60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其他结果</w:t>
            </w:r>
          </w:p>
        </w:tc>
        <w:tc>
          <w:tcPr>
            <w:tcW w:w="60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尚未审结</w:t>
            </w:r>
          </w:p>
        </w:tc>
        <w:tc>
          <w:tcPr>
            <w:tcW w:w="66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总计</w:t>
            </w:r>
          </w:p>
        </w:tc>
        <w:tc>
          <w:tcPr>
            <w:tcW w:w="2970" w:type="dxa"/>
            <w:gridSpan w:val="5"/>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未经复议直接起诉</w:t>
            </w:r>
          </w:p>
        </w:tc>
        <w:tc>
          <w:tcPr>
            <w:tcW w:w="3030" w:type="dxa"/>
            <w:gridSpan w:val="5"/>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结果维持</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结果纠正</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其他结果</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尚未审结</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总计</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结果维持</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结果纠正</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其他结果</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尚未审结</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jc w:val="left"/>
            </w:pPr>
            <w:r>
              <w:rPr>
                <w:rFonts w:hint="eastAsia" w:ascii="宋体" w:hAnsi="宋体" w:eastAsia="宋体" w:cs="宋体"/>
                <w:sz w:val="24"/>
                <w:szCs w:val="24"/>
                <w:bdr w:val="none" w:color="auto" w:sz="0" w:space="0"/>
              </w:rPr>
              <w:t>0</w:t>
            </w:r>
          </w:p>
        </w:tc>
      </w:tr>
    </w:tbl>
    <w:p>
      <w:pPr>
        <w:pStyle w:val="3"/>
        <w:keepNext w:val="0"/>
        <w:keepLines w:val="0"/>
        <w:widowControl/>
        <w:suppressLineNumbers w:val="0"/>
        <w:shd w:val="clear" w:fill="FFFFFF"/>
        <w:spacing w:before="0" w:beforeAutospacing="0" w:after="0" w:afterAutospacing="0" w:line="420" w:lineRule="atLeast"/>
        <w:ind w:left="0" w:right="0" w:firstLine="0"/>
        <w:jc w:val="center"/>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3"/>
        <w:keepNext w:val="0"/>
        <w:keepLines w:val="0"/>
        <w:widowControl/>
        <w:suppressLineNumbers w:val="0"/>
        <w:shd w:val="clear" w:fill="FFFFFF"/>
        <w:spacing w:before="0" w:beforeAutospacing="0" w:after="0" w:afterAutospacing="0" w:line="585" w:lineRule="atLeast"/>
        <w:ind w:left="0" w:right="0" w:firstLine="0"/>
        <w:rPr>
          <w:rFonts w:hint="default" w:ascii="sans-serif" w:hAnsi="sans-serif" w:eastAsia="sans-serif" w:cs="sans-serif"/>
          <w:i w:val="0"/>
          <w:caps w:val="0"/>
          <w:color w:val="000000"/>
          <w:spacing w:val="0"/>
          <w:sz w:val="24"/>
          <w:szCs w:val="24"/>
        </w:rPr>
      </w:pPr>
      <w:r>
        <w:rPr>
          <w:rStyle w:val="6"/>
          <w:rFonts w:hint="eastAsia" w:ascii="宋体" w:hAnsi="宋体" w:eastAsia="宋体" w:cs="宋体"/>
          <w:b/>
          <w:i w:val="0"/>
          <w:caps w:val="0"/>
          <w:color w:val="000000"/>
          <w:spacing w:val="0"/>
          <w:sz w:val="24"/>
          <w:szCs w:val="24"/>
          <w:shd w:val="clear" w:fill="FFFFFF"/>
        </w:rPr>
        <w:t>五、存在的主要问题及改进情况</w:t>
      </w:r>
    </w:p>
    <w:p>
      <w:pPr>
        <w:pStyle w:val="3"/>
        <w:keepNext w:val="0"/>
        <w:keepLines w:val="0"/>
        <w:widowControl/>
        <w:suppressLineNumbers w:val="0"/>
        <w:shd w:val="clear" w:fill="FFFFFF"/>
        <w:spacing w:before="0" w:beforeAutospacing="0" w:after="0" w:afterAutospacing="0" w:line="585" w:lineRule="atLeast"/>
        <w:ind w:left="0" w:right="0" w:firstLine="0"/>
        <w:rPr>
          <w:rFonts w:hint="default" w:ascii="sans-serif" w:hAnsi="sans-serif" w:eastAsia="sans-serif" w:cs="sans-serif"/>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  </w:t>
      </w:r>
      <w:r>
        <w:rPr>
          <w:rFonts w:hint="eastAsia" w:ascii="宋体" w:hAnsi="宋体" w:eastAsia="宋体" w:cs="宋体"/>
          <w:i w:val="0"/>
          <w:caps w:val="0"/>
          <w:color w:val="000000"/>
          <w:spacing w:val="0"/>
          <w:sz w:val="31"/>
          <w:szCs w:val="31"/>
          <w:shd w:val="clear" w:fill="FFFFFF"/>
        </w:rPr>
        <w:t> 2019年，济宁高新区王因街道办事处政府信息公开工作虽然取得了新的较好的进展，但仍存在一些不足。一是各部门、各科室主动公开的意识有待进一步加强；二是 政府信息公开的内容不够丰富，深度有待进一步拓展。2020年，我街道将按照省市区政务信息公开的要求，一是加强组织领导，明确政府信息公开工作机构职责和任务，形成职责分明、各负其责、齐抓共管的工作局面。二是围绕中心工作、公开公众关注的热点难点问题。以政府中心工作为主轴，以公众关心的热点难点问题为导向，全面及时的公开政府信息。</w:t>
      </w:r>
    </w:p>
    <w:p>
      <w:pPr>
        <w:pStyle w:val="3"/>
        <w:keepNext w:val="0"/>
        <w:keepLines w:val="0"/>
        <w:widowControl/>
        <w:suppressLineNumbers w:val="0"/>
        <w:shd w:val="clear" w:fill="FFFFFF"/>
        <w:spacing w:before="0" w:beforeAutospacing="0" w:after="0" w:afterAutospacing="0" w:line="585" w:lineRule="atLeast"/>
        <w:ind w:left="0" w:right="0" w:firstLine="0"/>
        <w:rPr>
          <w:rFonts w:hint="default" w:ascii="sans-serif" w:hAnsi="sans-serif" w:eastAsia="sans-serif" w:cs="sans-serif"/>
          <w:i w:val="0"/>
          <w:caps w:val="0"/>
          <w:color w:val="000000"/>
          <w:spacing w:val="0"/>
          <w:sz w:val="24"/>
          <w:szCs w:val="24"/>
        </w:rPr>
      </w:pPr>
      <w:r>
        <w:rPr>
          <w:rStyle w:val="6"/>
          <w:rFonts w:hint="eastAsia" w:ascii="宋体" w:hAnsi="宋体" w:eastAsia="宋体" w:cs="宋体"/>
          <w:b/>
          <w:i w:val="0"/>
          <w:caps w:val="0"/>
          <w:color w:val="000000"/>
          <w:spacing w:val="0"/>
          <w:sz w:val="24"/>
          <w:szCs w:val="24"/>
          <w:shd w:val="clear" w:fill="FFFFFF"/>
        </w:rPr>
        <w:t>六、其他需要报告的事项</w:t>
      </w:r>
    </w:p>
    <w:p>
      <w:pPr>
        <w:pStyle w:val="3"/>
        <w:keepNext w:val="0"/>
        <w:keepLines w:val="0"/>
        <w:widowControl/>
        <w:suppressLineNumbers w:val="0"/>
        <w:spacing w:before="0" w:beforeAutospacing="0" w:after="0" w:afterAutospacing="0" w:line="585" w:lineRule="atLeast"/>
        <w:ind w:left="0" w:right="0" w:firstLine="0"/>
        <w:jc w:val="left"/>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31"/>
          <w:szCs w:val="31"/>
          <w:shd w:val="clear" w:fill="FFFFFF"/>
        </w:rPr>
        <w:t>  无其他需要报告的事项。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康海报体W12(P)">
    <w:panose1 w:val="040B0C00000000000000"/>
    <w:charset w:val="86"/>
    <w:family w:val="auto"/>
    <w:pitch w:val="default"/>
    <w:sig w:usb0="00000001" w:usb1="08010000" w:usb2="00000012"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402E5"/>
    <w:rsid w:val="0B07086D"/>
    <w:rsid w:val="174060F5"/>
    <w:rsid w:val="2C3402E5"/>
    <w:rsid w:val="336E626D"/>
    <w:rsid w:val="4FEE4DC1"/>
    <w:rsid w:val="5A37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1190</Words>
  <Characters>1233</Characters>
  <Lines>0</Lines>
  <Paragraphs>0</Paragraphs>
  <TotalTime>77</TotalTime>
  <ScaleCrop>false</ScaleCrop>
  <LinksUpToDate>false</LinksUpToDate>
  <CharactersWithSpaces>1424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2020-01-31T02:07:00Z</dcterms:created>
  <dc:creator>天上有朵云在飘</dc:creator>
  <cp:lastModifiedBy>天上有朵云在飘</cp:lastModifiedBy>
  <dcterms:modified xsi:type="dcterms:W3CDTF">2020-01-31T03:25:13Z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