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济宁市公安局高新区分局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2022年政府信息公开</w:t>
      </w:r>
    </w:p>
    <w:p>
      <w:pPr>
        <w:spacing w:line="590" w:lineRule="exact"/>
        <w:ind w:right="-96" w:rightChars="-50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济宁市公安局高新区分局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eastAsia" w:ascii="方正仿宋简体" w:eastAsia="方正仿宋简体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本报告所列数据的统计期限自2022年1月1日起至2022年12月31日止。本报告电子版可在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济宁国家高新技术产业开发区”管委会门户网站（www.jnhn.gov.cn）查阅或下载。如对本报告有疑问，请与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济宁市公安局高新区分局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济宁市高新区崇文大道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666号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，联系电话：0537—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2568616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公安分局认真贯彻落实《中华人民共和国政府信息公开条例》和《中华人民共和国政府信息公开工作年度报告格式》（国办公开办函〔2021〕30号）等文件精神要求及相关决策部署，聚焦高新区重要决策部署，深化重点领域信息公开，加强政策解读和回应，着力提升政务公开质量，进一步增强公开实效，有力地提高了公安工作的透明度，保障了人民群众的知情权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ge">
              <wp:posOffset>4045585</wp:posOffset>
            </wp:positionV>
            <wp:extent cx="5605780" cy="3841750"/>
            <wp:effectExtent l="0" t="0" r="13970" b="6350"/>
            <wp:wrapSquare wrapText="bothSides"/>
            <wp:docPr id="1" name="图片 1" descr="3e1deb7ad05ea5bf3c127522bb7a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1deb7ad05ea5bf3c127522bb7ac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及时在规范性文件统一发布平台上公开职能，发布信息公开指南。围绕工作要点，全面加强政务公开管理，重点围绕提高政务公开质量、夯实公开工作基础等方面开展。规范执行信息公开制度，切实履行自身法定职责。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/>
          <w:sz w:val="32"/>
          <w:szCs w:val="32"/>
        </w:rPr>
        <w:t>遵循公正、公平、合法、便民的原则及时、准确地公开政府信息。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深化“互联网+”思维，按照公开目录和内容，及时公开发布相关政府信息，做到及时权威高效。特别是依托民生警务平台，升级网上“便民服务大厅”，实现了户籍、出入境等公安业务的网上办理。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今年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接受办理的民生诉求事项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2229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件，办结率100%，合理诉求满意率达到99.8%。2022年未收到依申请公开信息。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我局始终高度重视政府信息公开工作，一直将政府信息公开纳入本单位重点工作计划中，并要求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工作人员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统一思想认识，充分认识做好政府信息公开工作的重要意义。为保证信息发布安全，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高新分局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持续建立健全信息发布平台运行和管理工作机制，规范了信息发布审批流程和保密审查机制，加强信息编发和审查力度，实现信息的完整性、准确性以及不泄密，确保不出现违法信息。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充分发挥微信、微博等新媒体受众面广、接受信息快的优势特点，开通济宁平安高新区官方微博和微信公众号、今日头条，及时发布最新的权威警务动态和政府信息。据不完全统计，年内公安分局共在高新区信息公开平台、山东民生警务平台、各类传统报刊杂志和政务新媒体发布各类信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3000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余条，有力地提高了公安工作的透明度，保障了人民群众的知情权。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1.为切实抓好政府信息公开工作，明确专人负责此项工作，将编制发布任务分解细化，落实到人，对各类公开信息要求做到分类规范，目录清晰，及时发布。同时,加强信息发布的审查、审核工作和保密工作。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加大社会监督力度，及时公开并完善《信息公开指南》。通过网站对社会开展信息公开服务，方便广大群众进行监督，确保信息公开有效落实，有效扩大社会各界群众对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高新分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局工作的知情权和参与权。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1169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both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28.46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420"/>
        <w:jc w:val="left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2022年公安分局在顺利完成高新区管委会政府信息公开工作的同时，还存在着一些短板和问题，主要表现在：一是政务公开信息量少。局属各单位信息公开的知识和意识还有待进一步学习和提高；二是政务公开信息内容单一，人民群众关心的公共事务的决策依据类公开信息不多；三是政务公开工作缺少一定的专业技术人才。随着互联网时代信息科学技术的快速发展，基层严重缺少熟悉现代化网络技术专业政务公开的技术人才，在提升政务公开工作人员的能力水平，实现政务公开人才的互联网技术、标准化管理模式针对以上问题和不足，下步工作中，分局将继续把政府信息公开工作作为服务群众、接受监督的重要举措来抓，进一步加强和改进政府信息公开工作。一是进一步加强组织领导，明确推进政务公开的目标任务。要把政务公开工作作为经常性工作列入重要议事日程，从转变政府职能、执政为民、加强党的执政能力建设的高度认识并积极推进这一工作。二是加强宣传，提高人民群众参政议政水平，完善社会监督机制。要运用多种媒介加大政务公开的宣传力度，让广大人民群众熟悉政务公开。三是加强培训教育，造就一支具有现代公共管理知识和理念的政务公开队伍。加强服务意识、专业技能教育，造就一批政务公开的专门人才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（一）依据《政府信息公开信息处理费管理办法》收取信息处理费的情况：无。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（二）本行政机关落实上级年度政务公开工作要点情况：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是规范执行信息公开制度。科学合理确定公开方式，通过互联网等公开广泛知晓的内容，对涉及特定对象内容，由专人负责处理。 二是严格落实主体责任。公安分局制定相关工作职责、任务分工及处理办法，明确各自主体责任，形成分级负责、分级管理的工作格局。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（三）本行政机关人大代表建议和政协提案办理结果公开情况：无。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 xml:space="preserve">（四）本行政机关年度政务公开工作创新情况 ：无。                                                                          </w:t>
      </w:r>
    </w:p>
    <w:sectPr>
      <w:footerReference r:id="rId3" w:type="default"/>
      <w:pgSz w:w="11906" w:h="16838"/>
      <w:pgMar w:top="1701" w:right="1474" w:bottom="1247" w:left="1588" w:header="851" w:footer="850" w:gutter="0"/>
      <w:pgNumType w:fmt="numberInDash" w:start="2"/>
      <w:cols w:space="720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Tk5NWFjYzNkZGIzMTVmZTdkZjZjN2M5NDc5NjcifQ=="/>
  </w:docVars>
  <w:rsids>
    <w:rsidRoot w:val="26334FA8"/>
    <w:rsid w:val="034E2645"/>
    <w:rsid w:val="26334FA8"/>
    <w:rsid w:val="3A3678C7"/>
    <w:rsid w:val="3F5F108C"/>
    <w:rsid w:val="44D375E7"/>
    <w:rsid w:val="57B63545"/>
    <w:rsid w:val="68A3071B"/>
    <w:rsid w:val="69F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3086</Words>
  <Characters>3184</Characters>
  <Lines>0</Lines>
  <Paragraphs>0</Paragraphs>
  <TotalTime>1</TotalTime>
  <ScaleCrop>false</ScaleCrop>
  <LinksUpToDate>false</LinksUpToDate>
  <CharactersWithSpaces>3314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2023-02-03T06:55:00Z</dcterms:created>
  <dc:creator>……</dc:creator>
  <cp:lastModifiedBy>……</cp:lastModifiedBy>
  <dcterms:modified xsi:type="dcterms:W3CDTF">2023-02-09T09:11:42Z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948ACED209CB4AFAA9132E6358768067</vt:lpwstr>
  </property>
</Properties>
</file>