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auto"/>
          <w:sz w:val="44"/>
          <w:szCs w:val="44"/>
        </w:rPr>
      </w:pPr>
      <w:r>
        <w:rPr>
          <w:rFonts w:hint="eastAsia" w:ascii="方正小标宋简体" w:eastAsia="方正小标宋简体"/>
          <w:b/>
          <w:color w:val="auto"/>
          <w:sz w:val="44"/>
          <w:szCs w:val="44"/>
          <w:lang w:val="en-US" w:eastAsia="zh-CN"/>
        </w:rPr>
        <w:t>济宁高新区投资促进局</w:t>
      </w:r>
      <w:r>
        <w:rPr>
          <w:rFonts w:hint="eastAsia" w:ascii="方正小标宋简体" w:eastAsia="方正小标宋简体"/>
          <w:b/>
          <w:color w:val="auto"/>
          <w:sz w:val="44"/>
          <w:szCs w:val="44"/>
          <w:lang w:eastAsia="zh-CN"/>
        </w:rPr>
        <w:t>2023</w:t>
      </w:r>
      <w:r>
        <w:rPr>
          <w:rFonts w:hint="eastAsia" w:ascii="方正小标宋简体" w:eastAsia="方正小标宋简体"/>
          <w:b/>
          <w:color w:val="auto"/>
          <w:sz w:val="44"/>
          <w:szCs w:val="44"/>
        </w:rPr>
        <w:t>年</w:t>
      </w:r>
    </w:p>
    <w:p>
      <w:pPr>
        <w:spacing w:line="590" w:lineRule="exact"/>
        <w:ind w:right="-100" w:rightChars="-50"/>
        <w:jc w:val="center"/>
        <w:outlineLvl w:val="0"/>
        <w:rPr>
          <w:rFonts w:ascii="方正小标宋简体" w:eastAsia="方正小标宋简体"/>
          <w:b/>
          <w:color w:val="auto"/>
          <w:sz w:val="44"/>
          <w:szCs w:val="44"/>
        </w:rPr>
      </w:pPr>
      <w:r>
        <w:rPr>
          <w:rFonts w:hint="eastAsia" w:ascii="方正小标宋简体" w:eastAsia="方正小标宋简体"/>
          <w:b/>
          <w:color w:val="auto"/>
          <w:sz w:val="44"/>
          <w:szCs w:val="44"/>
        </w:rPr>
        <w:t>政府信息公开工作年度报告</w:t>
      </w:r>
    </w:p>
    <w:p>
      <w:pPr>
        <w:spacing w:line="590" w:lineRule="exact"/>
        <w:ind w:right="-100" w:rightChars="-50" w:firstLine="643" w:firstLineChars="200"/>
        <w:rPr>
          <w:rFonts w:ascii="方正仿宋简体" w:eastAsia="方正仿宋简体"/>
          <w:b/>
          <w:color w:val="auto"/>
          <w:sz w:val="32"/>
          <w:szCs w:val="32"/>
        </w:rPr>
      </w:pPr>
    </w:p>
    <w:p>
      <w:pPr>
        <w:spacing w:line="590" w:lineRule="exact"/>
        <w:ind w:right="-100" w:rightChars="-50" w:firstLine="643" w:firstLineChars="200"/>
        <w:rPr>
          <w:rFonts w:ascii="方正仿宋简体" w:eastAsia="方正仿宋简体"/>
          <w:b/>
          <w:color w:val="auto"/>
          <w:spacing w:val="-11"/>
          <w:sz w:val="32"/>
          <w:szCs w:val="32"/>
        </w:rPr>
      </w:pPr>
      <w:r>
        <w:rPr>
          <w:rFonts w:hint="eastAsia" w:ascii="方正仿宋简体" w:eastAsia="方正仿宋简体"/>
          <w:b/>
          <w:color w:val="auto"/>
          <w:sz w:val="32"/>
          <w:szCs w:val="32"/>
        </w:rPr>
        <w:t>本报告由</w:t>
      </w:r>
      <w:r>
        <w:rPr>
          <w:rFonts w:hint="eastAsia" w:ascii="方正仿宋简体" w:eastAsia="方正仿宋简体"/>
          <w:b/>
          <w:color w:val="auto"/>
          <w:sz w:val="32"/>
          <w:szCs w:val="32"/>
          <w:lang w:val="en-US" w:eastAsia="zh-CN"/>
        </w:rPr>
        <w:t>济宁高新区投资促进局</w:t>
      </w:r>
      <w:r>
        <w:rPr>
          <w:rFonts w:hint="eastAsia" w:ascii="方正仿宋简体" w:eastAsia="方正仿宋简体"/>
          <w:b/>
          <w:color w:val="auto"/>
          <w:sz w:val="32"/>
          <w:szCs w:val="32"/>
        </w:rPr>
        <w:t>按照《中华人民共和国政府信息公开条例》（以下简称《条例》）和《中华人民共和国政府信息</w:t>
      </w:r>
      <w:r>
        <w:rPr>
          <w:rFonts w:hint="eastAsia" w:ascii="方正仿宋简体" w:eastAsia="方正仿宋简体"/>
          <w:b/>
          <w:color w:val="auto"/>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auto"/>
          <w:sz w:val="32"/>
          <w:szCs w:val="32"/>
        </w:rPr>
      </w:pPr>
      <w:r>
        <w:rPr>
          <w:rFonts w:hint="eastAsia" w:ascii="方正仿宋简体" w:eastAsia="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auto"/>
          <w:sz w:val="32"/>
          <w:szCs w:val="32"/>
        </w:rPr>
      </w:pPr>
      <w:r>
        <w:rPr>
          <w:rFonts w:hint="eastAsia" w:ascii="方正仿宋简体" w:eastAsia="方正仿宋简体"/>
          <w:b/>
          <w:color w:val="auto"/>
          <w:sz w:val="32"/>
          <w:szCs w:val="32"/>
        </w:rPr>
        <w:t>本报告所列数据的统计期限自</w:t>
      </w:r>
      <w:r>
        <w:rPr>
          <w:rFonts w:hint="eastAsia" w:ascii="方正仿宋简体" w:eastAsia="方正仿宋简体"/>
          <w:b/>
          <w:color w:val="auto"/>
          <w:sz w:val="32"/>
          <w:szCs w:val="32"/>
          <w:lang w:eastAsia="zh-CN"/>
        </w:rPr>
        <w:t>2023</w:t>
      </w:r>
      <w:r>
        <w:rPr>
          <w:rFonts w:hint="eastAsia" w:ascii="方正仿宋简体" w:eastAsia="方正仿宋简体"/>
          <w:b/>
          <w:color w:val="auto"/>
          <w:sz w:val="32"/>
          <w:szCs w:val="32"/>
        </w:rPr>
        <w:t>年1月1日起至</w:t>
      </w:r>
      <w:r>
        <w:rPr>
          <w:rFonts w:hint="eastAsia" w:ascii="方正仿宋简体" w:eastAsia="方正仿宋简体"/>
          <w:b/>
          <w:color w:val="auto"/>
          <w:sz w:val="32"/>
          <w:szCs w:val="32"/>
          <w:lang w:eastAsia="zh-CN"/>
        </w:rPr>
        <w:t>2023</w:t>
      </w:r>
      <w:r>
        <w:rPr>
          <w:rFonts w:hint="eastAsia" w:ascii="方正仿宋简体" w:eastAsia="方正仿宋简体"/>
          <w:b/>
          <w:color w:val="auto"/>
          <w:sz w:val="32"/>
          <w:szCs w:val="32"/>
        </w:rPr>
        <w:t>年12月31日止。本报告电子版可在“济宁高新区管委会”门户网站（http://www.jnhn.gov.cn）查阅或下载</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如对本报告有疑问，请与</w:t>
      </w:r>
      <w:r>
        <w:rPr>
          <w:rFonts w:hint="eastAsia" w:ascii="方正仿宋简体" w:eastAsia="方正仿宋简体"/>
          <w:b/>
          <w:color w:val="auto"/>
          <w:sz w:val="32"/>
          <w:szCs w:val="32"/>
          <w:lang w:val="en-US" w:eastAsia="zh-CN"/>
        </w:rPr>
        <w:t>济宁高新区投资促进局</w:t>
      </w:r>
      <w:r>
        <w:rPr>
          <w:rFonts w:hint="eastAsia" w:ascii="方正仿宋简体" w:eastAsia="方正仿宋简体"/>
          <w:b/>
          <w:color w:val="auto"/>
          <w:sz w:val="32"/>
          <w:szCs w:val="32"/>
        </w:rPr>
        <w:t>联系（地址：</w:t>
      </w:r>
      <w:r>
        <w:rPr>
          <w:rFonts w:hint="eastAsia" w:ascii="方正仿宋简体" w:eastAsia="方正仿宋简体"/>
          <w:b/>
          <w:color w:val="auto"/>
          <w:sz w:val="32"/>
          <w:szCs w:val="32"/>
          <w:lang w:val="en-US" w:eastAsia="zh-CN"/>
        </w:rPr>
        <w:t>济宁市高新区柳行街道海川路产学研基地T2楼12楼</w:t>
      </w:r>
      <w:r>
        <w:rPr>
          <w:rFonts w:hint="eastAsia" w:ascii="方正仿宋简体" w:eastAsia="方正仿宋简体"/>
          <w:b/>
          <w:color w:val="auto"/>
          <w:sz w:val="32"/>
          <w:szCs w:val="32"/>
        </w:rPr>
        <w:t>，联系电话：0537—</w:t>
      </w:r>
      <w:r>
        <w:rPr>
          <w:rFonts w:hint="eastAsia" w:ascii="方正仿宋简体" w:eastAsia="方正仿宋简体"/>
          <w:b/>
          <w:color w:val="auto"/>
          <w:sz w:val="32"/>
          <w:szCs w:val="32"/>
          <w:lang w:val="en-US" w:eastAsia="zh-CN"/>
        </w:rPr>
        <w:t>3255058</w:t>
      </w:r>
      <w:r>
        <w:rPr>
          <w:rFonts w:hint="eastAsia" w:ascii="方正仿宋简体" w:eastAsia="方正仿宋简体"/>
          <w:b/>
          <w:color w:val="auto"/>
          <w:sz w:val="32"/>
          <w:szCs w:val="32"/>
        </w:rPr>
        <w:t>）。</w:t>
      </w:r>
    </w:p>
    <w:p>
      <w:pPr>
        <w:spacing w:line="590" w:lineRule="exact"/>
        <w:ind w:right="-100" w:rightChars="-50"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2023年，投资促进局在党工委、管委会领导下，认真贯彻《中华人民共和国政府信息公开条例》（以下简称《条例》），严格落实高新区管委会2023年重点工作安排，扎实开展政府信息公开工作，坚持把政府信息公开工作作为转变工作作风、推进依法行政、提高工作效率的重要抓手，持续提升信息公开工作质效。</w:t>
      </w:r>
    </w:p>
    <w:p>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（一）主动公开情况</w:t>
      </w:r>
    </w:p>
    <w:p>
      <w:pPr>
        <w:spacing w:line="590" w:lineRule="exact"/>
        <w:ind w:right="-100" w:rightChars="-50" w:firstLine="643" w:firstLineChars="200"/>
        <w:rPr>
          <w:rFonts w:hint="eastAsia" w:ascii="方正仿宋简体" w:eastAsia="方正仿宋简体" w:cs="Times New Roman"/>
          <w:b/>
          <w:color w:val="auto"/>
          <w:kern w:val="0"/>
          <w:sz w:val="32"/>
          <w:szCs w:val="32"/>
          <w:lang w:val="en-US" w:eastAsia="zh-CN" w:bidi="ar-SA"/>
        </w:rPr>
      </w:pPr>
      <w:r>
        <w:rPr>
          <w:rFonts w:hint="eastAsia" w:ascii="方正仿宋简体" w:eastAsia="方正仿宋简体" w:cs="Times New Roman"/>
          <w:b/>
          <w:color w:val="auto"/>
          <w:kern w:val="0"/>
          <w:sz w:val="32"/>
          <w:szCs w:val="32"/>
          <w:lang w:val="en-US" w:eastAsia="zh-CN" w:bidi="ar-SA"/>
        </w:rPr>
        <w:t>2023</w:t>
      </w:r>
      <w:r>
        <w:rPr>
          <w:rFonts w:hint="eastAsia" w:ascii="方正仿宋简体" w:hAnsi="Times New Roman" w:eastAsia="方正仿宋简体" w:cs="Times New Roman"/>
          <w:b/>
          <w:color w:val="auto"/>
          <w:kern w:val="0"/>
          <w:sz w:val="32"/>
          <w:szCs w:val="32"/>
          <w:lang w:val="en-US" w:eastAsia="zh-CN" w:bidi="ar-SA"/>
        </w:rPr>
        <w:t>年度，济宁高新区投资促进</w:t>
      </w:r>
      <w:r>
        <w:rPr>
          <w:rFonts w:hint="eastAsia" w:ascii="方正仿宋简体" w:eastAsia="方正仿宋简体" w:cs="Times New Roman"/>
          <w:b/>
          <w:color w:val="auto"/>
          <w:kern w:val="0"/>
          <w:sz w:val="32"/>
          <w:szCs w:val="32"/>
          <w:lang w:val="en-US" w:eastAsia="zh-CN" w:bidi="ar-SA"/>
        </w:rPr>
        <w:t>局</w:t>
      </w:r>
      <w:r>
        <w:rPr>
          <w:rFonts w:hint="eastAsia" w:ascii="方正仿宋简体" w:hAnsi="Times New Roman" w:eastAsia="方正仿宋简体" w:cs="Times New Roman"/>
          <w:b/>
          <w:color w:val="auto"/>
          <w:kern w:val="0"/>
          <w:sz w:val="32"/>
          <w:szCs w:val="32"/>
          <w:lang w:val="en-US" w:eastAsia="zh-CN" w:bidi="ar-SA"/>
        </w:rPr>
        <w:t>公示政务信息</w:t>
      </w:r>
      <w:r>
        <w:rPr>
          <w:rFonts w:hint="eastAsia" w:ascii="方正仿宋简体" w:eastAsia="方正仿宋简体" w:cs="Times New Roman"/>
          <w:b/>
          <w:color w:val="auto"/>
          <w:kern w:val="0"/>
          <w:sz w:val="32"/>
          <w:szCs w:val="32"/>
          <w:lang w:val="en-US" w:eastAsia="zh-CN" w:bidi="ar-SA"/>
        </w:rPr>
        <w:t>28</w:t>
      </w:r>
      <w:r>
        <w:rPr>
          <w:rFonts w:hint="eastAsia" w:ascii="方正仿宋简体" w:hAnsi="Times New Roman" w:eastAsia="方正仿宋简体" w:cs="Times New Roman"/>
          <w:b/>
          <w:color w:val="auto"/>
          <w:kern w:val="0"/>
          <w:sz w:val="32"/>
          <w:szCs w:val="32"/>
          <w:lang w:val="en-US" w:eastAsia="zh-CN" w:bidi="ar-SA"/>
        </w:rPr>
        <w:t>条，其中会议公开</w:t>
      </w:r>
      <w:r>
        <w:rPr>
          <w:rFonts w:hint="eastAsia" w:ascii="方正仿宋简体" w:eastAsia="方正仿宋简体" w:cs="Times New Roman"/>
          <w:b/>
          <w:color w:val="auto"/>
          <w:kern w:val="0"/>
          <w:sz w:val="32"/>
          <w:szCs w:val="32"/>
          <w:lang w:val="en-US" w:eastAsia="zh-CN" w:bidi="ar-SA"/>
        </w:rPr>
        <w:t>24</w:t>
      </w:r>
      <w:r>
        <w:rPr>
          <w:rFonts w:hint="eastAsia" w:ascii="方正仿宋简体" w:hAnsi="Times New Roman" w:eastAsia="方正仿宋简体" w:cs="Times New Roman"/>
          <w:b/>
          <w:color w:val="auto"/>
          <w:kern w:val="0"/>
          <w:sz w:val="32"/>
          <w:szCs w:val="32"/>
          <w:lang w:val="en-US" w:eastAsia="zh-CN" w:bidi="ar-SA"/>
        </w:rPr>
        <w:t>条</w:t>
      </w:r>
      <w:r>
        <w:rPr>
          <w:rFonts w:hint="eastAsia" w:ascii="方正仿宋简体" w:eastAsia="方正仿宋简体" w:cs="Times New Roman"/>
          <w:b/>
          <w:color w:val="auto"/>
          <w:kern w:val="0"/>
          <w:sz w:val="32"/>
          <w:szCs w:val="32"/>
          <w:lang w:val="en-US" w:eastAsia="zh-CN" w:bidi="ar-SA"/>
        </w:rPr>
        <w:t>（专题会议13条、部门及街道会议11条）</w:t>
      </w:r>
      <w:r>
        <w:rPr>
          <w:rFonts w:hint="eastAsia" w:ascii="方正仿宋简体" w:hAnsi="Times New Roman" w:eastAsia="方正仿宋简体" w:cs="Times New Roman"/>
          <w:b/>
          <w:color w:val="auto"/>
          <w:kern w:val="0"/>
          <w:sz w:val="32"/>
          <w:szCs w:val="32"/>
          <w:lang w:val="en-US" w:eastAsia="zh-CN" w:bidi="ar-SA"/>
        </w:rPr>
        <w:t>，</w:t>
      </w:r>
      <w:r>
        <w:rPr>
          <w:rFonts w:hint="eastAsia" w:ascii="方正仿宋简体" w:eastAsia="方正仿宋简体" w:cs="Times New Roman"/>
          <w:b/>
          <w:color w:val="auto"/>
          <w:kern w:val="0"/>
          <w:sz w:val="32"/>
          <w:szCs w:val="32"/>
          <w:lang w:val="en-US" w:eastAsia="zh-CN" w:bidi="ar-SA"/>
        </w:rPr>
        <w:t>工作推进3条，主动公开目录1条。</w:t>
      </w:r>
      <w:r>
        <w:rPr>
          <w:rFonts w:hint="eastAsia" w:ascii="方正仿宋简体" w:hAnsi="Times New Roman" w:eastAsia="方正仿宋简体" w:cs="Times New Roman"/>
          <w:b/>
          <w:color w:val="auto"/>
          <w:kern w:val="0"/>
          <w:sz w:val="32"/>
          <w:szCs w:val="32"/>
          <w:lang w:val="en-US" w:eastAsia="zh-CN" w:bidi="ar-SA"/>
        </w:rPr>
        <w:t>产业促进16</w:t>
      </w:r>
      <w:r>
        <w:rPr>
          <w:rFonts w:hint="eastAsia" w:ascii="方正仿宋简体" w:eastAsia="方正仿宋简体" w:cs="Times New Roman"/>
          <w:b/>
          <w:color w:val="auto"/>
          <w:kern w:val="0"/>
          <w:sz w:val="32"/>
          <w:szCs w:val="32"/>
          <w:lang w:val="en-US" w:eastAsia="zh-CN" w:bidi="ar-SA"/>
        </w:rPr>
        <w:t>1</w:t>
      </w:r>
      <w:r>
        <w:rPr>
          <w:rFonts w:hint="eastAsia" w:ascii="方正仿宋简体" w:hAnsi="Times New Roman" w:eastAsia="方正仿宋简体" w:cs="Times New Roman"/>
          <w:b/>
          <w:color w:val="auto"/>
          <w:kern w:val="0"/>
          <w:sz w:val="32"/>
          <w:szCs w:val="32"/>
          <w:lang w:val="en-US" w:eastAsia="zh-CN" w:bidi="ar-SA"/>
        </w:rPr>
        <w:t>条（产业动态</w:t>
      </w:r>
      <w:r>
        <w:rPr>
          <w:rFonts w:hint="eastAsia" w:ascii="方正仿宋简体" w:eastAsia="方正仿宋简体" w:cs="Times New Roman"/>
          <w:b/>
          <w:color w:val="auto"/>
          <w:kern w:val="0"/>
          <w:sz w:val="32"/>
          <w:szCs w:val="32"/>
          <w:lang w:val="en-US" w:eastAsia="zh-CN" w:bidi="ar-SA"/>
        </w:rPr>
        <w:t>62</w:t>
      </w:r>
      <w:r>
        <w:rPr>
          <w:rFonts w:hint="eastAsia" w:ascii="方正仿宋简体" w:hAnsi="Times New Roman" w:eastAsia="方正仿宋简体" w:cs="Times New Roman"/>
          <w:b/>
          <w:color w:val="auto"/>
          <w:kern w:val="0"/>
          <w:sz w:val="32"/>
          <w:szCs w:val="32"/>
          <w:lang w:val="en-US" w:eastAsia="zh-CN" w:bidi="ar-SA"/>
        </w:rPr>
        <w:t>条，投资政策</w:t>
      </w:r>
      <w:r>
        <w:rPr>
          <w:rFonts w:hint="eastAsia" w:ascii="方正仿宋简体" w:eastAsia="方正仿宋简体" w:cs="Times New Roman"/>
          <w:b/>
          <w:color w:val="auto"/>
          <w:kern w:val="0"/>
          <w:sz w:val="32"/>
          <w:szCs w:val="32"/>
          <w:lang w:val="en-US" w:eastAsia="zh-CN" w:bidi="ar-SA"/>
        </w:rPr>
        <w:t>32</w:t>
      </w:r>
      <w:r>
        <w:rPr>
          <w:rFonts w:hint="eastAsia" w:ascii="方正仿宋简体" w:hAnsi="Times New Roman" w:eastAsia="方正仿宋简体" w:cs="Times New Roman"/>
          <w:b/>
          <w:color w:val="auto"/>
          <w:kern w:val="0"/>
          <w:sz w:val="32"/>
          <w:szCs w:val="32"/>
          <w:lang w:val="en-US" w:eastAsia="zh-CN" w:bidi="ar-SA"/>
        </w:rPr>
        <w:t>条，投资环境</w:t>
      </w:r>
      <w:r>
        <w:rPr>
          <w:rFonts w:hint="eastAsia" w:ascii="方正仿宋简体" w:eastAsia="方正仿宋简体" w:cs="Times New Roman"/>
          <w:b/>
          <w:color w:val="auto"/>
          <w:kern w:val="0"/>
          <w:sz w:val="32"/>
          <w:szCs w:val="32"/>
          <w:lang w:val="en-US" w:eastAsia="zh-CN" w:bidi="ar-SA"/>
        </w:rPr>
        <w:t>32</w:t>
      </w:r>
      <w:r>
        <w:rPr>
          <w:rFonts w:hint="eastAsia" w:ascii="方正仿宋简体" w:hAnsi="Times New Roman" w:eastAsia="方正仿宋简体" w:cs="Times New Roman"/>
          <w:b/>
          <w:color w:val="auto"/>
          <w:kern w:val="0"/>
          <w:sz w:val="32"/>
          <w:szCs w:val="32"/>
          <w:lang w:val="en-US" w:eastAsia="zh-CN" w:bidi="ar-SA"/>
        </w:rPr>
        <w:t>条、明星企业</w:t>
      </w:r>
      <w:r>
        <w:rPr>
          <w:rFonts w:hint="eastAsia" w:ascii="方正仿宋简体" w:eastAsia="方正仿宋简体" w:cs="Times New Roman"/>
          <w:b/>
          <w:color w:val="auto"/>
          <w:kern w:val="0"/>
          <w:sz w:val="32"/>
          <w:szCs w:val="32"/>
          <w:lang w:val="en-US" w:eastAsia="zh-CN" w:bidi="ar-SA"/>
        </w:rPr>
        <w:t>35</w:t>
      </w:r>
      <w:r>
        <w:rPr>
          <w:rFonts w:hint="eastAsia" w:ascii="方正仿宋简体" w:hAnsi="Times New Roman" w:eastAsia="方正仿宋简体" w:cs="Times New Roman"/>
          <w:b/>
          <w:color w:val="auto"/>
          <w:kern w:val="0"/>
          <w:sz w:val="32"/>
          <w:szCs w:val="32"/>
          <w:lang w:val="en-US" w:eastAsia="zh-CN" w:bidi="ar-SA"/>
        </w:rPr>
        <w:t>条）。</w:t>
      </w:r>
    </w:p>
    <w:p>
      <w:pPr>
        <w:keepNext w:val="0"/>
        <w:keepLines w:val="0"/>
        <w:pageBreakBefore w:val="0"/>
        <w:widowControl w:val="0"/>
        <w:kinsoku/>
        <w:wordWrap/>
        <w:overflowPunct/>
        <w:topLinePunct w:val="0"/>
        <w:autoSpaceDE/>
        <w:autoSpaceDN/>
        <w:bidi w:val="0"/>
        <w:adjustRightInd/>
        <w:snapToGrid/>
        <w:spacing w:line="240" w:lineRule="auto"/>
        <w:ind w:right="-100" w:rightChars="-50"/>
        <w:jc w:val="both"/>
        <w:textAlignment w:val="auto"/>
        <w:rPr>
          <w:rFonts w:hint="eastAsia" w:ascii="方正仿宋简体" w:eastAsia="方正仿宋简体" w:cs="Times New Roman"/>
          <w:b/>
          <w:color w:val="auto"/>
          <w:kern w:val="0"/>
          <w:sz w:val="32"/>
          <w:szCs w:val="32"/>
          <w:lang w:val="en-US" w:eastAsia="zh-CN" w:bidi="ar-SA"/>
        </w:rPr>
      </w:pPr>
      <w:r>
        <w:drawing>
          <wp:inline distT="0" distB="0" distL="114300" distR="114300">
            <wp:extent cx="5267960" cy="2164080"/>
            <wp:effectExtent l="4445" t="4445" r="23495" b="22225"/>
            <wp:docPr id="103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0" w:rightChars="-50"/>
        <w:jc w:val="both"/>
        <w:textAlignment w:val="auto"/>
        <w:rPr>
          <w:rFonts w:ascii="方正楷体简体" w:eastAsia="方正楷体简体"/>
          <w:b/>
          <w:color w:val="auto"/>
          <w:sz w:val="32"/>
          <w:szCs w:val="32"/>
        </w:rPr>
      </w:pPr>
      <w:r>
        <w:rPr>
          <w:rFonts w:hint="eastAsia" w:ascii="方正仿宋简体" w:eastAsia="方正仿宋简体" w:cs="Times New Roman"/>
          <w:b/>
          <w:color w:val="auto"/>
          <w:kern w:val="0"/>
          <w:sz w:val="32"/>
          <w:szCs w:val="32"/>
          <w:lang w:val="en-US" w:eastAsia="zh-CN" w:bidi="ar-SA"/>
        </w:rPr>
        <w:t xml:space="preserve">  </w:t>
      </w:r>
      <w:r>
        <w:rPr>
          <w:rFonts w:hint="eastAsia" w:ascii="方正楷体简体" w:eastAsia="方正楷体简体"/>
          <w:b/>
          <w:color w:val="auto"/>
          <w:sz w:val="32"/>
          <w:szCs w:val="32"/>
        </w:rPr>
        <w:t>（二）依申请公开情况</w:t>
      </w:r>
    </w:p>
    <w:p>
      <w:pPr>
        <w:spacing w:line="590" w:lineRule="exact"/>
        <w:ind w:right="-100" w:rightChars="-50" w:firstLine="643" w:firstLineChars="200"/>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eastAsia="方正仿宋简体" w:cs="Times New Roman"/>
          <w:b/>
          <w:color w:val="auto"/>
          <w:kern w:val="0"/>
          <w:sz w:val="32"/>
          <w:szCs w:val="32"/>
          <w:lang w:val="en-US" w:eastAsia="zh-CN" w:bidi="ar-SA"/>
        </w:rPr>
        <w:t>2023</w:t>
      </w:r>
      <w:r>
        <w:rPr>
          <w:rFonts w:hint="eastAsia" w:ascii="方正仿宋简体" w:hAnsi="Times New Roman" w:eastAsia="方正仿宋简体" w:cs="Times New Roman"/>
          <w:b/>
          <w:color w:val="auto"/>
          <w:kern w:val="0"/>
          <w:sz w:val="32"/>
          <w:szCs w:val="32"/>
          <w:lang w:val="en-US" w:eastAsia="zh-CN" w:bidi="ar-SA"/>
        </w:rPr>
        <w:t>年收到</w:t>
      </w:r>
      <w:r>
        <w:rPr>
          <w:rFonts w:hint="eastAsia" w:ascii="方正仿宋简体" w:eastAsia="方正仿宋简体" w:cs="Times New Roman"/>
          <w:b/>
          <w:color w:val="auto"/>
          <w:kern w:val="0"/>
          <w:sz w:val="32"/>
          <w:szCs w:val="32"/>
          <w:lang w:val="en-US" w:eastAsia="zh-CN" w:bidi="ar-SA"/>
        </w:rPr>
        <w:t>2条</w:t>
      </w:r>
      <w:r>
        <w:rPr>
          <w:rFonts w:hint="eastAsia" w:ascii="方正仿宋简体" w:hAnsi="Times New Roman" w:eastAsia="方正仿宋简体" w:cs="Times New Roman"/>
          <w:b/>
          <w:color w:val="auto"/>
          <w:kern w:val="0"/>
          <w:sz w:val="32"/>
          <w:szCs w:val="32"/>
          <w:lang w:val="en-US" w:eastAsia="zh-CN" w:bidi="ar-SA"/>
        </w:rPr>
        <w:t>依申请公开相关信息。</w:t>
      </w:r>
    </w:p>
    <w:p>
      <w:pPr>
        <w:spacing w:line="590" w:lineRule="exact"/>
        <w:ind w:right="-100" w:rightChars="-50" w:firstLine="643" w:firstLineChars="200"/>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（三）政府信息管理情况</w:t>
      </w:r>
    </w:p>
    <w:p>
      <w:pPr>
        <w:spacing w:line="590" w:lineRule="exact"/>
        <w:ind w:right="-100" w:rightChars="-50" w:firstLine="643" w:firstLineChars="200"/>
        <w:rPr>
          <w:rFonts w:hint="default"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严格落实管委会关于政务公开工作的各项工作要求</w:t>
      </w:r>
      <w:r>
        <w:rPr>
          <w:rFonts w:hint="eastAsia" w:ascii="方正仿宋简体" w:eastAsia="方正仿宋简体" w:cs="Times New Roman"/>
          <w:b/>
          <w:color w:val="auto"/>
          <w:kern w:val="0"/>
          <w:sz w:val="32"/>
          <w:szCs w:val="32"/>
          <w:lang w:val="en-US" w:eastAsia="zh-CN" w:bidi="ar-SA"/>
        </w:rPr>
        <w:t>，投资促进局</w:t>
      </w:r>
      <w:r>
        <w:rPr>
          <w:rFonts w:hint="eastAsia" w:ascii="方正仿宋简体" w:hAnsi="Times New Roman" w:eastAsia="方正仿宋简体" w:cs="Times New Roman"/>
          <w:b/>
          <w:color w:val="auto"/>
          <w:kern w:val="0"/>
          <w:sz w:val="32"/>
          <w:szCs w:val="32"/>
          <w:lang w:val="en-US" w:eastAsia="zh-CN" w:bidi="ar-SA"/>
        </w:rPr>
        <w:t>按照《政务信息公开规范工作制度》，进一步完善政务信息常态化管理机制，不断建立健全政务信息制作、公开、存档等制度，及时动态调整信息</w:t>
      </w:r>
      <w:r>
        <w:rPr>
          <w:rFonts w:hint="default" w:ascii="方正仿宋简体" w:hAnsi="Times New Roman" w:eastAsia="方正仿宋简体" w:cs="Times New Roman"/>
          <w:b/>
          <w:color w:val="auto"/>
          <w:kern w:val="0"/>
          <w:sz w:val="32"/>
          <w:szCs w:val="32"/>
          <w:lang w:val="en-US" w:eastAsia="zh-CN" w:bidi="ar-SA"/>
        </w:rPr>
        <w:t>，切实提升信息公开的主动性、规范性、实效性。</w:t>
      </w:r>
    </w:p>
    <w:p>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（四）政府信息公开平台建设情况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落实政府信息主动公开新要求，发挥政府政务公开平台政务公开主阵地作用</w:t>
      </w:r>
      <w:r>
        <w:rPr>
          <w:rFonts w:hint="eastAsia" w:ascii="方正仿宋简体" w:eastAsia="方正仿宋简体" w:cs="Times New Roman"/>
          <w:b/>
          <w:color w:val="auto"/>
          <w:kern w:val="0"/>
          <w:sz w:val="32"/>
          <w:szCs w:val="32"/>
          <w:lang w:val="en-US" w:eastAsia="zh-CN" w:bidi="ar-SA"/>
        </w:rPr>
        <w:t>，</w:t>
      </w:r>
      <w:r>
        <w:rPr>
          <w:rFonts w:hint="eastAsia" w:ascii="方正仿宋简体" w:hAnsi="Times New Roman" w:eastAsia="方正仿宋简体" w:cs="Times New Roman"/>
          <w:b/>
          <w:color w:val="auto"/>
          <w:kern w:val="0"/>
          <w:sz w:val="32"/>
          <w:szCs w:val="32"/>
          <w:lang w:val="en-US" w:eastAsia="zh-CN" w:bidi="ar-SA"/>
        </w:rPr>
        <w:t>充分运用门户网站和自建综合性信息服务平台，及时发布产业促进</w:t>
      </w:r>
      <w:r>
        <w:rPr>
          <w:rFonts w:hint="eastAsia" w:ascii="方正仿宋简体" w:eastAsia="方正仿宋简体" w:cs="Times New Roman"/>
          <w:b/>
          <w:color w:val="auto"/>
          <w:kern w:val="0"/>
          <w:sz w:val="32"/>
          <w:szCs w:val="32"/>
          <w:lang w:val="en-US" w:eastAsia="zh-CN" w:bidi="ar-SA"/>
        </w:rPr>
        <w:t>动态，创新开设</w:t>
      </w:r>
      <w:r>
        <w:rPr>
          <w:rFonts w:hint="eastAsia" w:ascii="方正仿宋简体" w:hAnsi="Times New Roman" w:eastAsia="方正仿宋简体" w:cs="Times New Roman"/>
          <w:b/>
          <w:color w:val="auto"/>
          <w:kern w:val="0"/>
          <w:sz w:val="32"/>
          <w:szCs w:val="32"/>
          <w:lang w:val="en-US" w:eastAsia="zh-CN" w:bidi="ar-SA"/>
        </w:rPr>
        <w:t>产业动态、投资政策、投资环境、明星企业等</w:t>
      </w:r>
      <w:r>
        <w:rPr>
          <w:rFonts w:hint="eastAsia" w:ascii="方正仿宋简体" w:eastAsia="方正仿宋简体" w:cs="Times New Roman"/>
          <w:b/>
          <w:color w:val="auto"/>
          <w:kern w:val="0"/>
          <w:sz w:val="32"/>
          <w:szCs w:val="32"/>
          <w:lang w:val="en-US" w:eastAsia="zh-CN" w:bidi="ar-SA"/>
        </w:rPr>
        <w:t>信息，信息公开平台建设取得明显成效</w:t>
      </w:r>
      <w:r>
        <w:rPr>
          <w:rFonts w:hint="eastAsia" w:ascii="方正仿宋简体" w:hAnsi="Times New Roman" w:eastAsia="方正仿宋简体" w:cs="Times New Roman"/>
          <w:b/>
          <w:color w:val="auto"/>
          <w:kern w:val="0"/>
          <w:sz w:val="32"/>
          <w:szCs w:val="32"/>
          <w:lang w:val="en-US" w:eastAsia="zh-CN" w:bidi="ar-SA"/>
        </w:rPr>
        <w:t>。</w:t>
      </w:r>
    </w:p>
    <w:p>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（五）监督保障情况</w:t>
      </w:r>
    </w:p>
    <w:p>
      <w:pPr>
        <w:spacing w:line="590" w:lineRule="exact"/>
        <w:ind w:right="-100" w:rightChars="-50" w:firstLine="643" w:firstLineChars="200"/>
        <w:rPr>
          <w:rFonts w:hint="default" w:ascii="方正仿宋简体" w:eastAsia="方正仿宋简体" w:cs="Times New Roman"/>
          <w:b/>
          <w:color w:val="auto"/>
          <w:kern w:val="0"/>
          <w:sz w:val="32"/>
          <w:szCs w:val="32"/>
          <w:lang w:val="en-US" w:eastAsia="zh-CN" w:bidi="ar-SA"/>
        </w:rPr>
      </w:pPr>
      <w:r>
        <w:rPr>
          <w:rFonts w:hint="eastAsia" w:ascii="方正仿宋简体" w:eastAsia="方正仿宋简体" w:cs="Times New Roman"/>
          <w:b/>
          <w:color w:val="auto"/>
          <w:kern w:val="0"/>
          <w:sz w:val="32"/>
          <w:szCs w:val="32"/>
          <w:lang w:val="en-US" w:eastAsia="zh-CN" w:bidi="ar-SA"/>
        </w:rPr>
        <w:t>建立常态化培训制度，</w:t>
      </w:r>
      <w:r>
        <w:rPr>
          <w:rFonts w:hint="eastAsia" w:ascii="方正仿宋简体" w:hAnsi="Times New Roman" w:eastAsia="方正仿宋简体" w:cs="Times New Roman"/>
          <w:b/>
          <w:color w:val="auto"/>
          <w:kern w:val="0"/>
          <w:sz w:val="32"/>
          <w:szCs w:val="32"/>
          <w:lang w:val="en-US" w:eastAsia="zh-CN" w:bidi="ar-SA"/>
        </w:rPr>
        <w:t>组织相关</w:t>
      </w:r>
      <w:r>
        <w:rPr>
          <w:rFonts w:hint="eastAsia" w:ascii="方正仿宋简体" w:eastAsia="方正仿宋简体" w:cs="Times New Roman"/>
          <w:b/>
          <w:color w:val="auto"/>
          <w:kern w:val="0"/>
          <w:sz w:val="32"/>
          <w:szCs w:val="32"/>
          <w:lang w:val="en-US" w:eastAsia="zh-CN" w:bidi="ar-SA"/>
        </w:rPr>
        <w:t>部室</w:t>
      </w:r>
      <w:r>
        <w:rPr>
          <w:rFonts w:hint="eastAsia" w:ascii="方正仿宋简体" w:hAnsi="Times New Roman" w:eastAsia="方正仿宋简体" w:cs="Times New Roman"/>
          <w:b/>
          <w:color w:val="auto"/>
          <w:kern w:val="0"/>
          <w:sz w:val="32"/>
          <w:szCs w:val="32"/>
          <w:lang w:val="en-US" w:eastAsia="zh-CN" w:bidi="ar-SA"/>
        </w:rPr>
        <w:t>人员进行业务培训，提升业务水平，加深了解政府信息公开的重要性和必要性。</w:t>
      </w:r>
      <w:r>
        <w:rPr>
          <w:rFonts w:hint="eastAsia" w:ascii="方正仿宋简体" w:eastAsia="方正仿宋简体" w:cs="Times New Roman"/>
          <w:b/>
          <w:color w:val="auto"/>
          <w:kern w:val="0"/>
          <w:sz w:val="32"/>
          <w:szCs w:val="32"/>
          <w:lang w:val="en-US" w:eastAsia="zh-CN" w:bidi="ar-SA"/>
        </w:rPr>
        <w:t>强化新公开工作标准，</w:t>
      </w:r>
      <w:r>
        <w:rPr>
          <w:rFonts w:hint="eastAsia" w:ascii="方正仿宋简体" w:hAnsi="Times New Roman" w:eastAsia="方正仿宋简体" w:cs="Times New Roman"/>
          <w:b/>
          <w:color w:val="auto"/>
          <w:kern w:val="0"/>
          <w:sz w:val="32"/>
          <w:szCs w:val="32"/>
          <w:lang w:val="en-US" w:eastAsia="zh-CN" w:bidi="ar-SA"/>
        </w:rPr>
        <w:t>严格按照《条例》中信息公开的范围、公开方式和程序开展政府信息公开工作。</w:t>
      </w:r>
      <w:r>
        <w:rPr>
          <w:rFonts w:hint="eastAsia" w:ascii="方正仿宋简体" w:eastAsia="方正仿宋简体" w:cs="Times New Roman"/>
          <w:b/>
          <w:color w:val="auto"/>
          <w:kern w:val="0"/>
          <w:sz w:val="32"/>
          <w:szCs w:val="32"/>
          <w:lang w:val="en-US" w:eastAsia="zh-CN" w:bidi="ar-SA"/>
        </w:rPr>
        <w:t>加强</w:t>
      </w:r>
      <w:r>
        <w:rPr>
          <w:rFonts w:hint="eastAsia" w:ascii="方正仿宋简体" w:hAnsi="Times New Roman" w:eastAsia="方正仿宋简体" w:cs="Times New Roman"/>
          <w:b/>
          <w:color w:val="auto"/>
          <w:kern w:val="0"/>
          <w:sz w:val="32"/>
          <w:szCs w:val="32"/>
          <w:lang w:val="en-US" w:eastAsia="zh-CN" w:bidi="ar-SA"/>
        </w:rPr>
        <w:t>政府信息公开保密审查</w:t>
      </w:r>
      <w:r>
        <w:rPr>
          <w:rFonts w:hint="eastAsia" w:ascii="方正仿宋简体" w:eastAsia="方正仿宋简体" w:cs="Times New Roman"/>
          <w:b/>
          <w:color w:val="auto"/>
          <w:kern w:val="0"/>
          <w:sz w:val="32"/>
          <w:szCs w:val="32"/>
          <w:lang w:val="en-US" w:eastAsia="zh-CN" w:bidi="ar-SA"/>
        </w:rPr>
        <w:t>，</w:t>
      </w:r>
      <w:r>
        <w:rPr>
          <w:rFonts w:hint="eastAsia" w:ascii="方正仿宋简体" w:hAnsi="Times New Roman" w:eastAsia="方正仿宋简体" w:cs="Times New Roman"/>
          <w:b/>
          <w:color w:val="auto"/>
          <w:kern w:val="0"/>
          <w:sz w:val="32"/>
          <w:szCs w:val="32"/>
          <w:lang w:val="en-US" w:eastAsia="zh-CN" w:bidi="ar-SA"/>
        </w:rPr>
        <w:t>对涉密信息和不宜公开信息做到妥善处置</w:t>
      </w:r>
      <w:r>
        <w:rPr>
          <w:rFonts w:hint="eastAsia" w:ascii="方正仿宋简体" w:eastAsia="方正仿宋简体" w:cs="Times New Roman"/>
          <w:b/>
          <w:color w:val="auto"/>
          <w:kern w:val="0"/>
          <w:sz w:val="32"/>
          <w:szCs w:val="32"/>
          <w:lang w:val="en-US" w:eastAsia="zh-CN" w:bidi="ar-SA"/>
        </w:rPr>
        <w:t>，杜绝</w:t>
      </w:r>
      <w:r>
        <w:rPr>
          <w:rFonts w:hint="eastAsia" w:ascii="方正仿宋简体" w:hAnsi="Times New Roman" w:eastAsia="方正仿宋简体" w:cs="Times New Roman"/>
          <w:b/>
          <w:color w:val="auto"/>
          <w:kern w:val="0"/>
          <w:sz w:val="32"/>
          <w:szCs w:val="32"/>
          <w:lang w:val="en-US" w:eastAsia="zh-CN" w:bidi="ar-SA"/>
        </w:rPr>
        <w:t>失密泄密事件。</w:t>
      </w:r>
    </w:p>
    <w:p>
      <w:pPr>
        <w:spacing w:line="590" w:lineRule="exact"/>
        <w:ind w:right="-100" w:rightChars="-50"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color w:val="auto"/>
                <w:sz w:val="24"/>
              </w:rPr>
            </w:pPr>
            <w:r>
              <w:rPr>
                <w:rFonts w:hint="eastAsia" w:ascii="方正黑体简体" w:hAnsi="宋体" w:eastAsia="方正黑体简体" w:cs="宋体"/>
                <w:b/>
                <w:color w:val="auto"/>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color w:val="auto"/>
                <w:sz w:val="24"/>
              </w:rPr>
            </w:pPr>
            <w:r>
              <w:rPr>
                <w:rFonts w:hint="eastAsia" w:ascii="方正仿宋简体" w:hAnsi="宋体" w:eastAsia="方正仿宋简体" w:cs="宋体"/>
                <w:b/>
                <w:color w:val="auto"/>
                <w:sz w:val="24"/>
                <w:lang w:bidi="ar"/>
              </w:rPr>
              <w:t>规章</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宋体" w:eastAsia="方正仿宋简体" w:cs="宋体"/>
                <w:b/>
                <w:color w:val="auto"/>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宋体" w:eastAsia="方正仿宋简体" w:cs="宋体"/>
                <w:b/>
                <w:color w:val="auto"/>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Calibri"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color w:val="auto"/>
                <w:sz w:val="24"/>
              </w:rPr>
            </w:pPr>
            <w:r>
              <w:rPr>
                <w:rFonts w:hint="eastAsia" w:ascii="方正仿宋简体" w:hAnsi="宋体" w:eastAsia="方正仿宋简体" w:cs="宋体"/>
                <w:b/>
                <w:color w:val="auto"/>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宋体" w:eastAsia="方正仿宋简体" w:cs="宋体"/>
                <w:b/>
                <w:color w:val="auto"/>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宋体" w:eastAsia="方正仿宋简体" w:cs="宋体"/>
                <w:b/>
                <w:color w:val="auto"/>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Calibri"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黑体简体" w:hAnsi="宋体" w:eastAsia="方正黑体简体" w:cs="宋体"/>
                <w:b/>
                <w:color w:val="auto"/>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color w:val="auto"/>
                <w:sz w:val="24"/>
              </w:rPr>
            </w:pPr>
            <w:r>
              <w:rPr>
                <w:rFonts w:hint="eastAsia" w:ascii="方正仿宋简体" w:hAnsi="宋体" w:eastAsia="方正仿宋简体" w:cs="宋体"/>
                <w:b/>
                <w:color w:val="auto"/>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Calibri"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黑体简体" w:hAnsi="宋体" w:eastAsia="方正黑体简体" w:cs="宋体"/>
                <w:b/>
                <w:color w:val="auto"/>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color w:val="auto"/>
                <w:sz w:val="24"/>
              </w:rPr>
            </w:pPr>
            <w:r>
              <w:rPr>
                <w:rFonts w:hint="eastAsia" w:ascii="方正仿宋简体" w:hAnsi="宋体" w:eastAsia="方正仿宋简体" w:cs="宋体"/>
                <w:b/>
                <w:color w:val="auto"/>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宋体" w:eastAsia="方正仿宋简体" w:cs="宋体"/>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color w:val="auto"/>
                <w:sz w:val="24"/>
              </w:rPr>
            </w:pPr>
            <w:r>
              <w:rPr>
                <w:rFonts w:hint="eastAsia" w:ascii="方正仿宋简体" w:hAnsi="宋体" w:eastAsia="方正仿宋简体" w:cs="宋体"/>
                <w:b/>
                <w:color w:val="auto"/>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color w:val="auto"/>
                <w:sz w:val="24"/>
                <w:lang w:val="en-US" w:eastAsia="zh-CN"/>
              </w:rPr>
            </w:pPr>
            <w:r>
              <w:rPr>
                <w:rFonts w:hint="eastAsia" w:ascii="方正仿宋简体" w:hAnsi="宋体" w:eastAsia="方正仿宋简体" w:cs="宋体"/>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黑体简体" w:hAnsi="宋体" w:eastAsia="方正黑体简体" w:cs="宋体"/>
                <w:b/>
                <w:color w:val="auto"/>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color w:val="auto"/>
                <w:sz w:val="24"/>
              </w:rPr>
            </w:pPr>
            <w:r>
              <w:rPr>
                <w:rFonts w:hint="eastAsia" w:ascii="方正仿宋简体" w:hAnsi="宋体" w:eastAsia="方正仿宋简体" w:cs="宋体"/>
                <w:b/>
                <w:color w:val="auto"/>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color w:val="auto"/>
                <w:sz w:val="24"/>
              </w:rPr>
            </w:pPr>
            <w:r>
              <w:rPr>
                <w:rFonts w:hint="eastAsia" w:ascii="方正仿宋简体" w:hAnsi="宋体" w:eastAsia="方正仿宋简体" w:cs="宋体"/>
                <w:b/>
                <w:color w:val="auto"/>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jc w:val="center"/>
              <w:rPr>
                <w:rFonts w:hint="eastAsia" w:ascii="方正仿宋简体" w:eastAsia="方正仿宋简体"/>
                <w:b/>
                <w:color w:val="auto"/>
                <w:sz w:val="24"/>
                <w:lang w:val="en-US" w:eastAsia="zh-CN"/>
              </w:rPr>
            </w:pPr>
            <w:r>
              <w:rPr>
                <w:rFonts w:hint="eastAsia" w:ascii="方正仿宋简体" w:eastAsia="方正仿宋简体"/>
                <w:b/>
                <w:color w:val="auto"/>
                <w:sz w:val="24"/>
                <w:lang w:val="en-US" w:eastAsia="zh-CN"/>
              </w:rPr>
              <w:t>0</w:t>
            </w:r>
          </w:p>
        </w:tc>
      </w:tr>
    </w:tbl>
    <w:p>
      <w:pPr>
        <w:spacing w:before="62" w:beforeLines="10" w:after="62" w:afterLines="10" w:line="600" w:lineRule="exact"/>
        <w:ind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楷体" w:eastAsia="方正黑体简体" w:cs="楷体"/>
                <w:b/>
                <w:color w:val="auto"/>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color w:val="auto"/>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color w:val="auto"/>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商业</w:t>
            </w:r>
          </w:p>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科研</w:t>
            </w:r>
          </w:p>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color w:val="auto"/>
                <w:sz w:val="21"/>
                <w:szCs w:val="21"/>
              </w:rPr>
            </w:pPr>
            <w:r>
              <w:rPr>
                <w:rFonts w:hint="eastAsia" w:ascii="方正黑体简体" w:hAnsi="宋体" w:eastAsia="方正黑体简体" w:cs="宋体"/>
                <w:b/>
                <w:color w:val="auto"/>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color w:val="auto"/>
                <w:sz w:val="21"/>
                <w:szCs w:val="21"/>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color w:val="auto"/>
                <w:sz w:val="21"/>
                <w:szCs w:val="21"/>
                <w:lang w:val="en-US" w:eastAsia="zh-CN"/>
              </w:rPr>
            </w:pPr>
            <w:r>
              <w:rPr>
                <w:rFonts w:hint="eastAsia" w:ascii="方正仿宋简体" w:hAnsi="Calibri" w:eastAsia="方正仿宋简体" w:cs="Calibri"/>
                <w:b/>
                <w:color w:val="auto"/>
                <w:sz w:val="21"/>
                <w:szCs w:val="21"/>
                <w:lang w:val="en-US" w:eastAsia="zh-CN" w:bidi="ar"/>
              </w:rPr>
              <w:t>2</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color w:val="auto"/>
                <w:sz w:val="21"/>
                <w:szCs w:val="21"/>
                <w:lang w:val="en-US" w:eastAsia="zh-CN"/>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color w:val="auto"/>
                <w:sz w:val="21"/>
                <w:szCs w:val="21"/>
                <w:lang w:val="en-US" w:eastAsia="zh-CN"/>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color w:val="auto"/>
                <w:sz w:val="21"/>
                <w:szCs w:val="21"/>
                <w:lang w:val="en-US" w:eastAsia="zh-CN"/>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color w:val="auto"/>
                <w:sz w:val="21"/>
                <w:szCs w:val="21"/>
                <w:lang w:val="en-US" w:eastAsia="zh-CN"/>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color w:val="auto"/>
                <w:sz w:val="21"/>
                <w:szCs w:val="21"/>
              </w:rPr>
            </w:pPr>
            <w:r>
              <w:rPr>
                <w:rFonts w:hint="eastAsia" w:ascii="方正仿宋简体" w:hAnsi="Calibri" w:eastAsia="方正仿宋简体" w:cs="Calibri"/>
                <w:b/>
                <w:color w:val="auto"/>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（二）部分公开</w:t>
            </w:r>
            <w:r>
              <w:rPr>
                <w:rFonts w:hint="eastAsia" w:ascii="方正仿宋简体" w:hAnsi="楷体" w:eastAsia="方正仿宋简体" w:cs="楷体"/>
                <w:b/>
                <w:color w:val="auto"/>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2</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color w:val="auto"/>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2</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color w:val="auto"/>
                <w:sz w:val="21"/>
                <w:szCs w:val="21"/>
              </w:rPr>
            </w:pPr>
            <w:r>
              <w:rPr>
                <w:rFonts w:hint="eastAsia" w:ascii="方正仿宋简体" w:hAnsi="宋体" w:eastAsia="方正仿宋简体" w:cs="宋体"/>
                <w:b/>
                <w:color w:val="auto"/>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p>
        </w:tc>
      </w:tr>
    </w:tbl>
    <w:p>
      <w:pPr>
        <w:spacing w:line="590" w:lineRule="exact"/>
        <w:ind w:right="-100" w:rightChars="-50"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color w:val="auto"/>
                <w:sz w:val="21"/>
                <w:szCs w:val="21"/>
                <w:lang w:bidi="ar"/>
              </w:rPr>
            </w:pPr>
            <w:r>
              <w:rPr>
                <w:rFonts w:hint="eastAsia" w:ascii="方正黑体简体" w:hAnsi="宋体" w:eastAsia="方正黑体简体" w:cs="宋体"/>
                <w:color w:val="auto"/>
                <w:sz w:val="21"/>
                <w:szCs w:val="21"/>
                <w:lang w:bidi="ar"/>
              </w:rPr>
              <w:t>结果</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其他</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尚未</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color w:val="auto"/>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color w:val="auto"/>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color w:val="auto"/>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color w:val="auto"/>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color w:val="auto"/>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结果</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结果</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其他</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尚未</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结果</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结果</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其他</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color w:val="auto"/>
                <w:sz w:val="21"/>
                <w:szCs w:val="21"/>
                <w:lang w:eastAsia="zh-CN" w:bidi="ar"/>
              </w:rPr>
            </w:pPr>
            <w:r>
              <w:rPr>
                <w:rFonts w:hint="eastAsia" w:ascii="方正黑体简体" w:hAnsi="宋体" w:eastAsia="方正黑体简体" w:cs="宋体"/>
                <w:color w:val="auto"/>
                <w:sz w:val="21"/>
                <w:szCs w:val="21"/>
                <w:lang w:bidi="ar"/>
              </w:rPr>
              <w:t>尚未</w:t>
            </w:r>
          </w:p>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宋体"/>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黑体"/>
                <w:color w:val="auto"/>
                <w:sz w:val="21"/>
                <w:szCs w:val="21"/>
                <w:lang w:val="en-US" w:eastAsia="zh-CN" w:bidi="ar"/>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黑体"/>
                <w:color w:val="auto"/>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黑体"/>
                <w:color w:val="auto"/>
                <w:sz w:val="21"/>
                <w:szCs w:val="21"/>
                <w:lang w:val="en-US"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黑体"/>
                <w:color w:val="auto"/>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color w:val="auto"/>
                <w:sz w:val="21"/>
                <w:szCs w:val="21"/>
              </w:rPr>
            </w:pPr>
            <w:r>
              <w:rPr>
                <w:rFonts w:hint="eastAsia" w:ascii="方正黑体简体" w:hAnsi="宋体" w:eastAsia="方正黑体简体" w:cs="黑体"/>
                <w:color w:val="auto"/>
                <w:sz w:val="21"/>
                <w:szCs w:val="21"/>
                <w:lang w:val="en-US"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hAnsi="宋体" w:eastAsia="方正黑体简体" w:cs="黑体"/>
                <w:color w:val="auto"/>
                <w:sz w:val="21"/>
                <w:szCs w:val="21"/>
                <w:lang w:val="en-US" w:eastAsia="zh-CN" w:bidi="ar"/>
              </w:rPr>
              <w:t>0</w:t>
            </w:r>
          </w:p>
        </w:tc>
        <w:tc>
          <w:tcPr>
            <w:tcW w:w="407" w:type="dxa"/>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color w:val="auto"/>
                <w:sz w:val="21"/>
                <w:szCs w:val="21"/>
                <w:lang w:val="en-US" w:eastAsia="zh-CN"/>
              </w:rPr>
            </w:pPr>
            <w:r>
              <w:rPr>
                <w:rFonts w:hint="eastAsia" w:ascii="方正黑体简体" w:eastAsia="方正黑体简体"/>
                <w:color w:val="auto"/>
                <w:sz w:val="21"/>
                <w:szCs w:val="21"/>
                <w:lang w:val="en-US" w:eastAsia="zh-CN"/>
              </w:rPr>
              <w:t>0</w:t>
            </w:r>
          </w:p>
        </w:tc>
      </w:tr>
    </w:tbl>
    <w:p>
      <w:pPr>
        <w:spacing w:line="590" w:lineRule="exact"/>
        <w:ind w:right="-100" w:rightChars="-50"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2023年，投资促进局政府信息公开工作取得了一定成效，但是仍然存在一些薄弱环节。例如，产业政策动态更新不够及时，产业促进信息被上级部门采用较少，信息公开内容展示形式不够丰富等。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下步，投资促进局将进一步加强政务公开工作</w:t>
      </w:r>
      <w:r>
        <w:rPr>
          <w:rFonts w:hint="default" w:ascii="方正仿宋简体" w:hAnsi="Times New Roman" w:eastAsia="方正仿宋简体" w:cs="Times New Roman"/>
          <w:b/>
          <w:color w:val="auto"/>
          <w:kern w:val="0"/>
          <w:sz w:val="32"/>
          <w:szCs w:val="32"/>
          <w:lang w:val="en-US" w:eastAsia="zh-CN" w:bidi="ar-SA"/>
        </w:rPr>
        <w:t>规范，明确公开重点内容、时限、责任处室，</w:t>
      </w:r>
      <w:r>
        <w:rPr>
          <w:rFonts w:hint="eastAsia" w:ascii="方正仿宋简体" w:hAnsi="Times New Roman" w:eastAsia="方正仿宋简体" w:cs="Times New Roman"/>
          <w:b/>
          <w:color w:val="auto"/>
          <w:kern w:val="0"/>
          <w:sz w:val="32"/>
          <w:szCs w:val="32"/>
          <w:lang w:val="en-US" w:eastAsia="zh-CN" w:bidi="ar-SA"/>
        </w:rPr>
        <w:t>创新公开内容、形式、图表，力争2024年政务公开工作取得显著成效</w:t>
      </w:r>
      <w:r>
        <w:rPr>
          <w:rFonts w:hint="default" w:ascii="方正仿宋简体" w:hAnsi="Times New Roman" w:eastAsia="方正仿宋简体" w:cs="Times New Roman"/>
          <w:b/>
          <w:color w:val="auto"/>
          <w:kern w:val="0"/>
          <w:sz w:val="32"/>
          <w:szCs w:val="32"/>
          <w:lang w:val="en-US" w:eastAsia="zh-CN" w:bidi="ar-SA"/>
        </w:rPr>
        <w:t>。</w:t>
      </w:r>
    </w:p>
    <w:p>
      <w:pPr>
        <w:spacing w:line="590" w:lineRule="exact"/>
        <w:ind w:right="-100" w:rightChars="-50"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（一）依据《政府信息公开信息处理费管理办法》收取信息处理费的情况：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default"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济宁高新区投资促进局2023年无信息处理费收取情况。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default"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（二）落实上级年度政务公开工作要点情况：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auto"/>
          <w:kern w:val="0"/>
          <w:sz w:val="32"/>
          <w:szCs w:val="32"/>
          <w:lang w:val="en-US" w:eastAsia="zh-CN" w:bidi="ar-SA"/>
        </w:rPr>
      </w:pPr>
      <w:r>
        <w:rPr>
          <w:rFonts w:hint="eastAsia" w:ascii="方正仿宋简体" w:hAnsi="Times New Roman" w:eastAsia="方正仿宋简体" w:cs="Times New Roman"/>
          <w:b/>
          <w:color w:val="auto"/>
          <w:kern w:val="0"/>
          <w:sz w:val="32"/>
          <w:szCs w:val="32"/>
          <w:lang w:val="en-US" w:eastAsia="zh-CN" w:bidi="ar-SA"/>
        </w:rPr>
        <w:t>投资促进局认真落实《政务公开规范工作制度》，局综合处协调落实政务公开信息发布，局各产业部室按政务公开要求定期公开产业政策、动态、信息，及时更新政府信息公开指南相关要素，确保重要会议、重大决策、产业政策第一时间公开发布。</w:t>
      </w:r>
    </w:p>
    <w:p>
      <w:pPr>
        <w:numPr>
          <w:ilvl w:val="0"/>
          <w:numId w:val="1"/>
        </w:num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人大代表建议和政协提案办理结果公开情况：</w:t>
      </w:r>
    </w:p>
    <w:p>
      <w:pPr>
        <w:numPr>
          <w:ilvl w:val="0"/>
          <w:numId w:val="0"/>
        </w:numPr>
        <w:spacing w:line="590" w:lineRule="exact"/>
        <w:ind w:right="-100" w:rightChars="-50" w:firstLine="420" w:firstLineChars="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2023年我部门未收到人大代表建议和政协提案。</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w:t>
      </w:r>
      <w:r>
        <w:rPr>
          <w:rFonts w:hint="eastAsia" w:ascii="方正仿宋简体" w:eastAsia="方正仿宋简体"/>
          <w:b/>
          <w:color w:val="000000" w:themeColor="text1"/>
          <w:sz w:val="32"/>
          <w:szCs w:val="32"/>
          <w:lang w:eastAsia="zh-CN"/>
          <w14:textFill>
            <w14:solidFill>
              <w14:schemeClr w14:val="tx1"/>
            </w14:solidFill>
          </w14:textFill>
        </w:rPr>
        <w:t>四</w:t>
      </w: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rPr>
          <w:color w:val="auto"/>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17407"/>
    <w:multiLevelType w:val="singleLevel"/>
    <w:tmpl w:val="3F21740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4CF11C8B"/>
    <w:rsid w:val="025575E2"/>
    <w:rsid w:val="08BF5E5A"/>
    <w:rsid w:val="0A4C6EA0"/>
    <w:rsid w:val="0B6B55CC"/>
    <w:rsid w:val="0B942BAA"/>
    <w:rsid w:val="15A20227"/>
    <w:rsid w:val="16967E20"/>
    <w:rsid w:val="16FA304D"/>
    <w:rsid w:val="23964B27"/>
    <w:rsid w:val="256609B2"/>
    <w:rsid w:val="2D647614"/>
    <w:rsid w:val="34060D06"/>
    <w:rsid w:val="3AED1D69"/>
    <w:rsid w:val="4042460D"/>
    <w:rsid w:val="48A338CE"/>
    <w:rsid w:val="4CF11C8B"/>
    <w:rsid w:val="4E9F18BC"/>
    <w:rsid w:val="55046F76"/>
    <w:rsid w:val="5D125B7E"/>
    <w:rsid w:val="5D977954"/>
    <w:rsid w:val="5E6E48EE"/>
    <w:rsid w:val="5F382F53"/>
    <w:rsid w:val="62205A1E"/>
    <w:rsid w:val="67693AB6"/>
    <w:rsid w:val="679A7B08"/>
    <w:rsid w:val="6D281143"/>
    <w:rsid w:val="7DA32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2270;&#34920;%20&#22312;%200130%20&#27982;&#23425;&#39640;&#26032;&#21306;&#25237;&#36164;&#20419;&#36827;&#23616;2023&#24180;&#25919;&#24220;&#20449;&#24687;&#20844;&#24320;&#24037;&#20316;&#24180;&#24230;&#25253;&#21578;.doc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t" anchorCtr="0"/>
          <a:lstStyle/>
          <a:p>
            <a:pPr defTabSz="914400">
              <a:defRPr lang="zh-CN" sz="1400" b="0" i="0" u="none" strike="noStrike" kern="1200" spc="0" baseline="0">
                <a:solidFill>
                  <a:schemeClr val="tx1">
                    <a:lumMod val="65000"/>
                    <a:lumOff val="35000"/>
                  </a:schemeClr>
                </a:solidFill>
                <a:latin typeface="+mn-lt"/>
                <a:ea typeface="+mn-ea"/>
                <a:cs typeface="+mn-cs"/>
              </a:defRPr>
            </a:pPr>
            <a:r>
              <a:rPr lang="zh-CN" sz="2000" b="1" i="0" u="none" strike="noStrike" kern="1200" spc="0" baseline="0">
                <a:solidFill>
                  <a:schemeClr val="tx1">
                    <a:lumMod val="65000"/>
                    <a:lumOff val="35000"/>
                  </a:schemeClr>
                </a:solidFill>
                <a:latin typeface="方正小标宋简体" panose="03000509000000000000" charset="-122"/>
                <a:ea typeface="方正小标宋简体" panose="03000509000000000000" charset="-122"/>
                <a:cs typeface="+mn-cs"/>
              </a:rPr>
              <a:t>投资促进局</a:t>
            </a:r>
            <a:endParaRPr lang="zh-CN" sz="2000" b="1" i="0" u="none" strike="noStrike" kern="1200" spc="0" baseline="0">
              <a:solidFill>
                <a:schemeClr val="tx1">
                  <a:lumMod val="65000"/>
                  <a:lumOff val="35000"/>
                </a:schemeClr>
              </a:solidFill>
              <a:latin typeface="方正小标宋简体" panose="03000509000000000000" charset="-122"/>
              <a:ea typeface="方正小标宋简体" panose="03000509000000000000" charset="-122"/>
              <a:cs typeface="+mn-cs"/>
            </a:endParaRPr>
          </a:p>
        </c:rich>
      </c:tx>
      <c:layout/>
      <c:overlay val="0"/>
    </c:title>
    <c:autoTitleDeleted val="0"/>
    <c:plotArea>
      <c:layout>
        <c:manualLayout>
          <c:layoutTarget val="inner"/>
          <c:xMode val="edge"/>
          <c:yMode val="edge"/>
          <c:x val="0.0271049596309112"/>
          <c:y val="0.172916666666667"/>
          <c:w val="0.949250288350634"/>
          <c:h val="0.607268518518518"/>
        </c:manualLayout>
      </c:layout>
      <c:barChart>
        <c:barDir val="col"/>
        <c:grouping val="clustered"/>
        <c:varyColors val="0"/>
        <c:ser>
          <c:idx val="1"/>
          <c:order val="1"/>
          <c:tx>
            <c:strRef>
              <c:f>'[图表 在 0130 济宁高新区投资促进局2023年政府信息公开工作年度报告.docx]Sheet1'!$B$4</c:f>
              <c:strCache>
                <c:ptCount val="1"/>
                <c:pt idx="0">
                  <c:v/>
                </c:pt>
              </c:strCache>
            </c:strRef>
          </c:tx>
          <c:spPr>
            <a:solidFill>
              <a:srgbClr val="ED7D31">
                <a:alpha val="100000"/>
              </a:srgbClr>
            </a:solidFill>
            <a:ln w="3175">
              <a:noFill/>
            </a:ln>
          </c:spPr>
          <c:invertIfNegative val="0"/>
          <c:dLbls>
            <c:delete val="1"/>
          </c:dLbls>
          <c:cat>
            <c:strRef>
              <c:f>'[图表 在 0130 济宁高新区投资促进局2023年政府信息公开工作年度报告.docx]Sheet1'!$C$2:$I$2</c:f>
              <c:strCache>
                <c:ptCount val="7"/>
                <c:pt idx="0">
                  <c:v>会议公开</c:v>
                </c:pt>
                <c:pt idx="1">
                  <c:v>工作推进</c:v>
                </c:pt>
                <c:pt idx="2">
                  <c:v>主动公开目录</c:v>
                </c:pt>
                <c:pt idx="3">
                  <c:v>产业动态</c:v>
                </c:pt>
                <c:pt idx="4">
                  <c:v>投资政策</c:v>
                </c:pt>
                <c:pt idx="5">
                  <c:v>投资环境</c:v>
                </c:pt>
                <c:pt idx="6">
                  <c:v>明星企业</c:v>
                </c:pt>
              </c:strCache>
            </c:strRef>
          </c:cat>
          <c:val>
            <c:numRef>
              <c:f>'[图表 在 0130 济宁高新区投资促进局2023年政府信息公开工作年度报告.docx]Sheet1'!$C$4:$G$4</c:f>
              <c:numCache>
                <c:formatCode>General</c:formatCode>
                <c:ptCount val="5"/>
              </c:numCache>
            </c:numRef>
          </c:val>
        </c:ser>
        <c:ser>
          <c:idx val="2"/>
          <c:order val="2"/>
          <c:tx>
            <c:strRef>
              <c:f>'[图表 在 0130 济宁高新区投资促进局2023年政府信息公开工作年度报告.docx]Sheet1'!$B$5</c:f>
              <c:strCache>
                <c:ptCount val="1"/>
                <c:pt idx="0">
                  <c:v/>
                </c:pt>
              </c:strCache>
            </c:strRef>
          </c:tx>
          <c:spPr>
            <a:solidFill>
              <a:srgbClr val="A5A5A5">
                <a:alpha val="100000"/>
              </a:srgbClr>
            </a:solidFill>
            <a:ln w="3175">
              <a:noFill/>
            </a:ln>
          </c:spPr>
          <c:invertIfNegative val="0"/>
          <c:dLbls>
            <c:delete val="1"/>
          </c:dLbls>
          <c:cat>
            <c:strRef>
              <c:f>'[图表 在 0130 济宁高新区投资促进局2023年政府信息公开工作年度报告.docx]Sheet1'!$C$2:$I$2</c:f>
              <c:strCache>
                <c:ptCount val="7"/>
                <c:pt idx="0">
                  <c:v>会议公开</c:v>
                </c:pt>
                <c:pt idx="1">
                  <c:v>工作推进</c:v>
                </c:pt>
                <c:pt idx="2">
                  <c:v>主动公开目录</c:v>
                </c:pt>
                <c:pt idx="3">
                  <c:v>产业动态</c:v>
                </c:pt>
                <c:pt idx="4">
                  <c:v>投资政策</c:v>
                </c:pt>
                <c:pt idx="5">
                  <c:v>投资环境</c:v>
                </c:pt>
                <c:pt idx="6">
                  <c:v>明星企业</c:v>
                </c:pt>
              </c:strCache>
            </c:strRef>
          </c:cat>
          <c:val>
            <c:numRef>
              <c:f>'[图表 在 0130 济宁高新区投资促进局2023年政府信息公开工作年度报告.docx]Sheet1'!$C$5:$G$5</c:f>
              <c:numCache>
                <c:formatCode>General</c:formatCode>
                <c:ptCount val="5"/>
              </c:numCache>
            </c:numRef>
          </c:val>
        </c:ser>
        <c:dLbls>
          <c:showLegendKey val="0"/>
          <c:showVal val="0"/>
          <c:showCatName val="0"/>
          <c:showSerName val="0"/>
          <c:showPercent val="0"/>
          <c:showBubbleSize val="0"/>
        </c:dLbls>
        <c:gapWidth val="219"/>
        <c:overlap val="-27"/>
        <c:axId val="654393922"/>
        <c:axId val="639474684"/>
      </c:barChart>
      <c:barChart>
        <c:barDir val="col"/>
        <c:grouping val="clustered"/>
        <c:varyColors val="0"/>
        <c:ser>
          <c:idx val="0"/>
          <c:order val="0"/>
          <c:tx>
            <c:strRef>
              <c:f>'[图表 在 0130 济宁高新区投资促进局2023年政府信息公开工作年度报告.docx]Sheet1'!$B$3</c:f>
              <c:strCache>
                <c:ptCount val="1"/>
                <c:pt idx="0">
                  <c:v>公开数量</c:v>
                </c:pt>
              </c:strCache>
            </c:strRef>
          </c:tx>
          <c:spPr>
            <a:solidFill>
              <a:srgbClr val="5B9BD5">
                <a:alpha val="100000"/>
              </a:srgbClr>
            </a:solidFill>
            <a:ln w="3175">
              <a:noFill/>
            </a:ln>
          </c:spPr>
          <c:invertIfNegative val="0"/>
          <c:dLbls>
            <c:delete val="1"/>
          </c:dLbls>
          <c:cat>
            <c:strRef>
              <c:f>'[图表 在 0130 济宁高新区投资促进局2023年政府信息公开工作年度报告.docx]Sheet1'!$C$2:$I$2</c:f>
              <c:strCache>
                <c:ptCount val="7"/>
                <c:pt idx="0">
                  <c:v>会议公开</c:v>
                </c:pt>
                <c:pt idx="1">
                  <c:v>工作推进</c:v>
                </c:pt>
                <c:pt idx="2">
                  <c:v>主动公开目录</c:v>
                </c:pt>
                <c:pt idx="3">
                  <c:v>产业动态</c:v>
                </c:pt>
                <c:pt idx="4">
                  <c:v>投资政策</c:v>
                </c:pt>
                <c:pt idx="5">
                  <c:v>投资环境</c:v>
                </c:pt>
                <c:pt idx="6">
                  <c:v>明星企业</c:v>
                </c:pt>
              </c:strCache>
            </c:strRef>
          </c:cat>
          <c:val>
            <c:numRef>
              <c:f>'[图表 在 0130 济宁高新区投资促进局2023年政府信息公开工作年度报告.docx]Sheet1'!$C$3:$I$3</c:f>
              <c:numCache>
                <c:formatCode>General</c:formatCode>
                <c:ptCount val="7"/>
                <c:pt idx="0">
                  <c:v>24</c:v>
                </c:pt>
                <c:pt idx="1">
                  <c:v>3</c:v>
                </c:pt>
                <c:pt idx="2">
                  <c:v>1</c:v>
                </c:pt>
                <c:pt idx="3">
                  <c:v>62</c:v>
                </c:pt>
                <c:pt idx="4">
                  <c:v>32</c:v>
                </c:pt>
                <c:pt idx="5">
                  <c:v>32</c:v>
                </c:pt>
                <c:pt idx="6">
                  <c:v>35</c:v>
                </c:pt>
              </c:numCache>
            </c:numRef>
          </c:val>
        </c:ser>
        <c:dLbls>
          <c:showLegendKey val="0"/>
          <c:showVal val="0"/>
          <c:showCatName val="0"/>
          <c:showSerName val="0"/>
          <c:showPercent val="0"/>
          <c:showBubbleSize val="0"/>
        </c:dLbls>
        <c:gapWidth val="219"/>
        <c:overlap val="-27"/>
        <c:axId val="442396001"/>
        <c:axId val="436222734"/>
      </c:barChart>
      <c:catAx>
        <c:axId val="65439392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474684"/>
        <c:crosses val="autoZero"/>
        <c:auto val="1"/>
        <c:lblAlgn val="ctr"/>
        <c:lblOffset val="100"/>
        <c:noMultiLvlLbl val="0"/>
      </c:catAx>
      <c:valAx>
        <c:axId val="639474684"/>
        <c:scaling>
          <c:orientation val="minMax"/>
        </c:scaling>
        <c:delete val="1"/>
        <c:axPos val="l"/>
        <c:majorGridlines>
          <c:spPr>
            <a:ln w="9525" cap="flat" cmpd="sng" algn="ctr">
              <a:solidFill>
                <a:schemeClr val="tx1">
                  <a:lumMod val="15000"/>
                  <a:lumOff val="85000"/>
                </a:schemeClr>
              </a:solidFill>
              <a:prstDash val="solid"/>
              <a:round/>
            </a:ln>
            <a:effectLst/>
          </c:spPr>
        </c:majorGridlines>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595959">
                    <a:alpha val="100000"/>
                  </a:srgbClr>
                </a:solidFill>
                <a:latin typeface="+mn-lt"/>
                <a:ea typeface="+mn-ea"/>
                <a:cs typeface="+mn-cs"/>
              </a:defRPr>
            </a:pPr>
          </a:p>
        </c:txPr>
        <c:crossAx val="654393922"/>
        <c:crosses val="autoZero"/>
        <c:crossBetween val="between"/>
      </c:valAx>
      <c:catAx>
        <c:axId val="442396001"/>
        <c:scaling>
          <c:orientation val="minMax"/>
        </c:scaling>
        <c:delete val="1"/>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alpha val="100000"/>
                  </a:srgbClr>
                </a:solidFill>
                <a:latin typeface="+mn-lt"/>
                <a:ea typeface="+mn-ea"/>
                <a:cs typeface="+mn-cs"/>
              </a:defRPr>
            </a:pPr>
          </a:p>
        </c:txPr>
        <c:crossAx val="436222734"/>
        <c:crosses val="autoZero"/>
        <c:auto val="1"/>
        <c:lblAlgn val="ctr"/>
        <c:lblOffset val="100"/>
        <c:noMultiLvlLbl val="0"/>
      </c:catAx>
      <c:valAx>
        <c:axId val="436222734"/>
        <c:scaling>
          <c:orientation val="minMax"/>
        </c:scaling>
        <c:delete val="0"/>
        <c:axPos val="r"/>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2396001"/>
        <c:crosses val="max"/>
        <c:crossBetween val="between"/>
      </c:valAx>
    </c:plotArea>
    <c:legend>
      <c:legendPos val="b"/>
      <c:legendEntry>
        <c:idx val="0"/>
        <c:delete val="1"/>
      </c:legendEntry>
      <c:legendEntry>
        <c:idx val="1"/>
        <c:delete val="1"/>
      </c:legendEntry>
      <c:layout/>
      <c:overlay val="0"/>
      <c:spPr>
        <a:noFill/>
        <a:ln w="3175">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2708</Words>
  <Characters>2807</Characters>
  <Lines>0</Lines>
  <Paragraphs>0</Paragraphs>
  <TotalTime>0</TotalTime>
  <ScaleCrop>false</ScaleCrop>
  <LinksUpToDate>false</LinksUpToDate>
  <CharactersWithSpaces>2811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2023-02-03T09:26:00Z</dcterms:created>
  <dc:creator>……</dc:creator>
  <cp:lastModifiedBy>糖炒栗子 ້໌ᮨ</cp:lastModifiedBy>
  <cp:lastPrinted>2024-01-23T07:19:00Z</cp:lastPrinted>
  <dcterms:modified xsi:type="dcterms:W3CDTF">2024-03-01T06:21:43Z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66CABB93C81647288EF36AF6934FCDBB_13</vt:lpwstr>
  </property>
</Properties>
</file>