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90" w:lineRule="exact"/>
        <w:ind w:right="-96"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rPr>
        <w:t>济宁高新区发展软环境保障局2022年</w:t>
      </w:r>
    </w:p>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政府信息公开工作年度报告</w:t>
      </w:r>
    </w:p>
    <w:p>
      <w:pPr>
        <w:spacing w:line="590" w:lineRule="exact"/>
        <w:ind w:right="-96" w:rightChars="-50" w:firstLine="624" w:firstLineChars="200"/>
        <w:rPr>
          <w:rFonts w:ascii="方正仿宋简体" w:eastAsia="方正仿宋简体"/>
          <w:b/>
          <w:color w:val="000000"/>
          <w:sz w:val="32"/>
          <w:szCs w:val="32"/>
        </w:rPr>
      </w:pPr>
    </w:p>
    <w:p>
      <w:pPr>
        <w:spacing w:line="590" w:lineRule="exact"/>
        <w:ind w:right="-96" w:rightChars="-50" w:firstLine="624"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本报告由济宁高新区发展软环境保障局按照《中华人民共和国政府信息公开条例》（以下简称《条例》）和《中华人民共和国政府信息公开工作年度报告格式》（国办公开办函〔2021〕</w:t>
      </w:r>
      <w:r>
        <w:rPr>
          <w:rFonts w:hint="eastAsia" w:ascii="方正仿宋简体" w:eastAsia="方正仿宋简体"/>
          <w:b/>
          <w:color w:val="000000"/>
          <w:spacing w:val="-11"/>
          <w:sz w:val="32"/>
          <w:szCs w:val="32"/>
        </w:rPr>
        <w:t>30号）要求编制。</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本报告所列数据的统计期限自2022年1月1日起至2022年12月31日止。本报告电子版可在“济宁高新区管委会”门户网站（http://www.jnhn.gov.cn）查阅或下载</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如对本报告有疑问，请与济宁高新区发展软环境保障局联系（地址：济宁高新区海川路9号产学研基地T3楼501室，联系电话：0537-325562</w:t>
      </w:r>
      <w:r>
        <w:rPr>
          <w:rFonts w:hint="eastAsia" w:ascii="方正仿宋简体" w:eastAsia="方正仿宋简体"/>
          <w:b/>
          <w:color w:val="000000"/>
          <w:sz w:val="32"/>
          <w:szCs w:val="32"/>
          <w:lang w:val="en-US" w:eastAsia="zh-CN"/>
        </w:rPr>
        <w:t>5</w:t>
      </w:r>
      <w:r>
        <w:rPr>
          <w:rFonts w:hint="eastAsia" w:ascii="方正仿宋简体" w:eastAsia="方正仿宋简体"/>
          <w:b/>
          <w:color w:val="000000"/>
          <w:sz w:val="32"/>
          <w:szCs w:val="32"/>
        </w:rPr>
        <w:t>）。</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黑体简体" w:eastAsia="方正黑体简体"/>
          <w:b/>
          <w:color w:val="000000"/>
          <w:sz w:val="32"/>
          <w:szCs w:val="32"/>
        </w:rPr>
        <w:t>一</w:t>
      </w:r>
      <w:r>
        <w:rPr>
          <w:rFonts w:hint="eastAsia" w:ascii="方正仿宋简体" w:eastAsia="方正仿宋简体"/>
          <w:b/>
          <w:color w:val="000000"/>
          <w:sz w:val="32"/>
          <w:szCs w:val="32"/>
        </w:rPr>
        <w:t>、总体情况</w:t>
      </w:r>
    </w:p>
    <w:p>
      <w:pPr>
        <w:widowControl/>
        <w:jc w:val="left"/>
        <w:rPr>
          <w:rFonts w:hint="eastAsia" w:ascii="方正仿宋简体" w:eastAsia="方正仿宋简体"/>
          <w:b/>
          <w:color w:val="000000"/>
          <w:sz w:val="32"/>
          <w:szCs w:val="32"/>
        </w:rPr>
      </w:pPr>
      <w:r>
        <w:rPr>
          <w:rFonts w:hint="eastAsia" w:ascii="方正仿宋简体" w:eastAsia="方正仿宋简体"/>
          <w:b/>
          <w:color w:val="000000"/>
          <w:sz w:val="32"/>
          <w:szCs w:val="32"/>
          <w:lang w:val="en-US" w:eastAsia="zh-CN"/>
        </w:rPr>
        <w:t xml:space="preserve">    2022年发展软环境保障局坚持以习近平新时代中国特色社会主义思想为指导，深入学习贯彻党的二十大精神，认真贯彻落实党中央、国务院决策部署，按照《政府信息公开条例》《关于全面推进政务公开工作的意见》及其实施细则要求，突出重点领域，整合资源力量，完善工作机制，稳步推进政府信息公开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4" w:firstLineChars="200"/>
        <w:jc w:val="left"/>
        <w:rPr>
          <w:rFonts w:hint="eastAsia" w:ascii="方正仿宋简体" w:eastAsia="方正仿宋简体"/>
          <w:b/>
          <w:color w:val="000000"/>
          <w:sz w:val="32"/>
          <w:szCs w:val="32"/>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（一）主动公开情况</w:t>
      </w:r>
    </w:p>
    <w:p>
      <w:pPr>
        <w:widowControl/>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 xml:space="preserve">　　推进公开平台建设。建强用好网站和政务新媒体内容运营力量，形成全覆盖融媒体矩阵，不断提升官网、政务新媒体等公开平台的传播力、引导力、影响力、公信力2022年度主动公开政府信息755条。收到群众依申请政府信息公开 0条，未发生因政府信息公开出现行政复议和行政诉讼情况。为及时解决群众问题，提高群众满意度，发展软环境保障局2022年回复办理网络问政平台信息358条，省级、市长信箱、闪点新闻、12345政务热线等群众咨询4606件，切实做到了事事有回音、件件有答复。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drawing>
          <wp:anchor distT="0" distB="0" distL="114300" distR="114300" simplePos="0" relativeHeight="251659264" behindDoc="0" locked="0" layoutInCell="1" allowOverlap="1">
            <wp:simplePos x="0" y="0"/>
            <wp:positionH relativeFrom="column">
              <wp:posOffset>1400175</wp:posOffset>
            </wp:positionH>
            <wp:positionV relativeFrom="page">
              <wp:posOffset>4826000</wp:posOffset>
            </wp:positionV>
            <wp:extent cx="2824480" cy="2872105"/>
            <wp:effectExtent l="0" t="0" r="13970" b="4445"/>
            <wp:wrapTopAndBottom/>
            <wp:docPr id="5" name="图片 5" descr="2023-02-04 09:45:47.90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3-02-04 09:45:47.905000"/>
                    <pic:cNvPicPr>
                      <a:picLocks noChangeAspect="1"/>
                    </pic:cNvPicPr>
                  </pic:nvPicPr>
                  <pic:blipFill>
                    <a:blip r:embed="rId6"/>
                    <a:stretch>
                      <a:fillRect/>
                    </a:stretch>
                  </pic:blipFill>
                  <pic:spPr>
                    <a:xfrm>
                      <a:off x="0" y="0"/>
                      <a:ext cx="2824480" cy="2872105"/>
                    </a:xfrm>
                    <a:prstGeom prst="rect">
                      <a:avLst/>
                    </a:prstGeom>
                  </pic:spPr>
                </pic:pic>
              </a:graphicData>
            </a:graphic>
          </wp:anchor>
        </w:drawing>
      </w:r>
      <w:r>
        <w:rPr>
          <w:rFonts w:hint="eastAsia" w:ascii="方正仿宋简体" w:eastAsia="方正仿宋简体"/>
          <w:b/>
          <w:color w:val="000000"/>
          <w:sz w:val="32"/>
          <w:szCs w:val="32"/>
          <w:lang w:val="en-US" w:eastAsia="zh-CN"/>
        </w:rPr>
        <w:t>（二）依申请公开情况</w:t>
      </w:r>
    </w:p>
    <w:p>
      <w:pPr>
        <w:widowControl/>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 xml:space="preserve">    </w:t>
      </w:r>
      <w:r>
        <w:rPr>
          <w:rFonts w:hint="default" w:ascii="方正仿宋简体" w:eastAsia="方正仿宋简体"/>
          <w:b/>
          <w:color w:val="000000"/>
          <w:sz w:val="32"/>
          <w:szCs w:val="32"/>
          <w:lang w:val="en-US" w:eastAsia="zh-CN"/>
        </w:rPr>
        <w:t>按照新修订《中华人民共和国政府信息公开条例》要求，2022年我局共办理依申请公开0件。</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（三）政府信息管理情况</w:t>
      </w:r>
    </w:p>
    <w:p>
      <w:pPr>
        <w:widowControl/>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 xml:space="preserve">    </w:t>
      </w:r>
      <w:r>
        <w:rPr>
          <w:rFonts w:hint="default" w:ascii="方正仿宋简体" w:eastAsia="方正仿宋简体"/>
          <w:b/>
          <w:color w:val="000000"/>
          <w:sz w:val="32"/>
          <w:szCs w:val="32"/>
          <w:lang w:val="en-US" w:eastAsia="zh-CN"/>
        </w:rPr>
        <w:t>持续优化信息公开审查流程，推进信息公开审发监管制度建设。进一步强化源头管理，加强信息公开栏目负责制和信息公开保密审查。</w:t>
      </w:r>
      <w:r>
        <w:rPr>
          <w:rFonts w:hint="eastAsia" w:ascii="方正仿宋简体" w:eastAsia="方正仿宋简体"/>
          <w:b/>
          <w:color w:val="000000"/>
          <w:sz w:val="32"/>
          <w:szCs w:val="32"/>
          <w:lang w:val="en-US" w:eastAsia="zh-CN"/>
        </w:rPr>
        <w:t>我局围绕教育、民政、卫健、疾控、退役军人工作的重点，</w:t>
      </w:r>
      <w:r>
        <w:rPr>
          <w:rFonts w:hint="default" w:ascii="方正仿宋简体" w:eastAsia="方正仿宋简体"/>
          <w:b/>
          <w:color w:val="000000"/>
          <w:sz w:val="32"/>
          <w:szCs w:val="32"/>
          <w:lang w:val="en-US" w:eastAsia="zh-CN"/>
        </w:rPr>
        <w:t>对于应公开的信息及时通过门户网站和新闻媒体进行公开、宣传、解读。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（四）政府信息公开平台建设情况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4" w:firstLineChars="200"/>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为落实《中华人民共和国政府信息公开条例》（以下简称《条例》）和《中华人民共和国政府信息公开工作年度报告格式》（国办公开办函〔2021〕30号）等要求，优化页面布局，栏目布局，细化政务公开内容，保证信息公开频率，不断提升信息发布质量，方便社会公众搜索查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（五）监督保障情况</w:t>
      </w:r>
    </w:p>
    <w:p>
      <w:pPr>
        <w:widowControl/>
        <w:jc w:val="left"/>
        <w:rPr>
          <w:rFonts w:hint="eastAsia" w:ascii="方正仿宋简体" w:eastAsia="方正仿宋简体"/>
          <w:b/>
          <w:color w:val="000000"/>
          <w:sz w:val="32"/>
          <w:szCs w:val="32"/>
        </w:rPr>
      </w:pPr>
      <w:r>
        <w:rPr>
          <w:rFonts w:hint="eastAsia" w:ascii="方正仿宋简体" w:eastAsia="方正仿宋简体"/>
          <w:b/>
          <w:color w:val="000000"/>
          <w:sz w:val="32"/>
          <w:szCs w:val="32"/>
          <w:lang w:val="en-US" w:eastAsia="zh-CN"/>
        </w:rPr>
        <w:t xml:space="preserve">    一是调整完善政务信息公开领导小组。</w:t>
      </w:r>
      <w:r>
        <w:rPr>
          <w:rFonts w:hint="default" w:ascii="方正仿宋简体" w:eastAsia="方正仿宋简体"/>
          <w:b/>
          <w:color w:val="000000"/>
          <w:sz w:val="32"/>
          <w:szCs w:val="32"/>
          <w:lang w:val="en-US" w:eastAsia="zh-CN"/>
        </w:rPr>
        <w:t>调整充实信息公开工作领导小组，明确分管领导和牵头科室，加强对信息公开工作的领导和协调。构建起了完善的组织运行体系，确保了信息公开工作扎实有效的开展。二是将政务信息公开纳入绩效考核体系，建立健全制度，主动接受市政府和社会的监督，对发现的问题及时整改落实。2022年我局未出现因信息公开不到位需要进行责任追究的情况。</w:t>
      </w:r>
    </w:p>
    <w:p>
      <w:pPr>
        <w:widowControl/>
        <w:jc w:val="left"/>
        <w:rPr>
          <w:rFonts w:hint="eastAsia" w:ascii="方正仿宋简体" w:eastAsia="方正仿宋简体"/>
          <w:b/>
          <w:color w:val="000000"/>
          <w:sz w:val="32"/>
          <w:szCs w:val="32"/>
          <w:lang w:val="en-US" w:eastAsia="zh-CN"/>
        </w:rPr>
      </w:pPr>
    </w:p>
    <w:p>
      <w:pPr>
        <w:spacing w:line="590" w:lineRule="exact"/>
        <w:ind w:right="-96" w:rightChars="-50" w:firstLine="624" w:firstLineChars="200"/>
        <w:rPr>
          <w:rFonts w:hint="eastAsia" w:ascii="方正仿宋简体" w:eastAsia="方正仿宋简体"/>
          <w:b/>
          <w:color w:val="000000"/>
          <w:sz w:val="32"/>
          <w:szCs w:val="32"/>
          <w:lang w:val="en-US" w:eastAsia="zh-CN"/>
        </w:rPr>
      </w:pPr>
    </w:p>
    <w:p>
      <w:pPr>
        <w:spacing w:line="590" w:lineRule="exact"/>
        <w:ind w:right="-96" w:rightChars="-50" w:firstLine="624" w:firstLineChars="200"/>
        <w:rPr>
          <w:rFonts w:hint="eastAsia" w:ascii="方正仿宋简体" w:hAnsi="Times New Roman" w:eastAsia="方正仿宋简体" w:cs="Times New Roman"/>
          <w:b/>
          <w:color w:val="000000"/>
          <w:sz w:val="32"/>
          <w:szCs w:val="32"/>
          <w:lang w:val="en-US" w:eastAsia="zh-CN" w:bidi="ar-SA"/>
        </w:rPr>
      </w:pPr>
    </w:p>
    <w:p>
      <w:pPr>
        <w:spacing w:line="590" w:lineRule="exact"/>
        <w:ind w:right="-96" w:rightChars="-50" w:firstLine="624" w:firstLineChars="200"/>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信息内容</w:t>
            </w:r>
          </w:p>
        </w:tc>
        <w:tc>
          <w:tcPr>
            <w:tcW w:w="2133"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本年制发件数</w:t>
            </w:r>
          </w:p>
        </w:tc>
        <w:tc>
          <w:tcPr>
            <w:tcW w:w="2216"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本年废止件数</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规章</w:t>
            </w:r>
          </w:p>
        </w:tc>
        <w:tc>
          <w:tcPr>
            <w:tcW w:w="2133" w:type="dxa"/>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2216" w:type="dxa"/>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1989" w:type="dxa"/>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行政规范性文件</w:t>
            </w:r>
          </w:p>
        </w:tc>
        <w:tc>
          <w:tcPr>
            <w:tcW w:w="2133" w:type="dxa"/>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1</w:t>
            </w:r>
          </w:p>
        </w:tc>
        <w:tc>
          <w:tcPr>
            <w:tcW w:w="2216" w:type="dxa"/>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1989" w:type="dxa"/>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行政事业性收费</w:t>
            </w:r>
          </w:p>
        </w:tc>
        <w:tc>
          <w:tcPr>
            <w:tcW w:w="6338" w:type="dxa"/>
            <w:gridSpan w:val="3"/>
            <w:shd w:val="clear" w:color="auto" w:fill="auto"/>
            <w:tcMar>
              <w:left w:w="57" w:type="dxa"/>
              <w:right w:w="57" w:type="dxa"/>
            </w:tcMar>
            <w:vAlign w:val="center"/>
          </w:tcPr>
          <w:p>
            <w:pPr>
              <w:spacing w:line="340" w:lineRule="exact"/>
              <w:ind w:firstLine="544" w:firstLineChars="200"/>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bl>
    <w:p>
      <w:pPr>
        <w:spacing w:before="62" w:beforeLines="10" w:after="62" w:afterLines="10" w:line="600" w:lineRule="exact"/>
        <w:ind w:firstLine="624" w:firstLineChars="200"/>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eastAsia" w:ascii="方正仿宋简体" w:hAnsi="Times New Roman" w:eastAsia="方正仿宋简体" w:cs="Times New Roman"/>
                <w:b/>
                <w:color w:val="000000"/>
                <w:sz w:val="28"/>
                <w:szCs w:val="28"/>
                <w:lang w:val="en-US" w:eastAsia="zh-CN" w:bidi="ar-SA"/>
              </w:rPr>
            </w:pPr>
          </w:p>
        </w:tc>
        <w:tc>
          <w:tcPr>
            <w:tcW w:w="791" w:type="dxa"/>
            <w:vMerge w:val="restart"/>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自然人</w:t>
            </w:r>
          </w:p>
        </w:tc>
        <w:tc>
          <w:tcPr>
            <w:tcW w:w="2917" w:type="dxa"/>
            <w:gridSpan w:val="5"/>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法人或其他组织</w:t>
            </w:r>
          </w:p>
        </w:tc>
        <w:tc>
          <w:tcPr>
            <w:tcW w:w="521" w:type="dxa"/>
            <w:vMerge w:val="restart"/>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eastAsia" w:ascii="方正仿宋简体" w:hAnsi="Times New Roman" w:eastAsia="方正仿宋简体" w:cs="Times New Roman"/>
                <w:b/>
                <w:color w:val="000000"/>
                <w:sz w:val="28"/>
                <w:szCs w:val="28"/>
                <w:lang w:val="en-US" w:eastAsia="zh-CN" w:bidi="ar-SA"/>
              </w:rPr>
            </w:pPr>
          </w:p>
        </w:tc>
        <w:tc>
          <w:tcPr>
            <w:tcW w:w="791" w:type="dxa"/>
            <w:vMerge w:val="continue"/>
            <w:tcMar>
              <w:left w:w="57" w:type="dxa"/>
              <w:right w:w="57" w:type="dxa"/>
            </w:tcMar>
            <w:vAlign w:val="center"/>
          </w:tcPr>
          <w:p>
            <w:pPr>
              <w:spacing w:line="300" w:lineRule="exact"/>
              <w:rPr>
                <w:rFonts w:hint="eastAsia" w:ascii="方正仿宋简体" w:hAnsi="Times New Roman" w:eastAsia="方正仿宋简体" w:cs="Times New Roman"/>
                <w:b/>
                <w:color w:val="000000"/>
                <w:sz w:val="28"/>
                <w:szCs w:val="28"/>
                <w:lang w:val="en-US" w:eastAsia="zh-CN" w:bidi="ar-SA"/>
              </w:rPr>
            </w:pPr>
          </w:p>
        </w:tc>
        <w:tc>
          <w:tcPr>
            <w:tcW w:w="599" w:type="dxa"/>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商业</w:t>
            </w:r>
          </w:p>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企业</w:t>
            </w:r>
          </w:p>
        </w:tc>
        <w:tc>
          <w:tcPr>
            <w:tcW w:w="590" w:type="dxa"/>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科研</w:t>
            </w:r>
          </w:p>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机构</w:t>
            </w:r>
          </w:p>
        </w:tc>
        <w:tc>
          <w:tcPr>
            <w:tcW w:w="598" w:type="dxa"/>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社会公益组织</w:t>
            </w:r>
          </w:p>
        </w:tc>
        <w:tc>
          <w:tcPr>
            <w:tcW w:w="571" w:type="dxa"/>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法律服务机构</w:t>
            </w:r>
          </w:p>
        </w:tc>
        <w:tc>
          <w:tcPr>
            <w:tcW w:w="559" w:type="dxa"/>
            <w:tcMar>
              <w:left w:w="108" w:type="dxa"/>
              <w:right w:w="108" w:type="dxa"/>
            </w:tcMar>
            <w:vAlign w:val="center"/>
          </w:tcPr>
          <w:p>
            <w:pPr>
              <w:widowControl/>
              <w:spacing w:line="300" w:lineRule="exact"/>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其他</w:t>
            </w:r>
          </w:p>
        </w:tc>
        <w:tc>
          <w:tcPr>
            <w:tcW w:w="521" w:type="dxa"/>
            <w:vMerge w:val="continue"/>
            <w:tcMar>
              <w:left w:w="108" w:type="dxa"/>
              <w:right w:w="108" w:type="dxa"/>
            </w:tcMar>
            <w:vAlign w:val="center"/>
          </w:tcPr>
          <w:p>
            <w:pPr>
              <w:spacing w:line="300" w:lineRule="exact"/>
              <w:rPr>
                <w:rFonts w:hint="eastAsia" w:ascii="方正仿宋简体" w:hAnsi="Times New Roman" w:eastAsia="方正仿宋简体" w:cs="Times New Roman"/>
                <w:b/>
                <w:color w:val="00000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一、本年新收政府信息公开申请数量</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top"/>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二、上年结转政府信息公开申请数量</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top"/>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三、本年度办理结果</w:t>
            </w:r>
          </w:p>
        </w:tc>
        <w:tc>
          <w:tcPr>
            <w:tcW w:w="3820" w:type="dxa"/>
            <w:gridSpan w:val="2"/>
            <w:tcMar>
              <w:left w:w="57" w:type="dxa"/>
              <w:right w:w="57" w:type="dxa"/>
            </w:tcMar>
            <w:vAlign w:val="center"/>
          </w:tcPr>
          <w:p>
            <w:pPr>
              <w:widowControl/>
              <w:spacing w:line="300" w:lineRule="exact"/>
              <w:jc w:val="left"/>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（一）予以公开</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top"/>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eastAsia" w:ascii="方正仿宋简体" w:hAnsi="Times New Roman" w:eastAsia="方正仿宋简体" w:cs="Times New Roman"/>
                <w:b/>
                <w:color w:val="000000"/>
                <w:sz w:val="28"/>
                <w:szCs w:val="28"/>
                <w:lang w:val="en-US" w:eastAsia="zh-CN" w:bidi="ar-SA"/>
              </w:rPr>
            </w:pPr>
          </w:p>
        </w:tc>
        <w:tc>
          <w:tcPr>
            <w:tcW w:w="3820" w:type="dxa"/>
            <w:gridSpan w:val="2"/>
            <w:tcMar>
              <w:left w:w="57" w:type="dxa"/>
              <w:right w:w="57" w:type="dxa"/>
            </w:tcMar>
            <w:vAlign w:val="center"/>
          </w:tcPr>
          <w:p>
            <w:pPr>
              <w:widowControl/>
              <w:spacing w:line="300" w:lineRule="exact"/>
              <w:jc w:val="left"/>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（二）部分公开（区分处理的，只计这一情形，不计其他情形）</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top"/>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restart"/>
            <w:tcMar>
              <w:left w:w="57" w:type="dxa"/>
              <w:right w:w="57" w:type="dxa"/>
            </w:tcMar>
            <w:vAlign w:val="center"/>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（三）不予公开</w:t>
            </w: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1.属于国家秘密</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2.其他法律行政法规禁止公开</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3.危及“三安全一稳定”</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4.保护第三方合法权益</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5.属于三类内部事务信息</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6.属于四类过程性信息</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7.属于行政执法案卷</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8.属于行政查询事项</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restart"/>
            <w:tcMar>
              <w:left w:w="57" w:type="dxa"/>
              <w:right w:w="57" w:type="dxa"/>
            </w:tcMar>
            <w:vAlign w:val="center"/>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（四）无法提供</w:t>
            </w: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1.本机关不掌握相关政府信息</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942" w:type="dxa"/>
            <w:vMerge w:val="continue"/>
            <w:tcMar>
              <w:left w:w="57" w:type="dxa"/>
              <w:right w:w="57" w:type="dxa"/>
            </w:tcMar>
            <w:vAlign w:val="center"/>
          </w:tcPr>
          <w:p>
            <w:pPr>
              <w:spacing w:line="300" w:lineRule="exact"/>
              <w:jc w:val="both"/>
              <w:rPr>
                <w:rFonts w:hint="eastAsia" w:ascii="方正仿宋简体" w:hAnsi="Times New Roman" w:eastAsia="方正仿宋简体" w:cs="Times New Roman"/>
                <w:b/>
                <w:color w:val="000000"/>
                <w:sz w:val="28"/>
                <w:szCs w:val="28"/>
                <w:lang w:val="en-US" w:eastAsia="zh-CN" w:bidi="ar-SA"/>
              </w:rPr>
            </w:pPr>
          </w:p>
        </w:tc>
        <w:tc>
          <w:tcPr>
            <w:tcW w:w="2878" w:type="dxa"/>
            <w:tcMar>
              <w:left w:w="57" w:type="dxa"/>
              <w:right w:w="57" w:type="dxa"/>
            </w:tcMar>
            <w:vAlign w:val="top"/>
          </w:tcPr>
          <w:p>
            <w:pPr>
              <w:widowControl/>
              <w:spacing w:line="300" w:lineRule="exact"/>
              <w:jc w:val="both"/>
              <w:rPr>
                <w:rFonts w:hint="eastAsia" w:ascii="方正仿宋简体" w:hAnsi="Times New Roman" w:eastAsia="方正仿宋简体" w:cs="Times New Roman"/>
                <w:b/>
                <w:color w:val="000000"/>
                <w:sz w:val="28"/>
                <w:szCs w:val="28"/>
                <w:lang w:val="en-US" w:eastAsia="zh-CN" w:bidi="ar-SA"/>
              </w:rPr>
            </w:pPr>
            <w:r>
              <w:rPr>
                <w:rFonts w:hint="eastAsia" w:ascii="方正仿宋简体" w:hAnsi="Times New Roman" w:eastAsia="方正仿宋简体" w:cs="Times New Roman"/>
                <w:b/>
                <w:color w:val="000000"/>
                <w:sz w:val="28"/>
                <w:szCs w:val="28"/>
                <w:lang w:val="en-US" w:eastAsia="zh-CN" w:bidi="ar-SA"/>
              </w:rPr>
              <w:t>2.没有现成信息需要另行制作</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2878" w:type="dxa"/>
            <w:tcMar>
              <w:left w:w="57" w:type="dxa"/>
              <w:right w:w="57" w:type="dxa"/>
            </w:tcMar>
            <w:vAlign w:val="top"/>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3.补正后申请内容仍不明确</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restart"/>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（五）不予处理</w:t>
            </w:r>
          </w:p>
        </w:tc>
        <w:tc>
          <w:tcPr>
            <w:tcW w:w="2878" w:type="dxa"/>
            <w:tcMar>
              <w:left w:w="57" w:type="dxa"/>
              <w:right w:w="57" w:type="dxa"/>
            </w:tcMar>
            <w:vAlign w:val="top"/>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1.信访举报投诉类申请</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2878" w:type="dxa"/>
            <w:tcMar>
              <w:left w:w="57" w:type="dxa"/>
              <w:right w:w="57" w:type="dxa"/>
            </w:tcMar>
            <w:vAlign w:val="top"/>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2.重复申请</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2878" w:type="dxa"/>
            <w:tcMar>
              <w:left w:w="57" w:type="dxa"/>
              <w:right w:w="57" w:type="dxa"/>
            </w:tcMar>
            <w:vAlign w:val="top"/>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3.要求提供公开出版物</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2878" w:type="dxa"/>
            <w:tcMar>
              <w:left w:w="57" w:type="dxa"/>
              <w:right w:w="57" w:type="dxa"/>
            </w:tcMar>
            <w:vAlign w:val="top"/>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4.无正当理由大量反复申请</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2878" w:type="dxa"/>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5.要求行政机关确认或重新出具已获取信息</w:t>
            </w:r>
          </w:p>
        </w:tc>
        <w:tc>
          <w:tcPr>
            <w:tcW w:w="79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restart"/>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（六）其他处理</w:t>
            </w:r>
          </w:p>
        </w:tc>
        <w:tc>
          <w:tcPr>
            <w:tcW w:w="2878" w:type="dxa"/>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1.申请人无正当理由逾期不补正、行政机关不再处理其政府信息公开申请</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2878" w:type="dxa"/>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942"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2878" w:type="dxa"/>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3.其他</w:t>
            </w:r>
          </w:p>
        </w:tc>
        <w:tc>
          <w:tcPr>
            <w:tcW w:w="79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8"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7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59"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21" w:type="dxa"/>
            <w:tcMar>
              <w:left w:w="57" w:type="dxa"/>
              <w:right w:w="57" w:type="dxa"/>
            </w:tcMar>
            <w:vAlign w:val="center"/>
          </w:tcPr>
          <w:p>
            <w:pPr>
              <w:widowControl/>
              <w:spacing w:line="240" w:lineRule="auto"/>
              <w:jc w:val="center"/>
              <w:rPr>
                <w:rFonts w:hint="default"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both"/>
              <w:rPr>
                <w:rFonts w:ascii="方正仿宋简体" w:eastAsia="方正仿宋简体"/>
                <w:b/>
                <w:sz w:val="28"/>
                <w:szCs w:val="28"/>
              </w:rPr>
            </w:pPr>
          </w:p>
        </w:tc>
        <w:tc>
          <w:tcPr>
            <w:tcW w:w="3820" w:type="dxa"/>
            <w:gridSpan w:val="2"/>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（七）总计</w:t>
            </w:r>
          </w:p>
        </w:tc>
        <w:tc>
          <w:tcPr>
            <w:tcW w:w="791" w:type="dxa"/>
            <w:tcMar>
              <w:left w:w="57" w:type="dxa"/>
              <w:right w:w="57" w:type="dxa"/>
            </w:tcMar>
            <w:vAlign w:val="center"/>
          </w:tcPr>
          <w:p>
            <w:pPr>
              <w:widowControl/>
              <w:spacing w:line="240" w:lineRule="auto"/>
              <w:jc w:val="center"/>
              <w:rPr>
                <w:rFonts w:hint="eastAsia" w:ascii="方正仿宋简体" w:eastAsia="方正仿宋简体"/>
                <w:b/>
                <w:sz w:val="28"/>
                <w:szCs w:val="28"/>
                <w:lang w:val="en-US" w:eastAsia="zh-CN"/>
              </w:rPr>
            </w:pPr>
            <w:r>
              <w:rPr>
                <w:rFonts w:hint="eastAsia" w:ascii="方正仿宋简体" w:hAnsi="Calibri" w:eastAsia="方正仿宋简体" w:cs="Calibri"/>
                <w:b/>
                <w:sz w:val="28"/>
                <w:szCs w:val="28"/>
                <w:lang w:val="en-US" w:eastAsia="zh-CN" w:bidi="ar"/>
              </w:rPr>
              <w:t>0</w:t>
            </w:r>
          </w:p>
        </w:tc>
        <w:tc>
          <w:tcPr>
            <w:tcW w:w="59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color w:val="000000"/>
                <w:sz w:val="28"/>
                <w:szCs w:val="28"/>
                <w:lang w:val="en-US" w:eastAsia="zh-CN" w:bidi="ar-SA"/>
              </w:rPr>
            </w:pPr>
            <w:r>
              <w:rPr>
                <w:rFonts w:hint="eastAsia" w:ascii="方正仿宋简体" w:eastAsia="方正仿宋简体" w:cs="Times New Roman"/>
                <w:b/>
                <w:color w:val="000000"/>
                <w:sz w:val="28"/>
                <w:szCs w:val="28"/>
                <w:lang w:val="en-US" w:eastAsia="zh-CN" w:bidi="ar-SA"/>
              </w:rPr>
              <w:t>0</w:t>
            </w:r>
          </w:p>
        </w:tc>
        <w:tc>
          <w:tcPr>
            <w:tcW w:w="590"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c>
          <w:tcPr>
            <w:tcW w:w="598"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c>
          <w:tcPr>
            <w:tcW w:w="571"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c>
          <w:tcPr>
            <w:tcW w:w="559" w:type="dxa"/>
            <w:tcMar>
              <w:left w:w="57" w:type="dxa"/>
              <w:right w:w="57" w:type="dxa"/>
            </w:tcMar>
            <w:vAlign w:val="center"/>
          </w:tcPr>
          <w:p>
            <w:pPr>
              <w:widowControl/>
              <w:spacing w:line="240" w:lineRule="auto"/>
              <w:jc w:val="center"/>
              <w:rPr>
                <w:rFonts w:hint="eastAsia"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c>
          <w:tcPr>
            <w:tcW w:w="521" w:type="dxa"/>
            <w:tcMar>
              <w:left w:w="57" w:type="dxa"/>
              <w:right w:w="57" w:type="dxa"/>
            </w:tcMar>
            <w:vAlign w:val="top"/>
          </w:tcPr>
          <w:p>
            <w:pPr>
              <w:widowControl/>
              <w:spacing w:line="240" w:lineRule="auto"/>
              <w:jc w:val="center"/>
              <w:rPr>
                <w:rFonts w:hint="eastAsia" w:ascii="方正仿宋简体" w:eastAsia="方正仿宋简体"/>
                <w:b/>
                <w:sz w:val="28"/>
                <w:szCs w:val="28"/>
                <w:lang w:val="en-US" w:eastAsia="zh-CN"/>
              </w:rPr>
            </w:pPr>
            <w:r>
              <w:rPr>
                <w:rFonts w:hint="eastAsia" w:ascii="方正仿宋简体" w:eastAsia="方正仿宋简体"/>
                <w:b/>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both"/>
              <w:rPr>
                <w:rFonts w:ascii="方正仿宋简体" w:eastAsia="方正仿宋简体"/>
                <w:b/>
                <w:sz w:val="28"/>
                <w:szCs w:val="28"/>
              </w:rPr>
            </w:pPr>
            <w:r>
              <w:rPr>
                <w:rFonts w:hint="eastAsia" w:ascii="方正仿宋简体" w:hAnsi="宋体" w:eastAsia="方正仿宋简体" w:cs="宋体"/>
                <w:b/>
                <w:sz w:val="28"/>
                <w:szCs w:val="28"/>
                <w:lang w:bidi="ar"/>
              </w:rPr>
              <w:t>四、结转下年度继续办理</w:t>
            </w:r>
          </w:p>
        </w:tc>
        <w:tc>
          <w:tcPr>
            <w:tcW w:w="791" w:type="dxa"/>
            <w:tcMar>
              <w:left w:w="57" w:type="dxa"/>
              <w:right w:w="57" w:type="dxa"/>
            </w:tcMar>
            <w:vAlign w:val="center"/>
          </w:tcPr>
          <w:p>
            <w:pPr>
              <w:widowControl/>
              <w:spacing w:line="240" w:lineRule="auto"/>
              <w:jc w:val="center"/>
              <w:rPr>
                <w:rFonts w:ascii="方正仿宋简体" w:eastAsia="方正仿宋简体"/>
                <w:b/>
                <w:sz w:val="28"/>
                <w:szCs w:val="28"/>
              </w:rPr>
            </w:pPr>
            <w:r>
              <w:rPr>
                <w:rFonts w:hint="eastAsia" w:ascii="方正仿宋简体" w:hAnsi="Calibri" w:eastAsia="方正仿宋简体" w:cs="Calibri"/>
                <w:b/>
                <w:sz w:val="28"/>
                <w:szCs w:val="28"/>
                <w:lang w:val="en-US" w:eastAsia="zh-CN" w:bidi="ar"/>
              </w:rPr>
              <w:t>0</w:t>
            </w:r>
          </w:p>
        </w:tc>
        <w:tc>
          <w:tcPr>
            <w:tcW w:w="599" w:type="dxa"/>
            <w:tcMar>
              <w:left w:w="57" w:type="dxa"/>
              <w:right w:w="57" w:type="dxa"/>
            </w:tcMar>
            <w:vAlign w:val="center"/>
          </w:tcPr>
          <w:p>
            <w:pPr>
              <w:widowControl/>
              <w:spacing w:line="240" w:lineRule="auto"/>
              <w:jc w:val="center"/>
              <w:rPr>
                <w:rFonts w:hint="eastAsia" w:ascii="方正仿宋简体" w:eastAsia="方正仿宋简体"/>
                <w:b/>
                <w:sz w:val="28"/>
                <w:szCs w:val="28"/>
                <w:lang w:val="en-US" w:eastAsia="zh-CN"/>
              </w:rPr>
            </w:pPr>
            <w:r>
              <w:rPr>
                <w:rFonts w:hint="eastAsia" w:ascii="方正仿宋简体" w:hAnsi="Calibri" w:eastAsia="方正仿宋简体" w:cs="Calibri"/>
                <w:b/>
                <w:sz w:val="28"/>
                <w:szCs w:val="28"/>
                <w:lang w:val="en-US" w:eastAsia="zh-CN" w:bidi="ar"/>
              </w:rPr>
              <w:t>0</w:t>
            </w:r>
          </w:p>
        </w:tc>
        <w:tc>
          <w:tcPr>
            <w:tcW w:w="590" w:type="dxa"/>
            <w:tcMar>
              <w:left w:w="57" w:type="dxa"/>
              <w:right w:w="57" w:type="dxa"/>
            </w:tcMar>
            <w:vAlign w:val="center"/>
          </w:tcPr>
          <w:p>
            <w:pPr>
              <w:widowControl/>
              <w:spacing w:line="240" w:lineRule="auto"/>
              <w:jc w:val="center"/>
              <w:rPr>
                <w:rFonts w:hint="eastAsia" w:ascii="方正仿宋简体" w:eastAsia="方正仿宋简体"/>
                <w:b/>
                <w:sz w:val="28"/>
                <w:szCs w:val="28"/>
                <w:lang w:val="en-US" w:eastAsia="zh-CN"/>
              </w:rPr>
            </w:pPr>
            <w:r>
              <w:rPr>
                <w:rFonts w:hint="eastAsia" w:ascii="方正仿宋简体" w:hAnsi="Calibri" w:eastAsia="方正仿宋简体" w:cs="Calibri"/>
                <w:b/>
                <w:sz w:val="28"/>
                <w:szCs w:val="28"/>
                <w:lang w:val="en-US" w:eastAsia="zh-CN" w:bidi="ar"/>
              </w:rPr>
              <w:t>0</w:t>
            </w:r>
          </w:p>
        </w:tc>
        <w:tc>
          <w:tcPr>
            <w:tcW w:w="598" w:type="dxa"/>
            <w:tcMar>
              <w:left w:w="57" w:type="dxa"/>
              <w:right w:w="57" w:type="dxa"/>
            </w:tcMar>
            <w:vAlign w:val="center"/>
          </w:tcPr>
          <w:p>
            <w:pPr>
              <w:widowControl/>
              <w:spacing w:line="240" w:lineRule="auto"/>
              <w:jc w:val="center"/>
              <w:rPr>
                <w:rFonts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c>
          <w:tcPr>
            <w:tcW w:w="571" w:type="dxa"/>
            <w:tcMar>
              <w:left w:w="57" w:type="dxa"/>
              <w:right w:w="57" w:type="dxa"/>
            </w:tcMar>
            <w:vAlign w:val="center"/>
          </w:tcPr>
          <w:p>
            <w:pPr>
              <w:widowControl/>
              <w:spacing w:line="240" w:lineRule="auto"/>
              <w:jc w:val="center"/>
              <w:rPr>
                <w:rFonts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c>
          <w:tcPr>
            <w:tcW w:w="559" w:type="dxa"/>
            <w:tcMar>
              <w:left w:w="57" w:type="dxa"/>
              <w:right w:w="57" w:type="dxa"/>
            </w:tcMar>
            <w:vAlign w:val="center"/>
          </w:tcPr>
          <w:p>
            <w:pPr>
              <w:widowControl/>
              <w:spacing w:line="240" w:lineRule="auto"/>
              <w:jc w:val="center"/>
              <w:rPr>
                <w:rFonts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c>
          <w:tcPr>
            <w:tcW w:w="521" w:type="dxa"/>
            <w:tcMar>
              <w:left w:w="57" w:type="dxa"/>
              <w:right w:w="57" w:type="dxa"/>
            </w:tcMar>
            <w:vAlign w:val="center"/>
          </w:tcPr>
          <w:p>
            <w:pPr>
              <w:widowControl/>
              <w:spacing w:line="240" w:lineRule="auto"/>
              <w:jc w:val="center"/>
              <w:rPr>
                <w:rFonts w:ascii="方正仿宋简体" w:hAnsi="Times New Roman" w:eastAsia="方正仿宋简体" w:cs="Times New Roman"/>
                <w:b/>
                <w:sz w:val="28"/>
                <w:szCs w:val="28"/>
                <w:lang w:val="en-US" w:eastAsia="zh-CN" w:bidi="ar-SA"/>
              </w:rPr>
            </w:pPr>
            <w:r>
              <w:rPr>
                <w:rFonts w:hint="eastAsia" w:ascii="方正仿宋简体" w:hAnsi="Calibri" w:eastAsia="方正仿宋简体" w:cs="Calibri"/>
                <w:b/>
                <w:sz w:val="28"/>
                <w:szCs w:val="28"/>
                <w:lang w:val="en-US" w:eastAsia="zh-CN" w:bidi="ar"/>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行政复议</w:t>
            </w:r>
          </w:p>
        </w:tc>
        <w:tc>
          <w:tcPr>
            <w:tcW w:w="5922" w:type="dxa"/>
            <w:gridSpan w:val="10"/>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结果维持</w:t>
            </w:r>
          </w:p>
        </w:tc>
        <w:tc>
          <w:tcPr>
            <w:tcW w:w="621" w:type="dxa"/>
            <w:vMerge w:val="restart"/>
            <w:tcMar>
              <w:left w:w="108" w:type="dxa"/>
              <w:right w:w="108" w:type="dxa"/>
            </w:tcMar>
            <w:vAlign w:val="center"/>
          </w:tcPr>
          <w:p>
            <w:pPr>
              <w:widowControl/>
              <w:spacing w:line="340" w:lineRule="exact"/>
              <w:ind w:left="-38" w:leftChars="-20" w:right="-38" w:rightChars="-20"/>
              <w:jc w:val="center"/>
              <w:rPr>
                <w:rFonts w:ascii="方正黑体简体" w:hAnsi="宋体" w:eastAsia="方正黑体简体" w:cs="宋体"/>
                <w:sz w:val="28"/>
                <w:szCs w:val="28"/>
                <w:lang w:bidi="ar"/>
              </w:rPr>
            </w:pPr>
            <w:r>
              <w:rPr>
                <w:rFonts w:hint="eastAsia" w:ascii="方正黑体简体" w:hAnsi="宋体" w:eastAsia="方正黑体简体" w:cs="宋体"/>
                <w:sz w:val="28"/>
                <w:szCs w:val="28"/>
                <w:lang w:bidi="ar"/>
              </w:rPr>
              <w:t>结果</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纠正</w:t>
            </w:r>
          </w:p>
        </w:tc>
        <w:tc>
          <w:tcPr>
            <w:tcW w:w="600" w:type="dxa"/>
            <w:vMerge w:val="restart"/>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其他</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结果</w:t>
            </w:r>
          </w:p>
        </w:tc>
        <w:tc>
          <w:tcPr>
            <w:tcW w:w="591" w:type="dxa"/>
            <w:vMerge w:val="restart"/>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尚未</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审结</w:t>
            </w:r>
          </w:p>
        </w:tc>
        <w:tc>
          <w:tcPr>
            <w:tcW w:w="461"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总计</w:t>
            </w:r>
          </w:p>
        </w:tc>
        <w:tc>
          <w:tcPr>
            <w:tcW w:w="3010"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未经复议直接起诉</w:t>
            </w:r>
          </w:p>
        </w:tc>
        <w:tc>
          <w:tcPr>
            <w:tcW w:w="2912"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38" w:leftChars="-20" w:right="-38" w:rightChars="-20"/>
              <w:rPr>
                <w:rFonts w:ascii="方正黑体简体" w:eastAsia="方正黑体简体"/>
                <w:sz w:val="28"/>
                <w:szCs w:val="28"/>
              </w:rPr>
            </w:pPr>
          </w:p>
        </w:tc>
        <w:tc>
          <w:tcPr>
            <w:tcW w:w="621" w:type="dxa"/>
            <w:vMerge w:val="continue"/>
            <w:tcMar>
              <w:left w:w="108" w:type="dxa"/>
              <w:right w:w="108" w:type="dxa"/>
            </w:tcMar>
            <w:vAlign w:val="center"/>
          </w:tcPr>
          <w:p>
            <w:pPr>
              <w:spacing w:line="340" w:lineRule="exact"/>
              <w:ind w:left="-38" w:leftChars="-20" w:right="-38" w:rightChars="-20"/>
              <w:rPr>
                <w:rFonts w:ascii="方正黑体简体" w:eastAsia="方正黑体简体"/>
                <w:sz w:val="28"/>
                <w:szCs w:val="28"/>
              </w:rPr>
            </w:pPr>
          </w:p>
        </w:tc>
        <w:tc>
          <w:tcPr>
            <w:tcW w:w="600" w:type="dxa"/>
            <w:vMerge w:val="continue"/>
            <w:tcMar>
              <w:left w:w="108" w:type="dxa"/>
              <w:right w:w="108" w:type="dxa"/>
            </w:tcMar>
            <w:vAlign w:val="center"/>
          </w:tcPr>
          <w:p>
            <w:pPr>
              <w:spacing w:line="340" w:lineRule="exact"/>
              <w:ind w:left="-38" w:leftChars="-20" w:right="-38" w:rightChars="-20"/>
              <w:rPr>
                <w:rFonts w:ascii="方正黑体简体" w:eastAsia="方正黑体简体"/>
                <w:sz w:val="28"/>
                <w:szCs w:val="28"/>
              </w:rPr>
            </w:pPr>
          </w:p>
        </w:tc>
        <w:tc>
          <w:tcPr>
            <w:tcW w:w="591" w:type="dxa"/>
            <w:vMerge w:val="continue"/>
            <w:tcMar>
              <w:left w:w="108" w:type="dxa"/>
              <w:right w:w="108" w:type="dxa"/>
            </w:tcMar>
            <w:vAlign w:val="center"/>
          </w:tcPr>
          <w:p>
            <w:pPr>
              <w:spacing w:line="340" w:lineRule="exact"/>
              <w:ind w:left="-38" w:leftChars="-20" w:right="-38" w:rightChars="-20"/>
              <w:rPr>
                <w:rFonts w:ascii="方正黑体简体" w:eastAsia="方正黑体简体"/>
                <w:sz w:val="28"/>
                <w:szCs w:val="28"/>
              </w:rPr>
            </w:pPr>
          </w:p>
        </w:tc>
        <w:tc>
          <w:tcPr>
            <w:tcW w:w="461" w:type="dxa"/>
            <w:vMerge w:val="continue"/>
            <w:tcMar>
              <w:left w:w="108" w:type="dxa"/>
              <w:right w:w="108" w:type="dxa"/>
            </w:tcMar>
            <w:vAlign w:val="center"/>
          </w:tcPr>
          <w:p>
            <w:pPr>
              <w:spacing w:line="340" w:lineRule="exact"/>
              <w:ind w:left="-38" w:leftChars="-20" w:right="-38" w:rightChars="-20"/>
              <w:rPr>
                <w:rFonts w:ascii="方正黑体简体" w:eastAsia="方正黑体简体"/>
                <w:sz w:val="28"/>
                <w:szCs w:val="28"/>
              </w:rPr>
            </w:pPr>
          </w:p>
        </w:tc>
        <w:tc>
          <w:tcPr>
            <w:tcW w:w="649"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结果</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维持</w:t>
            </w:r>
          </w:p>
        </w:tc>
        <w:tc>
          <w:tcPr>
            <w:tcW w:w="649"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结果</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其他</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结果</w:t>
            </w:r>
          </w:p>
        </w:tc>
        <w:tc>
          <w:tcPr>
            <w:tcW w:w="636"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尚未</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审结</w:t>
            </w:r>
          </w:p>
        </w:tc>
        <w:tc>
          <w:tcPr>
            <w:tcW w:w="42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总计</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结果</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维持</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结果</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其他</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结果</w:t>
            </w:r>
          </w:p>
        </w:tc>
        <w:tc>
          <w:tcPr>
            <w:tcW w:w="555" w:type="dxa"/>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8"/>
                <w:szCs w:val="28"/>
                <w:lang w:eastAsia="zh-CN" w:bidi="ar"/>
              </w:rPr>
            </w:pPr>
            <w:r>
              <w:rPr>
                <w:rFonts w:hint="eastAsia" w:ascii="方正黑体简体" w:hAnsi="宋体" w:eastAsia="方正黑体简体" w:cs="宋体"/>
                <w:sz w:val="28"/>
                <w:szCs w:val="28"/>
                <w:lang w:bidi="ar"/>
              </w:rPr>
              <w:t>尚未</w:t>
            </w:r>
          </w:p>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审结</w:t>
            </w:r>
          </w:p>
        </w:tc>
        <w:tc>
          <w:tcPr>
            <w:tcW w:w="407"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宋体"/>
                <w:sz w:val="28"/>
                <w:szCs w:val="28"/>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62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60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591"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黑体"/>
                <w:sz w:val="28"/>
                <w:szCs w:val="28"/>
                <w:lang w:val="en-US" w:eastAsia="zh-CN" w:bidi="ar"/>
              </w:rPr>
              <w:t>0</w:t>
            </w:r>
          </w:p>
        </w:tc>
        <w:tc>
          <w:tcPr>
            <w:tcW w:w="46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649"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649"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636"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42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黑体"/>
                <w:sz w:val="28"/>
                <w:szCs w:val="28"/>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8"/>
                <w:szCs w:val="28"/>
              </w:rPr>
            </w:pPr>
            <w:r>
              <w:rPr>
                <w:rFonts w:hint="eastAsia" w:ascii="方正黑体简体" w:hAnsi="宋体" w:eastAsia="方正黑体简体" w:cs="黑体"/>
                <w:sz w:val="28"/>
                <w:szCs w:val="28"/>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555"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hAnsi="宋体" w:eastAsia="方正黑体简体" w:cs="黑体"/>
                <w:sz w:val="28"/>
                <w:szCs w:val="28"/>
                <w:lang w:val="en-US" w:eastAsia="zh-CN" w:bidi="ar"/>
              </w:rPr>
              <w:t>0</w:t>
            </w:r>
          </w:p>
        </w:tc>
        <w:tc>
          <w:tcPr>
            <w:tcW w:w="407" w:type="dxa"/>
            <w:tcMar>
              <w:left w:w="108" w:type="dxa"/>
              <w:right w:w="108" w:type="dxa"/>
            </w:tcMar>
            <w:vAlign w:val="center"/>
          </w:tcPr>
          <w:p>
            <w:pPr>
              <w:spacing w:line="340" w:lineRule="exact"/>
              <w:ind w:left="-38" w:leftChars="-20" w:right="-38" w:rightChars="-20"/>
              <w:jc w:val="center"/>
              <w:rPr>
                <w:rFonts w:hint="eastAsia" w:ascii="方正黑体简体" w:eastAsia="方正黑体简体"/>
                <w:sz w:val="28"/>
                <w:szCs w:val="28"/>
                <w:lang w:val="en-US" w:eastAsia="zh-CN"/>
              </w:rPr>
            </w:pPr>
            <w:r>
              <w:rPr>
                <w:rFonts w:hint="eastAsia" w:ascii="方正黑体简体" w:eastAsia="方正黑体简体"/>
                <w:sz w:val="28"/>
                <w:szCs w:val="28"/>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4" w:firstLineChars="200"/>
        <w:jc w:val="left"/>
        <w:rPr>
          <w:rFonts w:hint="default"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2022年，我局按照上级部署，积极做好政府信息公开相关工作并取得了一定成效，但有些地方仍需值得改进。主要表现在：政府信息公开内容的及时度有待提高；政策解读形式单一，不够新颖。针对以上存在的问题，我局将会在以下措施中加以改进：</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 xml:space="preserve">    （一）深入贯彻落实《条例》和规定的各项要求，将政府信息公开的内容进行透明、全面、及时、多角度公开，把政府信息公开工作落到实处。</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 xml:space="preserve">    （二）扩宽信息公开渠道，开展不同形式的交流活动：宣传条幅、宣传栏、宣传手册、微信公众号、新闻媒体等形式，充分展开宣传。</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 xml:space="preserve">    （三）加强政府信息公开业务学习，确保公开信息及时、准确、规范，不断提升政府信息公开整体水平。</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 xml:space="preserve">    六、其他需要报告的事项</w:t>
      </w:r>
    </w:p>
    <w:p>
      <w:pPr>
        <w:widowControl/>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eastAsia="方正仿宋简体" w:cs="Times New Roman"/>
          <w:b/>
          <w:color w:val="000000"/>
          <w:sz w:val="32"/>
          <w:szCs w:val="32"/>
          <w:lang w:val="en-US" w:eastAsia="zh-CN" w:bidi="ar-SA"/>
        </w:rPr>
        <w:t xml:space="preserve">    </w:t>
      </w:r>
      <w:r>
        <w:rPr>
          <w:rFonts w:hint="eastAsia" w:ascii="方正仿宋简体" w:hAnsi="Times New Roman" w:eastAsia="方正仿宋简体" w:cs="Times New Roman"/>
          <w:b/>
          <w:color w:val="000000"/>
          <w:sz w:val="32"/>
          <w:szCs w:val="32"/>
          <w:lang w:val="en-US" w:eastAsia="zh-CN" w:bidi="ar-SA"/>
        </w:rPr>
        <w:t>（一）</w:t>
      </w:r>
      <w:r>
        <w:rPr>
          <w:rFonts w:hint="eastAsia" w:ascii="方正仿宋简体" w:eastAsia="方正仿宋简体" w:cs="Times New Roman"/>
          <w:b/>
          <w:color w:val="000000"/>
          <w:sz w:val="32"/>
          <w:szCs w:val="32"/>
          <w:lang w:val="en-US" w:eastAsia="zh-CN" w:bidi="ar-SA"/>
        </w:rPr>
        <w:t>2022年度</w:t>
      </w:r>
      <w:r>
        <w:rPr>
          <w:rFonts w:hint="eastAsia" w:ascii="方正仿宋简体" w:hAnsi="Times New Roman" w:eastAsia="方正仿宋简体" w:cs="Times New Roman"/>
          <w:b/>
          <w:color w:val="000000"/>
          <w:sz w:val="32"/>
          <w:szCs w:val="32"/>
          <w:lang w:val="en-US" w:eastAsia="zh-CN" w:bidi="ar-SA"/>
        </w:rPr>
        <w:t>发展软环境保障局无收取信息处理费的情况。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 xml:space="preserve">    （二）2022年度落实上级年度政务公开工作要点情况</w:t>
      </w:r>
    </w:p>
    <w:p>
      <w:pPr>
        <w:widowControl/>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eastAsia="方正仿宋简体" w:cs="Times New Roman"/>
          <w:b/>
          <w:color w:val="000000"/>
          <w:sz w:val="32"/>
          <w:szCs w:val="32"/>
          <w:lang w:val="en-US" w:eastAsia="zh-CN" w:bidi="ar-SA"/>
        </w:rPr>
        <w:t xml:space="preserve">    </w:t>
      </w:r>
      <w:r>
        <w:rPr>
          <w:rFonts w:hint="eastAsia" w:ascii="方正仿宋简体" w:hAnsi="Times New Roman" w:eastAsia="方正仿宋简体" w:cs="Times New Roman"/>
          <w:b/>
          <w:color w:val="000000"/>
          <w:sz w:val="32"/>
          <w:szCs w:val="32"/>
          <w:lang w:val="en-US" w:eastAsia="zh-CN" w:bidi="ar-SA"/>
        </w:rPr>
        <w:t>我局认真贯彻落实</w:t>
      </w:r>
      <w:r>
        <w:rPr>
          <w:rFonts w:hint="default" w:ascii="方正仿宋简体" w:hAnsi="Times New Roman" w:eastAsia="方正仿宋简体" w:cs="Times New Roman"/>
          <w:b/>
          <w:color w:val="000000"/>
          <w:sz w:val="32"/>
          <w:szCs w:val="32"/>
          <w:lang w:val="en-US" w:eastAsia="zh-CN" w:bidi="ar-SA"/>
        </w:rPr>
        <w:t>《</w:t>
      </w:r>
      <w:r>
        <w:rPr>
          <w:rFonts w:hint="eastAsia" w:ascii="方正仿宋简体" w:hAnsi="Times New Roman" w:eastAsia="方正仿宋简体" w:cs="Times New Roman"/>
          <w:b/>
          <w:color w:val="000000"/>
          <w:sz w:val="32"/>
          <w:szCs w:val="32"/>
          <w:lang w:val="en-US" w:eastAsia="zh-CN" w:bidi="ar-SA"/>
        </w:rPr>
        <w:t>中华人民共和国政府信息公开条例》</w:t>
      </w:r>
      <w:r>
        <w:rPr>
          <w:rFonts w:hint="default" w:ascii="方正仿宋简体" w:hAnsi="Times New Roman" w:eastAsia="方正仿宋简体" w:cs="Times New Roman"/>
          <w:b/>
          <w:color w:val="000000"/>
          <w:sz w:val="32"/>
          <w:szCs w:val="32"/>
          <w:lang w:val="en-US" w:eastAsia="zh-CN" w:bidi="ar-SA"/>
        </w:rPr>
        <w:t>要求，结合实际专门制定单位年度政务公开工作任务分工，积极健全管理制度，狠抓工作落实</w:t>
      </w:r>
      <w:r>
        <w:rPr>
          <w:rFonts w:hint="eastAsia" w:ascii="方正仿宋简体" w:hAnsi="Times New Roman" w:eastAsia="方正仿宋简体" w:cs="Times New Roman"/>
          <w:b/>
          <w:color w:val="000000"/>
          <w:sz w:val="32"/>
          <w:szCs w:val="32"/>
          <w:lang w:val="en-US" w:eastAsia="zh-CN" w:bidi="ar-SA"/>
        </w:rPr>
        <w:t>，强化信息发布质量，深化政策解读回应群众关切，接受权力监督推进决策执行公开，深化重点领域公开，加强公开平台建设等五类20项重点公开任务</w:t>
      </w:r>
      <w:r>
        <w:rPr>
          <w:rFonts w:hint="eastAsia" w:ascii="方正仿宋简体" w:eastAsia="方正仿宋简体" w:cs="Times New Roman"/>
          <w:b/>
          <w:color w:val="000000"/>
          <w:sz w:val="32"/>
          <w:szCs w:val="32"/>
          <w:lang w:val="en-US" w:eastAsia="zh-CN" w:bidi="ar-SA"/>
        </w:rPr>
        <w:t>。</w:t>
      </w:r>
      <w:r>
        <w:rPr>
          <w:rFonts w:hint="eastAsia" w:ascii="方正仿宋简体" w:hAnsi="Times New Roman" w:eastAsia="方正仿宋简体" w:cs="Times New Roman"/>
          <w:b/>
          <w:color w:val="000000"/>
          <w:sz w:val="32"/>
          <w:szCs w:val="32"/>
          <w:lang w:val="en-US" w:eastAsia="zh-CN" w:bidi="ar-SA"/>
        </w:rPr>
        <w:t>围绕高新区管委会中心工作和本局教育、民政、卫健、疾控、退役军人工作的重点，坚持及时、准确、全面的原则，同时建立健全保密审查，规范信息发布程序。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 xml:space="preserve">    （三）2022年度我局无人大代表建议和政协提案办理结果公开情况。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hAnsi="Times New Roman" w:eastAsia="方正仿宋简体" w:cs="Times New Roman"/>
          <w:b/>
          <w:color w:val="000000"/>
          <w:sz w:val="32"/>
          <w:szCs w:val="32"/>
          <w:lang w:val="en-US" w:eastAsia="zh-CN" w:bidi="ar-SA"/>
        </w:rPr>
        <w:t xml:space="preserve">    （四）政务公开工作创新做法</w:t>
      </w:r>
    </w:p>
    <w:p>
      <w:pPr>
        <w:widowControl/>
        <w:jc w:val="left"/>
        <w:rPr>
          <w:rFonts w:hint="eastAsia" w:ascii="方正仿宋简体" w:hAnsi="Times New Roman" w:eastAsia="方正仿宋简体" w:cs="Times New Roman"/>
          <w:b/>
          <w:color w:val="000000"/>
          <w:sz w:val="32"/>
          <w:szCs w:val="32"/>
          <w:lang w:val="en-US" w:eastAsia="zh-CN" w:bidi="ar-SA"/>
        </w:rPr>
      </w:pPr>
      <w:r>
        <w:rPr>
          <w:rFonts w:hint="eastAsia" w:ascii="方正仿宋简体" w:eastAsia="方正仿宋简体" w:cs="Times New Roman"/>
          <w:b/>
          <w:color w:val="000000"/>
          <w:sz w:val="32"/>
          <w:szCs w:val="32"/>
          <w:lang w:val="en-US" w:eastAsia="zh-CN" w:bidi="ar-SA"/>
        </w:rPr>
        <w:t xml:space="preserve">    </w:t>
      </w:r>
      <w:r>
        <w:rPr>
          <w:rFonts w:hint="eastAsia" w:ascii="方正仿宋简体" w:hAnsi="Times New Roman" w:eastAsia="方正仿宋简体" w:cs="Times New Roman"/>
          <w:b/>
          <w:color w:val="000000"/>
          <w:sz w:val="32"/>
          <w:szCs w:val="32"/>
          <w:lang w:val="en-US" w:eastAsia="zh-CN" w:bidi="ar-SA"/>
        </w:rPr>
        <w:t>高质量做好民生工作。在面向社会公开征集</w:t>
      </w:r>
      <w:r>
        <w:rPr>
          <w:rFonts w:hint="default" w:ascii="方正仿宋简体" w:hAnsi="Times New Roman" w:eastAsia="方正仿宋简体" w:cs="Times New Roman"/>
          <w:b/>
          <w:color w:val="000000"/>
          <w:sz w:val="32"/>
          <w:szCs w:val="32"/>
          <w:lang w:val="en-US" w:eastAsia="zh-CN" w:bidi="ar-SA"/>
        </w:rPr>
        <w:t>济宁高新区2023年重点民生实事项目的</w:t>
      </w:r>
      <w:r>
        <w:rPr>
          <w:rFonts w:hint="eastAsia" w:ascii="方正仿宋简体" w:hAnsi="Times New Roman" w:eastAsia="方正仿宋简体" w:cs="Times New Roman"/>
          <w:b/>
          <w:color w:val="000000"/>
          <w:sz w:val="32"/>
          <w:szCs w:val="32"/>
          <w:lang w:val="en-US" w:eastAsia="zh-CN" w:bidi="ar-SA"/>
        </w:rPr>
        <w:t>工作中，我局更新征集方式，采用网络征集、电子邮箱、信函邮寄、电话等多种形式实现政务公开便民化、高效化，切实保障广大群众的知情权、参与权和监督权。</w:t>
      </w:r>
    </w:p>
    <w:p>
      <w:pPr>
        <w:pStyle w:val="4"/>
        <w:widowControl/>
        <w:spacing w:beforeAutospacing="0" w:after="0" w:afterAutospacing="0" w:line="68" w:lineRule="atLeast"/>
        <w:ind w:left="0" w:right="0" w:firstLine="0"/>
        <w:jc w:val="center"/>
        <w:rPr>
          <w:rFonts w:hint="eastAsia" w:ascii="方正仿宋简体" w:hAnsi="Times New Roman" w:eastAsia="方正仿宋简体" w:cs="Times New Roman"/>
          <w:b/>
          <w:color w:val="000000"/>
          <w:sz w:val="32"/>
          <w:szCs w:val="32"/>
          <w:lang w:val="en-US" w:eastAsia="zh-CN" w:bidi="ar-SA"/>
        </w:rPr>
      </w:pPr>
    </w:p>
    <w:p>
      <w:pPr>
        <w:pStyle w:val="4"/>
        <w:widowControl/>
        <w:spacing w:beforeAutospacing="0" w:after="0" w:afterAutospacing="0" w:line="68" w:lineRule="atLeast"/>
        <w:ind w:left="0" w:right="0" w:firstLine="0"/>
        <w:jc w:val="center"/>
        <w:rPr>
          <w:rFonts w:hint="default" w:ascii="方正仿宋简体" w:hAnsi="Times New Roman" w:eastAsia="方正仿宋简体" w:cs="Times New Roman"/>
          <w:b/>
          <w:color w:val="000000"/>
          <w:sz w:val="32"/>
          <w:szCs w:val="32"/>
          <w:lang w:val="en-US" w:eastAsia="zh-CN" w:bidi="ar-SA"/>
        </w:rPr>
      </w:pPr>
      <w:r>
        <w:rPr>
          <w:rFonts w:hint="default" w:ascii="方正仿宋简体" w:hAnsi="Times New Roman" w:eastAsia="方正仿宋简体" w:cs="Times New Roman"/>
          <w:b/>
          <w:color w:val="000000"/>
          <w:sz w:val="32"/>
          <w:szCs w:val="32"/>
          <w:lang w:val="en-US" w:eastAsia="zh-CN" w:bidi="ar-SA"/>
        </w:rPr>
        <w:t> </w:t>
      </w:r>
    </w:p>
    <w:p>
      <w:pPr>
        <w:widowControl/>
        <w:jc w:val="left"/>
        <w:rPr>
          <w:rFonts w:hint="eastAsia" w:ascii="方正仿宋简体" w:hAnsi="Times New Roman" w:eastAsia="方正仿宋简体" w:cs="Times New Roman"/>
          <w:b/>
          <w:color w:val="000000"/>
          <w:sz w:val="32"/>
          <w:szCs w:val="32"/>
          <w:lang w:val="en-US" w:eastAsia="zh-CN" w:bidi="ar-S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方正仿宋简体" w:hAnsi="Times New Roman" w:eastAsia="方正仿宋简体" w:cs="Times New Roman"/>
          <w:b/>
          <w:color w:val="000000"/>
          <w:sz w:val="32"/>
          <w:szCs w:val="32"/>
          <w:lang w:val="en-US" w:eastAsia="zh-CN" w:bidi="ar-SA"/>
        </w:rPr>
      </w:pPr>
    </w:p>
    <w:p/>
    <w:sectPr>
      <w:footerReference r:id="rId4" w:type="first"/>
      <w:footerReference r:id="rId3" w:type="default"/>
      <w:pgSz w:w="11906" w:h="16838"/>
      <w:pgMar w:top="1701" w:right="1474" w:bottom="1247" w:left="1588" w:header="851" w:footer="850" w:gutter="0"/>
      <w:pgNumType w:fmt="numberInDash" w:start="2"/>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000000"/>
    <w:rsid w:val="1DC74941"/>
    <w:rsid w:val="27B4225C"/>
    <w:rsid w:val="35D3261B"/>
    <w:rsid w:val="3DBF6382"/>
    <w:rsid w:val="698829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rPr>
  </w:style>
  <w:style w:type="character" w:styleId="7">
    <w:name w:val="Strong"/>
    <w:qFormat/>
    <w:uiPriority w:val="0"/>
    <w:rPr>
      <w:b/>
      <w:bCs/>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3182</Words>
  <Characters>3283</Characters>
  <Lines>0</Lines>
  <Paragraphs>0</Paragraphs>
  <TotalTime>0</TotalTime>
  <ScaleCrop>false</ScaleCrop>
  <LinksUpToDate>false</LinksUpToDate>
  <CharactersWithSpaces>3367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2023-01-30T17:45:00Z</dcterms:created>
  <dc:creator>Administrator</dc:creator>
  <cp:lastModifiedBy>……</cp:lastModifiedBy>
  <dcterms:modified xsi:type="dcterms:W3CDTF">2023-02-08T02:52:20Z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1E6BF11148904406B526BCB8ED8E2A23</vt:lpwstr>
  </property>
</Properties>
</file>