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rPr>
        <w:t>济宁高新区经济发展局2019年度政府信息公开工作年度报告</w:t>
      </w:r>
    </w:p>
    <w:bookmarkEnd w:id="0"/>
    <w:p>
      <w:pPr>
        <w:pStyle w:val="3"/>
        <w:keepNext w:val="0"/>
        <w:keepLines w:val="0"/>
        <w:widowControl/>
        <w:suppressLineNumbers w:val="0"/>
        <w:shd w:val="clear" w:fill="FFFFFF"/>
        <w:spacing w:before="0" w:beforeAutospacing="0" w:after="0" w:afterAutospacing="0" w:line="360" w:lineRule="atLeast"/>
        <w:ind w:left="0" w:right="0" w:firstLine="420"/>
        <w:jc w:val="both"/>
        <w:rPr>
          <w:rFonts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本年报是根据《中华人民共和国政府信息公开条例》、《山东省政府信息公开办法》《济宁市人民政府办公室关于做好2019年度政府信息公开年度报告编制发布工作的通知》、济宁高新区管委会信息公开的有关要求，由济宁高新区经济发展局编制2019年度政府信息公开年度报告。全文包括总体情况、主动公开政府信息情况、收到和处理政府信息公开申请情况、政府信息公开行政复议、行政诉讼情况、存在的主要问题及改进情况、其他需要报告的事项。    （http://www.jnhn.gov.cn/col/col26994/index.html）上可下载本报告的电子版。本报告中所列数据的统计期限为2019年1月1日至2019年12月31日。如对本报告有任何疑问，请与济宁高新区经济发展局办公室联系（地址：海川路9号T3座7楼，联系电话：0537-3255041）</w:t>
      </w:r>
    </w:p>
    <w:p>
      <w:pPr>
        <w:pStyle w:val="3"/>
        <w:keepNext w:val="0"/>
        <w:keepLines w:val="0"/>
        <w:widowControl/>
        <w:suppressLineNumbers w:val="0"/>
        <w:shd w:val="clear" w:fill="FFFFFF"/>
        <w:spacing w:before="0" w:beforeAutospacing="0" w:after="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 一、总体情况</w:t>
      </w:r>
    </w:p>
    <w:p>
      <w:pPr>
        <w:pStyle w:val="3"/>
        <w:keepNext w:val="0"/>
        <w:keepLines w:val="0"/>
        <w:widowControl/>
        <w:suppressLineNumbers w:val="0"/>
        <w:shd w:val="clear" w:fill="FFFFFF"/>
        <w:spacing w:before="0" w:beforeAutospacing="0" w:after="24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2019年，我局坚持以习近平新时代中国特色社会主义思想为指导，认真执行《中华人民共和国政府信息公开条例》和济宁市高新区管委会信息公开的有关要求，进一步规范行政行为，做好政务公开工作，提高工作效率，切实转变机关作风，进一步推进决策、执行、管理、服务、结果公开，及时、准确、全面公开群众普遍关心、涉及群众切身利益的政务信息，并取得了显著成效。</w:t>
      </w:r>
    </w:p>
    <w:p>
      <w:pPr>
        <w:pStyle w:val="3"/>
        <w:keepNext w:val="0"/>
        <w:keepLines w:val="0"/>
        <w:widowControl/>
        <w:suppressLineNumbers w:val="0"/>
        <w:shd w:val="clear" w:fill="FFFFFF"/>
        <w:spacing w:before="0" w:beforeAutospacing="0" w:after="24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一）加强制度建设。2019年我局立足本职工作，成立济宁高新区经济发展局局政务公开领导小组，制定《2019年政务公开实施方案》，明确责任分工，细化落实措施。以公开为常态、不公开为例外，坚持统筹兼顾、突出重点，进一步夯实政府信息公开的基础性工作，不断提升政务公开的质量和实效。</w:t>
      </w:r>
    </w:p>
    <w:p>
      <w:pPr>
        <w:pStyle w:val="3"/>
        <w:keepNext w:val="0"/>
        <w:keepLines w:val="0"/>
        <w:widowControl/>
        <w:suppressLineNumbers w:val="0"/>
        <w:shd w:val="clear" w:fill="FFFFFF"/>
        <w:spacing w:before="0" w:beforeAutospacing="0" w:after="24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二）强化主动公开。充分利用网站、微信公众号等多种媒介及时准确对外发布我区经济工作最新动态、亮点和经验做法。抓好公文会议公开和文件解读，做到应公开尽公开，并对会议议定事项进行解读，2019年主动公开政务信息88条。</w:t>
      </w:r>
    </w:p>
    <w:p>
      <w:pPr>
        <w:pStyle w:val="3"/>
        <w:keepNext w:val="0"/>
        <w:keepLines w:val="0"/>
        <w:widowControl/>
        <w:suppressLineNumbers w:val="0"/>
        <w:shd w:val="clear" w:fill="FFFFFF"/>
        <w:spacing w:before="0" w:beforeAutospacing="0" w:after="24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24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 二、主动公开政府信息情况</w:t>
      </w:r>
    </w:p>
    <w:tbl>
      <w:tblPr>
        <w:tblW w:w="8145" w:type="dxa"/>
        <w:tblInd w:w="0" w:type="dxa"/>
        <w:shd w:val="clear"/>
        <w:tblLayout w:type="autofit"/>
        <w:tblCellMar>
          <w:top w:w="0" w:type="dxa"/>
          <w:left w:w="0" w:type="dxa"/>
          <w:bottom w:w="0" w:type="dxa"/>
          <w:right w:w="0" w:type="dxa"/>
        </w:tblCellMar>
      </w:tblPr>
      <w:tblGrid>
        <w:gridCol w:w="3120"/>
        <w:gridCol w:w="1875"/>
        <w:gridCol w:w="75"/>
        <w:gridCol w:w="1200"/>
        <w:gridCol w:w="1875"/>
      </w:tblGrid>
      <w:tr>
        <w:tblPrEx>
          <w:shd w:val="clear"/>
          <w:tblCellMar>
            <w:top w:w="0" w:type="dxa"/>
            <w:left w:w="0" w:type="dxa"/>
            <w:bottom w:w="0" w:type="dxa"/>
            <w:right w:w="0" w:type="dxa"/>
          </w:tblCellMar>
        </w:tblPrEx>
        <w:trPr>
          <w:trHeight w:val="495" w:hRule="atLeast"/>
        </w:trPr>
        <w:tc>
          <w:tcPr>
            <w:tcW w:w="8145" w:type="dxa"/>
            <w:gridSpan w:val="5"/>
            <w:tcBorders>
              <w:top w:val="single" w:color="auto" w:sz="6" w:space="0"/>
              <w:left w:val="single" w:color="auto" w:sz="6" w:space="0"/>
              <w:bottom w:val="single" w:color="auto" w:sz="6" w:space="0"/>
              <w:right w:val="single" w:color="auto" w:sz="6" w:space="0"/>
            </w:tcBorders>
            <w:shd w:val="clear" w:color="auto" w:fill="C6D9F1"/>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第二十条第（一）项</w:t>
            </w:r>
          </w:p>
        </w:tc>
      </w:tr>
      <w:tr>
        <w:tblPrEx>
          <w:shd w:val="clear"/>
          <w:tblCellMar>
            <w:top w:w="0" w:type="dxa"/>
            <w:left w:w="0" w:type="dxa"/>
            <w:bottom w:w="0" w:type="dxa"/>
            <w:right w:w="0" w:type="dxa"/>
          </w:tblCellMar>
        </w:tblPrEx>
        <w:trPr>
          <w:trHeight w:val="885"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信息内容</w:t>
            </w:r>
          </w:p>
        </w:tc>
        <w:tc>
          <w:tcPr>
            <w:tcW w:w="195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本年新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制作数量</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本年新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公开数量</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对外公开总数量</w:t>
            </w:r>
          </w:p>
        </w:tc>
      </w:tr>
      <w:tr>
        <w:tblPrEx>
          <w:shd w:val="clear"/>
          <w:tblCellMar>
            <w:top w:w="0" w:type="dxa"/>
            <w:left w:w="0" w:type="dxa"/>
            <w:bottom w:w="0" w:type="dxa"/>
            <w:right w:w="0"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规章</w:t>
            </w:r>
          </w:p>
        </w:tc>
        <w:tc>
          <w:tcPr>
            <w:tcW w:w="195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0 </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r>
      <w:tr>
        <w:tblPrEx>
          <w:shd w:val="clear"/>
          <w:tblCellMar>
            <w:top w:w="0" w:type="dxa"/>
            <w:left w:w="0" w:type="dxa"/>
            <w:bottom w:w="0" w:type="dxa"/>
            <w:right w:w="0" w:type="dxa"/>
          </w:tblCellMar>
        </w:tblPrEx>
        <w:trPr>
          <w:trHeight w:val="465"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规范性文件</w:t>
            </w:r>
          </w:p>
        </w:tc>
        <w:tc>
          <w:tcPr>
            <w:tcW w:w="195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 0</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r>
      <w:tr>
        <w:tblPrEx>
          <w:shd w:val="clear"/>
          <w:tblCellMar>
            <w:top w:w="0" w:type="dxa"/>
            <w:left w:w="0" w:type="dxa"/>
            <w:bottom w:w="0" w:type="dxa"/>
            <w:right w:w="0" w:type="dxa"/>
          </w:tblCellMar>
        </w:tblPrEx>
        <w:trPr>
          <w:trHeight w:val="480" w:hRule="atLeast"/>
        </w:trPr>
        <w:tc>
          <w:tcPr>
            <w:tcW w:w="8145" w:type="dxa"/>
            <w:gridSpan w:val="5"/>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第二十条第（五）项</w:t>
            </w:r>
          </w:p>
        </w:tc>
      </w:tr>
      <w:tr>
        <w:tblPrEx>
          <w:shd w:val="clear"/>
          <w:tblCellMar>
            <w:top w:w="0" w:type="dxa"/>
            <w:left w:w="0" w:type="dxa"/>
            <w:bottom w:w="0" w:type="dxa"/>
            <w:right w:w="0"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信息内容</w:t>
            </w:r>
          </w:p>
        </w:tc>
        <w:tc>
          <w:tcPr>
            <w:tcW w:w="195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上一年项目数量</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本年增/减</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处理决定数量</w:t>
            </w:r>
          </w:p>
        </w:tc>
      </w:tr>
      <w:tr>
        <w:tblPrEx>
          <w:shd w:val="clear"/>
          <w:tblCellMar>
            <w:top w:w="0" w:type="dxa"/>
            <w:left w:w="0" w:type="dxa"/>
            <w:bottom w:w="0" w:type="dxa"/>
            <w:right w:w="0"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行政许可</w:t>
            </w:r>
          </w:p>
        </w:tc>
        <w:tc>
          <w:tcPr>
            <w:tcW w:w="195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r>
      <w:tr>
        <w:tblPrEx>
          <w:shd w:val="clear"/>
          <w:tblCellMar>
            <w:top w:w="0" w:type="dxa"/>
            <w:left w:w="0" w:type="dxa"/>
            <w:bottom w:w="0" w:type="dxa"/>
            <w:right w:w="0"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其他对外管理服务事项</w:t>
            </w:r>
          </w:p>
        </w:tc>
        <w:tc>
          <w:tcPr>
            <w:tcW w:w="195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r>
      <w:tr>
        <w:tblPrEx>
          <w:shd w:val="clear"/>
          <w:tblCellMar>
            <w:top w:w="0" w:type="dxa"/>
            <w:left w:w="0" w:type="dxa"/>
            <w:bottom w:w="0" w:type="dxa"/>
            <w:right w:w="0" w:type="dxa"/>
          </w:tblCellMar>
        </w:tblPrEx>
        <w:trPr>
          <w:trHeight w:val="405" w:hRule="atLeast"/>
        </w:trPr>
        <w:tc>
          <w:tcPr>
            <w:tcW w:w="8145" w:type="dxa"/>
            <w:gridSpan w:val="5"/>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第二十条第（六）项</w:t>
            </w:r>
          </w:p>
        </w:tc>
      </w:tr>
      <w:tr>
        <w:tblPrEx>
          <w:shd w:val="clear"/>
          <w:tblCellMar>
            <w:top w:w="0" w:type="dxa"/>
            <w:left w:w="0" w:type="dxa"/>
            <w:bottom w:w="0" w:type="dxa"/>
            <w:right w:w="0"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信息内容</w:t>
            </w:r>
          </w:p>
        </w:tc>
        <w:tc>
          <w:tcPr>
            <w:tcW w:w="195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上一年项目数量</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本年增/减</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处理决定数量</w:t>
            </w:r>
          </w:p>
        </w:tc>
      </w:tr>
      <w:tr>
        <w:tblPrEx>
          <w:shd w:val="clear"/>
          <w:tblCellMar>
            <w:top w:w="0" w:type="dxa"/>
            <w:left w:w="0" w:type="dxa"/>
            <w:bottom w:w="0" w:type="dxa"/>
            <w:right w:w="0" w:type="dxa"/>
          </w:tblCellMar>
        </w:tblPrEx>
        <w:trPr>
          <w:trHeight w:val="435"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行政处罚</w:t>
            </w:r>
          </w:p>
        </w:tc>
        <w:tc>
          <w:tcPr>
            <w:tcW w:w="195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r>
      <w:tr>
        <w:tblPrEx>
          <w:shd w:val="clear"/>
          <w:tblCellMar>
            <w:top w:w="0" w:type="dxa"/>
            <w:left w:w="0" w:type="dxa"/>
            <w:bottom w:w="0" w:type="dxa"/>
            <w:right w:w="0" w:type="dxa"/>
          </w:tblCellMar>
        </w:tblPrEx>
        <w:trPr>
          <w:trHeight w:val="405"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行政强制</w:t>
            </w:r>
          </w:p>
        </w:tc>
        <w:tc>
          <w:tcPr>
            <w:tcW w:w="1950"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20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r>
      <w:tr>
        <w:tblPrEx>
          <w:shd w:val="clear"/>
          <w:tblCellMar>
            <w:top w:w="0" w:type="dxa"/>
            <w:left w:w="0" w:type="dxa"/>
            <w:bottom w:w="0" w:type="dxa"/>
            <w:right w:w="0" w:type="dxa"/>
          </w:tblCellMar>
        </w:tblPrEx>
        <w:trPr>
          <w:trHeight w:val="480" w:hRule="atLeast"/>
        </w:trPr>
        <w:tc>
          <w:tcPr>
            <w:tcW w:w="8145" w:type="dxa"/>
            <w:gridSpan w:val="5"/>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第二十条第（八）项</w:t>
            </w:r>
          </w:p>
        </w:tc>
      </w:tr>
      <w:tr>
        <w:tblPrEx>
          <w:shd w:val="clear"/>
          <w:tblCellMar>
            <w:top w:w="0" w:type="dxa"/>
            <w:left w:w="0" w:type="dxa"/>
            <w:bottom w:w="0" w:type="dxa"/>
            <w:right w:w="0" w:type="dxa"/>
          </w:tblCellMar>
        </w:tblPrEx>
        <w:trPr>
          <w:trHeight w:val="271"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信息内容</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上一年项目数量</w:t>
            </w:r>
          </w:p>
        </w:tc>
        <w:tc>
          <w:tcPr>
            <w:tcW w:w="3150" w:type="dxa"/>
            <w:gridSpan w:val="3"/>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本年增/减</w:t>
            </w:r>
          </w:p>
        </w:tc>
      </w:tr>
      <w:tr>
        <w:tblPrEx>
          <w:shd w:val="clear"/>
          <w:tblCellMar>
            <w:top w:w="0" w:type="dxa"/>
            <w:left w:w="0" w:type="dxa"/>
            <w:bottom w:w="0" w:type="dxa"/>
            <w:right w:w="0"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行政事业性收费</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3150" w:type="dxa"/>
            <w:gridSpan w:val="3"/>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0 </w:t>
            </w:r>
          </w:p>
        </w:tc>
      </w:tr>
      <w:tr>
        <w:tblPrEx>
          <w:shd w:val="clear"/>
          <w:tblCellMar>
            <w:top w:w="0" w:type="dxa"/>
            <w:left w:w="0" w:type="dxa"/>
            <w:bottom w:w="0" w:type="dxa"/>
            <w:right w:w="0" w:type="dxa"/>
          </w:tblCellMar>
        </w:tblPrEx>
        <w:trPr>
          <w:trHeight w:val="480" w:hRule="atLeast"/>
        </w:trPr>
        <w:tc>
          <w:tcPr>
            <w:tcW w:w="8145" w:type="dxa"/>
            <w:gridSpan w:val="5"/>
            <w:tcBorders>
              <w:top w:val="nil"/>
              <w:left w:val="single" w:color="auto" w:sz="6" w:space="0"/>
              <w:bottom w:val="single" w:color="auto" w:sz="6" w:space="0"/>
              <w:right w:val="single" w:color="auto" w:sz="6" w:space="0"/>
            </w:tcBorders>
            <w:shd w:val="clear" w:color="auto" w:fill="C6D9F1"/>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第二十条第（九）项</w:t>
            </w:r>
          </w:p>
        </w:tc>
      </w:tr>
      <w:tr>
        <w:tblPrEx>
          <w:shd w:val="clear"/>
          <w:tblCellMar>
            <w:top w:w="0" w:type="dxa"/>
            <w:left w:w="0" w:type="dxa"/>
            <w:bottom w:w="0" w:type="dxa"/>
            <w:right w:w="0" w:type="dxa"/>
          </w:tblCellMar>
        </w:tblPrEx>
        <w:trPr>
          <w:trHeight w:val="585"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信息内容</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采购项目数量</w:t>
            </w:r>
          </w:p>
        </w:tc>
        <w:tc>
          <w:tcPr>
            <w:tcW w:w="3150" w:type="dxa"/>
            <w:gridSpan w:val="3"/>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center"/>
              <w:rPr>
                <w:sz w:val="21"/>
                <w:szCs w:val="21"/>
              </w:rPr>
            </w:pPr>
            <w:r>
              <w:rPr>
                <w:rFonts w:hint="eastAsia" w:ascii="宋体" w:hAnsi="宋体" w:eastAsia="宋体" w:cs="宋体"/>
                <w:i w:val="0"/>
                <w:caps w:val="0"/>
                <w:color w:val="000000"/>
                <w:spacing w:val="0"/>
                <w:sz w:val="19"/>
                <w:szCs w:val="19"/>
                <w:bdr w:val="none" w:color="auto" w:sz="0" w:space="0"/>
              </w:rPr>
              <w:t>采购总金额</w:t>
            </w:r>
          </w:p>
        </w:tc>
      </w:tr>
      <w:tr>
        <w:tblPrEx>
          <w:shd w:val="clear"/>
          <w:tblCellMar>
            <w:top w:w="0" w:type="dxa"/>
            <w:left w:w="0" w:type="dxa"/>
            <w:bottom w:w="0" w:type="dxa"/>
            <w:right w:w="0" w:type="dxa"/>
          </w:tblCellMar>
        </w:tblPrEx>
        <w:trPr>
          <w:trHeight w:val="540" w:hRule="atLeast"/>
        </w:trPr>
        <w:tc>
          <w:tcPr>
            <w:tcW w:w="312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eastAsia" w:ascii="宋体" w:hAnsi="宋体" w:eastAsia="宋体" w:cs="宋体"/>
                <w:i w:val="0"/>
                <w:caps w:val="0"/>
                <w:color w:val="000000"/>
                <w:spacing w:val="0"/>
                <w:sz w:val="19"/>
                <w:szCs w:val="19"/>
                <w:bdr w:val="none" w:color="auto" w:sz="0" w:space="0"/>
              </w:rPr>
              <w:t>政府集中采购</w:t>
            </w:r>
          </w:p>
        </w:tc>
        <w:tc>
          <w:tcPr>
            <w:tcW w:w="187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80" w:lineRule="atLeast"/>
              <w:ind w:left="0" w:right="0"/>
              <w:jc w:val="left"/>
              <w:rPr>
                <w:sz w:val="21"/>
                <w:szCs w:val="21"/>
              </w:rPr>
            </w:pPr>
            <w:r>
              <w:rPr>
                <w:rFonts w:hint="default" w:ascii="sans-serif" w:hAnsi="sans-serif" w:eastAsia="sans-serif" w:cs="sans-serif"/>
                <w:i w:val="0"/>
                <w:caps w:val="0"/>
                <w:color w:val="000000"/>
                <w:spacing w:val="0"/>
                <w:sz w:val="21"/>
                <w:szCs w:val="21"/>
                <w:bdr w:val="none" w:color="auto" w:sz="0" w:space="0"/>
              </w:rPr>
              <w:t>　</w:t>
            </w:r>
            <w:r>
              <w:rPr>
                <w:rFonts w:hint="eastAsia" w:ascii="宋体" w:hAnsi="宋体" w:eastAsia="宋体" w:cs="宋体"/>
                <w:i w:val="0"/>
                <w:caps w:val="0"/>
                <w:color w:val="000000"/>
                <w:spacing w:val="0"/>
                <w:sz w:val="19"/>
                <w:szCs w:val="19"/>
                <w:bdr w:val="none" w:color="auto" w:sz="0" w:space="0"/>
              </w:rPr>
              <w:t>0</w:t>
            </w:r>
          </w:p>
        </w:tc>
        <w:tc>
          <w:tcPr>
            <w:tcW w:w="3150" w:type="dxa"/>
            <w:gridSpan w:val="3"/>
            <w:tcBorders>
              <w:top w:val="nil"/>
              <w:left w:val="nil"/>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1"/>
                <w:szCs w:val="21"/>
              </w:rPr>
            </w:pPr>
            <w:r>
              <w:rPr>
                <w:rFonts w:hint="eastAsia" w:ascii="宋体" w:hAnsi="宋体" w:eastAsia="宋体" w:cs="宋体"/>
                <w:i w:val="0"/>
                <w:caps w:val="0"/>
                <w:color w:val="000000"/>
                <w:spacing w:val="0"/>
                <w:sz w:val="24"/>
                <w:szCs w:val="24"/>
                <w:bdr w:val="none" w:color="auto" w:sz="0" w:space="0"/>
              </w:rPr>
              <w:t>0</w:t>
            </w:r>
          </w:p>
        </w:tc>
      </w:tr>
    </w:tbl>
    <w:p>
      <w:pPr>
        <w:pStyle w:val="3"/>
        <w:keepNext w:val="0"/>
        <w:keepLines w:val="0"/>
        <w:widowControl/>
        <w:suppressLineNumbers w:val="0"/>
        <w:shd w:val="clear" w:fill="FFFFFF"/>
        <w:spacing w:before="0" w:beforeAutospacing="0" w:after="24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24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 三、收到和处理政府信息公开申请情况</w:t>
      </w:r>
    </w:p>
    <w:tbl>
      <w:tblPr>
        <w:tblW w:w="90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90"/>
        <w:gridCol w:w="846"/>
        <w:gridCol w:w="2097"/>
        <w:gridCol w:w="817"/>
        <w:gridCol w:w="758"/>
        <w:gridCol w:w="758"/>
        <w:gridCol w:w="817"/>
        <w:gridCol w:w="979"/>
        <w:gridCol w:w="714"/>
        <w:gridCol w:w="69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3480"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（本列数据的勾稽关系为：第一项加第二项之和，等于第三项加第四项之和）</w:t>
            </w:r>
          </w:p>
        </w:tc>
        <w:tc>
          <w:tcPr>
            <w:tcW w:w="5595"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48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2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自然人</w:t>
            </w:r>
          </w:p>
        </w:tc>
        <w:tc>
          <w:tcPr>
            <w:tcW w:w="4065"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法人或其他组织</w:t>
            </w:r>
          </w:p>
        </w:tc>
        <w:tc>
          <w:tcPr>
            <w:tcW w:w="705"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3480"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2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商业企业</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科研机构</w:t>
            </w:r>
          </w:p>
        </w:tc>
        <w:tc>
          <w:tcPr>
            <w:tcW w:w="82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社会公益组织</w:t>
            </w:r>
          </w:p>
        </w:tc>
        <w:tc>
          <w:tcPr>
            <w:tcW w:w="9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法律服务机构</w:t>
            </w:r>
          </w:p>
        </w:tc>
        <w:tc>
          <w:tcPr>
            <w:tcW w:w="72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w:t>
            </w:r>
          </w:p>
        </w:tc>
        <w:tc>
          <w:tcPr>
            <w:tcW w:w="705"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348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一、本年新收政府信息公开申请数量</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348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二、上年结转政府信息公开申请数量</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三、本年度办理结果</w:t>
            </w:r>
          </w:p>
        </w:tc>
        <w:tc>
          <w:tcPr>
            <w:tcW w:w="29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1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49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985"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jc w:val="center"/>
        </w:trPr>
        <w:tc>
          <w:tcPr>
            <w:tcW w:w="3480"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left"/>
            </w:pPr>
            <w:r>
              <w:rPr>
                <w:rFonts w:hint="eastAsia" w:ascii="宋体" w:hAnsi="宋体" w:eastAsia="宋体" w:cs="宋体"/>
                <w:sz w:val="19"/>
                <w:szCs w:val="19"/>
                <w:bdr w:val="none" w:color="auto" w:sz="0" w:space="0"/>
              </w:rPr>
              <w:t>四、结转下年度继续办理</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8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9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2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default" w:ascii="Calibri" w:hAnsi="Calibri" w:cs="Calibri"/>
                <w:sz w:val="19"/>
                <w:szCs w:val="19"/>
                <w:bdr w:val="none" w:color="auto" w:sz="0" w:space="0"/>
              </w:rPr>
              <w:t> </w:t>
            </w:r>
            <w:r>
              <w:rPr>
                <w:rFonts w:hint="eastAsia" w:ascii="宋体" w:hAnsi="宋体" w:eastAsia="宋体" w:cs="宋体"/>
                <w:sz w:val="19"/>
                <w:szCs w:val="19"/>
                <w:bdr w:val="none" w:color="auto" w:sz="0" w:space="0"/>
              </w:rPr>
              <w:t>0</w:t>
            </w:r>
          </w:p>
        </w:tc>
      </w:tr>
    </w:tbl>
    <w:p>
      <w:pPr>
        <w:pStyle w:val="3"/>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 四、政府信息公开行政复议、行政诉讼情况</w:t>
      </w:r>
    </w:p>
    <w:p>
      <w:pPr>
        <w:pStyle w:val="3"/>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tbl>
      <w:tblPr>
        <w:tblW w:w="907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07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行政复议</w:t>
            </w:r>
          </w:p>
        </w:tc>
        <w:tc>
          <w:tcPr>
            <w:tcW w:w="6000"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60" w:type="dxa"/>
            <w:vMerge w:val="restart"/>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c>
          <w:tcPr>
            <w:tcW w:w="297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未经复议直接起诉</w:t>
            </w:r>
          </w:p>
        </w:tc>
        <w:tc>
          <w:tcPr>
            <w:tcW w:w="3030" w:type="dxa"/>
            <w:gridSpan w:val="5"/>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结果维持</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结果纠正</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其他结果</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尚未审结</w:t>
            </w:r>
          </w:p>
        </w:tc>
        <w:tc>
          <w:tcPr>
            <w:tcW w:w="60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r>
              <w:rPr>
                <w:rFonts w:hint="default" w:ascii="Calibri" w:hAnsi="Calibri" w:cs="Calibri"/>
                <w:sz w:val="19"/>
                <w:szCs w:val="19"/>
                <w:bdr w:val="none" w:color="auto" w:sz="0" w:space="0"/>
              </w:rPr>
              <w:t> </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jc w:val="center"/>
            </w:pPr>
            <w:r>
              <w:rPr>
                <w:rFonts w:hint="eastAsia" w:ascii="宋体" w:hAnsi="宋体" w:eastAsia="宋体" w:cs="宋体"/>
                <w:sz w:val="19"/>
                <w:szCs w:val="19"/>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pPr>
            <w:r>
              <w:rPr>
                <w:rFonts w:hint="eastAsia" w:ascii="宋体" w:hAnsi="宋体" w:eastAsia="宋体" w:cs="宋体"/>
                <w:sz w:val="19"/>
                <w:szCs w:val="19"/>
                <w:bdr w:val="none" w:color="auto" w:sz="0" w:space="0"/>
              </w:rPr>
              <w:t>0</w:t>
            </w:r>
          </w:p>
        </w:tc>
      </w:tr>
    </w:tbl>
    <w:p>
      <w:pPr>
        <w:pStyle w:val="3"/>
        <w:keepNext w:val="0"/>
        <w:keepLines w:val="0"/>
        <w:widowControl/>
        <w:suppressLineNumbers w:val="0"/>
        <w:shd w:val="clear" w:fill="FFFFFF"/>
        <w:spacing w:before="0" w:beforeAutospacing="0" w:after="0"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五、存在的主要问题及改进情况</w:t>
      </w:r>
    </w:p>
    <w:p>
      <w:pPr>
        <w:pStyle w:val="3"/>
        <w:keepNext w:val="0"/>
        <w:keepLines w:val="0"/>
        <w:widowControl/>
        <w:suppressLineNumbers w:val="0"/>
        <w:shd w:val="clear" w:fill="FFFFFF"/>
        <w:spacing w:before="0" w:beforeAutospacing="0" w:after="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本年度，我局信息公开工作取得了一定成效，但仍存在一些问题，主要表现在：对政务公开工作重要性认识不到位、网站部分栏目建设仍不够完善、个别信息更新慢等问题。针对以上存在的问题，我们将认真分析，逐一研究，着力从以下几个方面加以改进：</w:t>
      </w:r>
    </w:p>
    <w:p>
      <w:pPr>
        <w:pStyle w:val="3"/>
        <w:keepNext w:val="0"/>
        <w:keepLines w:val="0"/>
        <w:widowControl/>
        <w:suppressLineNumbers w:val="0"/>
        <w:shd w:val="clear" w:fill="FFFFFF"/>
        <w:spacing w:before="0" w:beforeAutospacing="0" w:after="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一是加强宣传，提高认识。继续加大宣传力度，切实增强各级领导干部和机关工作人员做好政务公开工作的主动意识和责任意识，提高全局对政务公开工作的参与意识，形成政务公开工作的良好工作氛围，为推行政务公开工作创造良好的社会环境。</w:t>
      </w:r>
    </w:p>
    <w:p>
      <w:pPr>
        <w:pStyle w:val="3"/>
        <w:keepNext w:val="0"/>
        <w:keepLines w:val="0"/>
        <w:widowControl/>
        <w:suppressLineNumbers w:val="0"/>
        <w:shd w:val="clear" w:fill="FFFFFF"/>
        <w:spacing w:before="0" w:beforeAutospacing="0" w:after="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二是注重队伍，强化培训。不断提高工作人员的业务能力和水平；持续抓好业务培训工作，使负责业务的同志掌握新知识、运用新技术，明确职责，落实责任，着力提升业务水平，使信息公开工作顺利推进。</w:t>
      </w:r>
    </w:p>
    <w:p>
      <w:pPr>
        <w:pStyle w:val="3"/>
        <w:keepNext w:val="0"/>
        <w:keepLines w:val="0"/>
        <w:widowControl/>
        <w:suppressLineNumbers w:val="0"/>
        <w:shd w:val="clear" w:fill="FFFFFF"/>
        <w:spacing w:before="0" w:beforeAutospacing="0" w:after="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三是督促检查，促进落实。通过随机抽查网站公开的信息，询问政务信息公开情况、抽查各处室信息公开情况等方式督促本局政务信息公开规范化、常态化，促进政务信息公开工作再上新台阶。</w:t>
      </w:r>
    </w:p>
    <w:p>
      <w:pPr>
        <w:pStyle w:val="3"/>
        <w:keepNext w:val="0"/>
        <w:keepLines w:val="0"/>
        <w:widowControl/>
        <w:suppressLineNumbers w:val="0"/>
        <w:shd w:val="clear" w:fill="FFFFFF"/>
        <w:spacing w:before="0" w:beforeAutospacing="0" w:after="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42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3"/>
        <w:keepNext w:val="0"/>
        <w:keepLines w:val="0"/>
        <w:widowControl/>
        <w:suppressLineNumbers w:val="0"/>
        <w:shd w:val="clear" w:fill="FFFFFF"/>
        <w:spacing w:before="0" w:beforeAutospacing="0" w:after="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Style w:val="6"/>
          <w:rFonts w:hint="eastAsia" w:ascii="宋体" w:hAnsi="宋体" w:eastAsia="宋体" w:cs="宋体"/>
          <w:b/>
          <w:i w:val="0"/>
          <w:caps w:val="0"/>
          <w:color w:val="000000"/>
          <w:spacing w:val="0"/>
          <w:sz w:val="24"/>
          <w:szCs w:val="24"/>
          <w:shd w:val="clear" w:fill="FFFFFF"/>
        </w:rPr>
        <w:t>六、其他需要报告的事项</w:t>
      </w:r>
    </w:p>
    <w:p>
      <w:pPr>
        <w:pStyle w:val="3"/>
        <w:keepNext w:val="0"/>
        <w:keepLines w:val="0"/>
        <w:widowControl/>
        <w:suppressLineNumbers w:val="0"/>
        <w:shd w:val="clear" w:fill="FFFFFF"/>
        <w:spacing w:before="0" w:beforeAutospacing="0" w:after="0" w:afterAutospacing="0" w:line="360" w:lineRule="atLeast"/>
        <w:ind w:left="0" w:right="0" w:firstLine="420"/>
        <w:jc w:val="both"/>
        <w:rPr>
          <w:rFonts w:hint="default" w:ascii="sans-serif" w:hAnsi="sans-serif" w:eastAsia="sans-serif" w:cs="sans-serif"/>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本年度没有需要说明的其他事项。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华康海报体W12(P)">
    <w:panose1 w:val="040B0C00000000000000"/>
    <w:charset w:val="86"/>
    <w:family w:val="auto"/>
    <w:pitch w:val="default"/>
    <w:sig w:usb0="00000001" w:usb1="08010000" w:usb2="00000012"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3402E5"/>
    <w:rsid w:val="0B07086D"/>
    <w:rsid w:val="2C340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1429</Words>
  <Characters>1466</Characters>
  <Lines>0</Lines>
  <Paragraphs>0</Paragraphs>
  <TotalTime>11</TotalTime>
  <ScaleCrop>false</ScaleCrop>
  <LinksUpToDate>false</LinksUpToDate>
  <CharactersWithSpaces>1668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2020-01-31T02:07:00Z</dcterms:created>
  <dc:creator>天上有朵云在飘</dc:creator>
  <cp:lastModifiedBy>天上有朵云在飘</cp:lastModifiedBy>
  <dcterms:modified xsi:type="dcterms:W3CDTF">2020-01-31T02:19:30Z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