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济宁高新区社会事业发展局2019年度政府信息公开工作年度报告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根据《</w:t>
      </w:r>
      <w:r>
        <w:rPr>
          <w:rFonts w:hint="eastAsia" w:ascii="sans-serif" w:hAnsi="sans-serif" w:eastAsia="宋体" w:cs="sans-serif"/>
          <w:i w:val="0"/>
          <w:caps w:val="0"/>
          <w:color w:val="000000"/>
          <w:spacing w:val="0"/>
          <w:sz w:val="24"/>
          <w:szCs w:val="24"/>
          <w:lang w:eastAsia="zh-CN"/>
        </w:rPr>
        <w:t>中华人民共和国政府信息公开条例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》（以下简称《条例》）、《山东省信息公开办法》（以下简称《办法》）要求，结合济宁高新区社会事业发展局（以下简称社发局）工作实际，特向社会公布2019年社发局信息公开年度报告。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2019年社发局认真组织学习贯彻新修订《条例》，认真贯彻落实《办法》</w:t>
      </w:r>
      <w:bookmarkStart w:id="0" w:name="_GoBack"/>
      <w:bookmarkEnd w:id="0"/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和济宁市政府办公室《关于印发济宁市推进重大建设项目批准和实施、公共资源配置、社会公益事业建设领域政府信息公开方案的通知》等文件精神要求及相关决策部署，聚焦高新区重要决策部署，围绕民生事业发展和人民群众关切，积极、有序地推进社发局政务公开工作。不断加强机制和制度建设，全面推进决策、执行、管理、服务、结果公开，切实提升了政务公开工作水平。2019年度主动公开政府信息151条。收到群众依申请政府信息公开3条，按照有关程序和申请人的要求及时进行了答复，未发生因政府信息公开出现行政复议和行政诉讼情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（一）加强组织领导和制度建设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1.加强组织领导。社发局领导班子高度重视政府信息公开工作，始终将其作为政务工作的重要内容摆上议事日程，明确成立社发局政务公开工作领导小组，由局党组书记、局长为组长、党组成员为副组长、各科室负责人为成员。明确了社发局综合处为政务公开专职负责机构，党组成员、副局长李贞为政务公开工作分管领导，李杨、田贝贝为政务公开工作人员，主动做好政务公开日常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2.夯实制度保障。以完善制度建设推进政府信息公开工作标准化和规范化不断提升，制定了《济宁高新区社会事业发展局政府信息公开工作制度》，编制了《济宁高新区社会事业发展局政务公开实施方案》，明确了强化信息发布质量，深化政策解读回应群众关切，接受权力监督推进决策执行公开，深化重点领域公开，加强公开平台建设等五类20项重点公开任务，逐一明确责任责任科室和完成时限，不断夯实信息公开工作的制度保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（二）发布解读、回应社会关切以及互动交流情况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一是按照“谁起草、谁解读”的原则，落实解读责任主体。局机关各科室出台政策性文件的同时同步编制政策解读，发布政策的同时同步发布政策解读。今年以来，发布了《山东省人民政府办公厅关于加快学前教育改革发展的意见》、《山东省学校安全条例》、《济宁市特困人员救助供养实施办法》、《济宁高新区2019年征兵政策》等政策解读12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及时解决群众反映问题7件。全年回复办理网络问政平台、局长信箱等群众咨询986件，做到了事事有回音、件件有答复。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（三）依法办理依申请公开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2019年度，社发局接到群众主动要求公开政府信息的申请3件。按照政府信息依申请公开的相关要求，提供了相关信息。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4"/>
        <w:tblW w:w="81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785"/>
        <w:gridCol w:w="1365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本年新制作数量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本年新公开数量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规范性文件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上一年项目数量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本年增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减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1-5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月份数据，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月份划转）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其他对外管理服务事项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上一年项目数量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本年增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44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减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1-8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月份数据，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月开始无行政处罚权）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增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上一年项目数量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本年增</w:t>
            </w: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采购项目数量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政府集中采购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sans-serif" w:cs="Arial"/>
                <w:i w:val="0"/>
                <w:caps w:val="0"/>
                <w:color w:val="000000"/>
                <w:spacing w:val="0"/>
                <w:sz w:val="19"/>
                <w:szCs w:val="19"/>
              </w:rPr>
              <w:t>12120760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4"/>
        <w:tblW w:w="90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2020"/>
        <w:gridCol w:w="795"/>
        <w:gridCol w:w="737"/>
        <w:gridCol w:w="737"/>
        <w:gridCol w:w="795"/>
        <w:gridCol w:w="953"/>
        <w:gridCol w:w="709"/>
        <w:gridCol w:w="7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tbl>
      <w:tblPr>
        <w:tblStyle w:val="4"/>
        <w:tblW w:w="90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五、存在的主要问题及改进措施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2019年，社发局按照上级部署，积极做好政府信息公开相关工作并取得了一定成效，但也存在一些不够规范和完善的地方。一是部分工作人员业务能力不强，对政府信息工作相关制度规范理解不到位，应用不熟；二是主动公开信息渠道较少；三是政策解读仍然不同程度地存在着内容简单、形式不够丰富。为此，2020年将重点从四个方面做好政府信息公开工作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一是切实强化信息公开督查工作。进一步把政府信息公开工作落到实处，确保使重要的、有价值的、应该公开的信息全部公开，做到不重不漏,不发生泄密等违规问题。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二是加强宣传培训力度，努力营造政府信息公开的良好氛围，提高业务能力和综合素质。开展多种形式的宣传、培训活动，让更多的人了解政府信息公开工作，组织政府信息公开相关工作人员加强有关业务知识和技能的学习，同时加强法律法规、计算机应用操作等相关知识的学习，为工作开展奠定基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三是加强政务公开工作。规范栏目设置，充实栏目内容，提高公开信息的数量和质量，增强时效性。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四是加强交流研讨，促进整体工作上台阶。积极参加区电子政务办公室举办的各项交流学习活动，学习借鉴外各单位工作经验和做法。组织开展不同形式的交流活动，及时总结通报各单位工作开展情况，充分调动各单位做好政府信息公开工作的积极性，进一步提升政务服务水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2C3402E5"/>
    <w:rsid w:val="0B07086D"/>
    <w:rsid w:val="174060F5"/>
    <w:rsid w:val="1780613D"/>
    <w:rsid w:val="2C34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1828</Words>
  <Characters>1915</Characters>
  <Lines>0</Lines>
  <Paragraphs>0</Paragraphs>
  <TotalTime>53</TotalTime>
  <ScaleCrop>false</ScaleCrop>
  <LinksUpToDate>false</LinksUpToDate>
  <CharactersWithSpaces>2104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2020-01-31T02:07:00Z</dcterms:created>
  <dc:creator>天上有朵云在飘</dc:creator>
  <cp:lastModifiedBy>糖炒栗子 ້໌ᮨ</cp:lastModifiedBy>
  <dcterms:modified xsi:type="dcterms:W3CDTF">2024-03-19T08:15:17Z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83BE8996B7074862A93028E66A376778_12</vt:lpwstr>
  </property>
</Properties>
</file>