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b w:val="0"/>
          <w:bCs w:val="0"/>
          <w:color w:val="000000"/>
          <w:sz w:val="30"/>
        </w:rPr>
      </w:pPr>
      <w:bookmarkStart w:id="0" w:name="_GoBack"/>
      <w:bookmarkEnd w:id="0"/>
      <w:r>
        <w:rPr>
          <w:rFonts w:hint="eastAsia" w:ascii="黑体" w:hAnsi="黑体" w:eastAsia="黑体" w:cs="黑体"/>
          <w:b w:val="0"/>
          <w:bCs w:val="0"/>
          <w:color w:val="000000"/>
          <w:sz w:val="30"/>
        </w:rPr>
        <w:t>公共资源交易领域基层政务公开标准目录</w:t>
      </w:r>
    </w:p>
    <w:tbl>
      <w:tblPr>
        <w:tblStyle w:val="3"/>
        <w:tblW w:w="15365" w:type="dxa"/>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925"/>
        <w:gridCol w:w="875"/>
        <w:gridCol w:w="2910"/>
        <w:gridCol w:w="2340"/>
        <w:gridCol w:w="1620"/>
        <w:gridCol w:w="956"/>
        <w:gridCol w:w="1856"/>
        <w:gridCol w:w="856"/>
        <w:gridCol w:w="764"/>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vMerge w:val="restart"/>
            <w:noWrap w:val="0"/>
            <w:vAlign w:val="center"/>
          </w:tcPr>
          <w:p>
            <w:pPr>
              <w:widowControl/>
              <w:jc w:val="center"/>
              <w:rPr>
                <w:rFonts w:hint="eastAsia" w:ascii="仿宋" w:hAnsi="仿宋" w:eastAsia="仿宋" w:cs="仿宋"/>
                <w:b w:val="0"/>
                <w:bCs w:val="0"/>
                <w:color w:val="000000"/>
                <w:kern w:val="0"/>
                <w:sz w:val="18"/>
                <w:szCs w:val="18"/>
              </w:rPr>
            </w:pPr>
            <w:r>
              <w:rPr>
                <w:rFonts w:hint="eastAsia" w:ascii="仿宋" w:hAnsi="仿宋" w:eastAsia="仿宋" w:cs="仿宋"/>
                <w:b w:val="0"/>
                <w:bCs w:val="0"/>
                <w:color w:val="000000"/>
                <w:kern w:val="0"/>
                <w:sz w:val="22"/>
              </w:rPr>
              <w:t>序号</w:t>
            </w:r>
          </w:p>
        </w:tc>
        <w:tc>
          <w:tcPr>
            <w:tcW w:w="1800" w:type="dxa"/>
            <w:gridSpan w:val="2"/>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公开事项</w:t>
            </w:r>
          </w:p>
        </w:tc>
        <w:tc>
          <w:tcPr>
            <w:tcW w:w="2910"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公开内容（要素）</w:t>
            </w:r>
          </w:p>
        </w:tc>
        <w:tc>
          <w:tcPr>
            <w:tcW w:w="2340"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公开依据</w:t>
            </w:r>
          </w:p>
        </w:tc>
        <w:tc>
          <w:tcPr>
            <w:tcW w:w="1620"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w:t>
            </w:r>
          </w:p>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时限</w:t>
            </w:r>
          </w:p>
        </w:tc>
        <w:tc>
          <w:tcPr>
            <w:tcW w:w="956"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w:t>
            </w:r>
          </w:p>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主体</w:t>
            </w:r>
          </w:p>
        </w:tc>
        <w:tc>
          <w:tcPr>
            <w:tcW w:w="1856" w:type="dxa"/>
            <w:vMerge w:val="restart"/>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公开渠道和载体</w:t>
            </w:r>
          </w:p>
        </w:tc>
        <w:tc>
          <w:tcPr>
            <w:tcW w:w="1620" w:type="dxa"/>
            <w:gridSpan w:val="2"/>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公开对象</w:t>
            </w:r>
          </w:p>
        </w:tc>
        <w:tc>
          <w:tcPr>
            <w:tcW w:w="1688" w:type="dxa"/>
            <w:gridSpan w:val="2"/>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vMerge w:val="continue"/>
            <w:noWrap w:val="0"/>
            <w:vAlign w:val="center"/>
          </w:tcPr>
          <w:p>
            <w:pPr>
              <w:widowControl/>
              <w:jc w:val="left"/>
              <w:rPr>
                <w:rFonts w:hint="eastAsia" w:ascii="仿宋" w:hAnsi="仿宋" w:eastAsia="仿宋" w:cs="仿宋"/>
                <w:b w:val="0"/>
                <w:bCs w:val="0"/>
                <w:color w:val="000000"/>
                <w:kern w:val="0"/>
                <w:sz w:val="18"/>
                <w:szCs w:val="18"/>
              </w:rPr>
            </w:pPr>
          </w:p>
        </w:tc>
        <w:tc>
          <w:tcPr>
            <w:tcW w:w="925"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一级</w:t>
            </w:r>
            <w:r>
              <w:rPr>
                <w:rFonts w:hint="eastAsia" w:ascii="仿宋" w:hAnsi="仿宋" w:eastAsia="仿宋" w:cs="仿宋"/>
                <w:b w:val="0"/>
                <w:bCs w:val="0"/>
                <w:color w:val="000000"/>
                <w:kern w:val="0"/>
                <w:sz w:val="22"/>
                <w:lang w:val="en-US" w:eastAsia="zh-CN"/>
              </w:rPr>
              <w:t xml:space="preserve"> </w:t>
            </w:r>
            <w:r>
              <w:rPr>
                <w:rFonts w:hint="eastAsia" w:ascii="仿宋" w:hAnsi="仿宋" w:eastAsia="仿宋" w:cs="仿宋"/>
                <w:b w:val="0"/>
                <w:bCs w:val="0"/>
                <w:color w:val="000000"/>
                <w:kern w:val="0"/>
                <w:sz w:val="22"/>
              </w:rPr>
              <w:t>事项</w:t>
            </w:r>
          </w:p>
        </w:tc>
        <w:tc>
          <w:tcPr>
            <w:tcW w:w="875"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二级事项</w:t>
            </w:r>
          </w:p>
        </w:tc>
        <w:tc>
          <w:tcPr>
            <w:tcW w:w="2910" w:type="dxa"/>
            <w:vMerge w:val="continue"/>
            <w:noWrap w:val="0"/>
            <w:vAlign w:val="center"/>
          </w:tcPr>
          <w:p>
            <w:pPr>
              <w:widowControl/>
              <w:jc w:val="left"/>
              <w:rPr>
                <w:rFonts w:hint="eastAsia" w:ascii="仿宋" w:hAnsi="仿宋" w:eastAsia="仿宋" w:cs="仿宋"/>
                <w:b w:val="0"/>
                <w:bCs w:val="0"/>
                <w:color w:val="000000"/>
                <w:kern w:val="0"/>
                <w:sz w:val="22"/>
              </w:rPr>
            </w:pPr>
          </w:p>
        </w:tc>
        <w:tc>
          <w:tcPr>
            <w:tcW w:w="2340" w:type="dxa"/>
            <w:vMerge w:val="continue"/>
            <w:noWrap w:val="0"/>
            <w:vAlign w:val="center"/>
          </w:tcPr>
          <w:p>
            <w:pPr>
              <w:widowControl/>
              <w:jc w:val="left"/>
              <w:rPr>
                <w:rFonts w:hint="eastAsia" w:ascii="仿宋" w:hAnsi="仿宋" w:eastAsia="仿宋" w:cs="仿宋"/>
                <w:b w:val="0"/>
                <w:bCs w:val="0"/>
                <w:color w:val="000000"/>
                <w:kern w:val="0"/>
                <w:sz w:val="22"/>
              </w:rPr>
            </w:pPr>
          </w:p>
        </w:tc>
        <w:tc>
          <w:tcPr>
            <w:tcW w:w="1620" w:type="dxa"/>
            <w:vMerge w:val="continue"/>
            <w:noWrap w:val="0"/>
            <w:vAlign w:val="center"/>
          </w:tcPr>
          <w:p>
            <w:pPr>
              <w:widowControl/>
              <w:jc w:val="left"/>
              <w:rPr>
                <w:rFonts w:hint="eastAsia" w:ascii="仿宋" w:hAnsi="仿宋" w:eastAsia="仿宋" w:cs="仿宋"/>
                <w:b w:val="0"/>
                <w:bCs w:val="0"/>
                <w:color w:val="000000"/>
                <w:kern w:val="0"/>
                <w:sz w:val="22"/>
              </w:rPr>
            </w:pPr>
          </w:p>
        </w:tc>
        <w:tc>
          <w:tcPr>
            <w:tcW w:w="956" w:type="dxa"/>
            <w:vMerge w:val="continue"/>
            <w:noWrap w:val="0"/>
            <w:vAlign w:val="center"/>
          </w:tcPr>
          <w:p>
            <w:pPr>
              <w:widowControl/>
              <w:jc w:val="left"/>
              <w:rPr>
                <w:rFonts w:hint="eastAsia" w:ascii="仿宋" w:hAnsi="仿宋" w:eastAsia="仿宋" w:cs="仿宋"/>
                <w:b w:val="0"/>
                <w:bCs w:val="0"/>
                <w:color w:val="000000"/>
                <w:kern w:val="0"/>
                <w:sz w:val="22"/>
              </w:rPr>
            </w:pPr>
          </w:p>
        </w:tc>
        <w:tc>
          <w:tcPr>
            <w:tcW w:w="1856" w:type="dxa"/>
            <w:vMerge w:val="continue"/>
            <w:noWrap w:val="0"/>
            <w:vAlign w:val="center"/>
          </w:tcPr>
          <w:p>
            <w:pPr>
              <w:widowControl/>
              <w:jc w:val="left"/>
              <w:rPr>
                <w:rFonts w:hint="eastAsia" w:ascii="仿宋" w:hAnsi="仿宋" w:eastAsia="仿宋" w:cs="仿宋"/>
                <w:b w:val="0"/>
                <w:bCs w:val="0"/>
                <w:color w:val="000000"/>
                <w:kern w:val="0"/>
                <w:sz w:val="22"/>
              </w:rPr>
            </w:pPr>
          </w:p>
        </w:tc>
        <w:tc>
          <w:tcPr>
            <w:tcW w:w="856"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全社会</w:t>
            </w:r>
          </w:p>
        </w:tc>
        <w:tc>
          <w:tcPr>
            <w:tcW w:w="764"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特定</w:t>
            </w:r>
          </w:p>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群众</w:t>
            </w:r>
          </w:p>
        </w:tc>
        <w:tc>
          <w:tcPr>
            <w:tcW w:w="788"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主动</w:t>
            </w:r>
          </w:p>
        </w:tc>
        <w:tc>
          <w:tcPr>
            <w:tcW w:w="900" w:type="dxa"/>
            <w:noWrap w:val="0"/>
            <w:vAlign w:val="center"/>
          </w:tcPr>
          <w:p>
            <w:pPr>
              <w:widowControl/>
              <w:jc w:val="center"/>
              <w:rPr>
                <w:rFonts w:hint="eastAsia" w:ascii="仿宋" w:hAnsi="仿宋" w:eastAsia="仿宋" w:cs="仿宋"/>
                <w:b w:val="0"/>
                <w:bCs w:val="0"/>
                <w:color w:val="000000"/>
                <w:kern w:val="0"/>
                <w:sz w:val="22"/>
              </w:rPr>
            </w:pPr>
            <w:r>
              <w:rPr>
                <w:rFonts w:hint="eastAsia" w:ascii="仿宋" w:hAnsi="仿宋" w:eastAsia="仿宋" w:cs="仿宋"/>
                <w:b w:val="0"/>
                <w:bCs w:val="0"/>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noWrap w:val="0"/>
            <w:vAlign w:val="center"/>
          </w:tcPr>
          <w:p>
            <w:pPr>
              <w:jc w:val="cente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1</w:t>
            </w:r>
          </w:p>
        </w:tc>
        <w:tc>
          <w:tcPr>
            <w:tcW w:w="925"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工程建设项目招标投标信息</w:t>
            </w:r>
          </w:p>
        </w:tc>
        <w:tc>
          <w:tcPr>
            <w:tcW w:w="875"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招标公告</w:t>
            </w:r>
          </w:p>
        </w:tc>
        <w:tc>
          <w:tcPr>
            <w:tcW w:w="291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及时公开</w:t>
            </w:r>
          </w:p>
        </w:tc>
        <w:tc>
          <w:tcPr>
            <w:tcW w:w="956"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街道招投标办公室</w:t>
            </w:r>
          </w:p>
        </w:tc>
        <w:tc>
          <w:tcPr>
            <w:tcW w:w="1856" w:type="dxa"/>
            <w:noWrap w:val="0"/>
            <w:vAlign w:val="center"/>
          </w:tcPr>
          <w:p>
            <w:pP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p>
          <w:p>
            <w:pP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为民服务中心</w:t>
            </w:r>
          </w:p>
        </w:tc>
        <w:tc>
          <w:tcPr>
            <w:tcW w:w="856"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64"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88"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90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noWrap w:val="0"/>
            <w:vAlign w:val="center"/>
          </w:tcPr>
          <w:p>
            <w:pPr>
              <w:jc w:val="cente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2</w:t>
            </w:r>
          </w:p>
        </w:tc>
        <w:tc>
          <w:tcPr>
            <w:tcW w:w="925" w:type="dxa"/>
            <w:noWrap w:val="0"/>
            <w:vAlign w:val="center"/>
          </w:tcPr>
          <w:p>
            <w:pPr>
              <w:jc w:val="center"/>
              <w:rPr>
                <w:rFonts w:hint="eastAsia" w:ascii="仿宋" w:hAnsi="仿宋" w:eastAsia="仿宋" w:cs="仿宋"/>
                <w:b w:val="0"/>
                <w:bCs w:val="0"/>
                <w:color w:val="000000"/>
                <w:sz w:val="18"/>
                <w:szCs w:val="18"/>
              </w:rPr>
            </w:pPr>
          </w:p>
        </w:tc>
        <w:tc>
          <w:tcPr>
            <w:tcW w:w="875"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中标候选人公示</w:t>
            </w:r>
          </w:p>
        </w:tc>
        <w:tc>
          <w:tcPr>
            <w:tcW w:w="291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 w:hAnsi="仿宋" w:eastAsia="仿宋" w:cs="仿宋"/>
                <w:b w:val="0"/>
                <w:bCs w:val="0"/>
                <w:color w:val="000000"/>
                <w:sz w:val="18"/>
                <w:szCs w:val="18"/>
              </w:rPr>
              <w:br w:type="textWrapping"/>
            </w:r>
            <w:r>
              <w:rPr>
                <w:rFonts w:hint="eastAsia" w:ascii="仿宋" w:hAnsi="仿宋" w:eastAsia="仿宋" w:cs="仿宋"/>
                <w:b w:val="0"/>
                <w:bCs w:val="0"/>
                <w:color w:val="000000"/>
                <w:sz w:val="18"/>
                <w:szCs w:val="18"/>
              </w:rPr>
              <w:t>招标文件规定公示的其他内容。</w:t>
            </w:r>
          </w:p>
        </w:tc>
        <w:tc>
          <w:tcPr>
            <w:tcW w:w="2340" w:type="dxa"/>
            <w:noWrap w:val="0"/>
            <w:vAlign w:val="center"/>
          </w:tcPr>
          <w:p>
            <w:pPr>
              <w:rPr>
                <w:rFonts w:hint="eastAsia" w:ascii="仿宋" w:hAnsi="仿宋" w:eastAsia="仿宋" w:cs="仿宋"/>
                <w:b w:val="0"/>
                <w:bCs w:val="0"/>
                <w:color w:val="000000"/>
                <w:sz w:val="18"/>
                <w:szCs w:val="18"/>
              </w:rPr>
            </w:pPr>
          </w:p>
        </w:tc>
        <w:tc>
          <w:tcPr>
            <w:tcW w:w="162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依法必须进行招标的项目，招标人应当自收到评标报告之日起3日内公示中标候选人，公示期不得少于3日</w:t>
            </w:r>
          </w:p>
        </w:tc>
        <w:tc>
          <w:tcPr>
            <w:tcW w:w="956"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街道招投标办公室</w:t>
            </w:r>
          </w:p>
        </w:tc>
        <w:tc>
          <w:tcPr>
            <w:tcW w:w="1856"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 xml:space="preserve">济宁国家高新技术产业开发区网站   </w:t>
            </w: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为民服务中心</w:t>
            </w:r>
          </w:p>
        </w:tc>
        <w:tc>
          <w:tcPr>
            <w:tcW w:w="856"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64"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88"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90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trPr>
        <w:tc>
          <w:tcPr>
            <w:tcW w:w="575" w:type="dxa"/>
            <w:noWrap w:val="0"/>
            <w:vAlign w:val="center"/>
          </w:tcPr>
          <w:p>
            <w:pPr>
              <w:jc w:val="cente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3</w:t>
            </w:r>
          </w:p>
        </w:tc>
        <w:tc>
          <w:tcPr>
            <w:tcW w:w="925"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政府采购信息</w:t>
            </w:r>
          </w:p>
        </w:tc>
        <w:tc>
          <w:tcPr>
            <w:tcW w:w="875"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招标公告</w:t>
            </w:r>
          </w:p>
        </w:tc>
        <w:tc>
          <w:tcPr>
            <w:tcW w:w="2910" w:type="dxa"/>
            <w:noWrap w:val="0"/>
            <w:vAlign w:val="center"/>
          </w:tcPr>
          <w:p>
            <w:pPr>
              <w:rPr>
                <w:rFonts w:hint="eastAsia" w:ascii="仿宋" w:hAnsi="仿宋" w:eastAsia="仿宋" w:cs="仿宋"/>
                <w:b w:val="0"/>
                <w:bCs w:val="0"/>
                <w:color w:val="000000"/>
                <w:kern w:val="2"/>
                <w:sz w:val="18"/>
                <w:szCs w:val="18"/>
                <w:lang w:val="en-US" w:eastAsia="zh-CN" w:bidi="ar-SA"/>
              </w:rPr>
            </w:pPr>
            <w:r>
              <w:rPr>
                <w:rFonts w:hint="eastAsia" w:ascii="仿宋" w:hAnsi="仿宋" w:eastAsia="仿宋" w:cs="仿宋"/>
                <w:b w:val="0"/>
                <w:bCs w:val="0"/>
                <w:color w:val="000000"/>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国务院办公厅关于推进公共资源配置领域政府信息公开的意见》、《政府采购货物和服务招标投标管理办法》、《财政部关于做好政府采购信息公开工作的通知》《行政处罚法》、《政府信息公开条例》、《国务院办公厅关于推进公共资源配置领域政府信息公开的意见》</w:t>
            </w:r>
          </w:p>
        </w:tc>
        <w:tc>
          <w:tcPr>
            <w:tcW w:w="162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及时公开，公告期限为5个工作日</w:t>
            </w:r>
          </w:p>
        </w:tc>
        <w:tc>
          <w:tcPr>
            <w:tcW w:w="956" w:type="dxa"/>
            <w:noWrap w:val="0"/>
            <w:vAlign w:val="center"/>
          </w:tcPr>
          <w:p>
            <w:pP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lang w:val="en-US" w:eastAsia="zh-CN"/>
              </w:rPr>
              <w:t>街道党政办、街道招投标办公室</w:t>
            </w:r>
          </w:p>
        </w:tc>
        <w:tc>
          <w:tcPr>
            <w:tcW w:w="1856" w:type="dxa"/>
            <w:noWrap w:val="0"/>
            <w:vAlign w:val="center"/>
          </w:tcPr>
          <w:p>
            <w:pP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p>
          <w:p>
            <w:pPr>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为民服务中心</w:t>
            </w:r>
          </w:p>
        </w:tc>
        <w:tc>
          <w:tcPr>
            <w:tcW w:w="856" w:type="dxa"/>
            <w:noWrap w:val="0"/>
            <w:vAlign w:val="center"/>
          </w:tcPr>
          <w:p>
            <w:pPr>
              <w:jc w:val="center"/>
              <w:rPr>
                <w:rFonts w:hint="eastAsia" w:ascii="仿宋" w:hAnsi="仿宋" w:eastAsia="仿宋" w:cs="仿宋"/>
                <w:b w:val="0"/>
                <w:bCs w:val="0"/>
                <w:color w:val="000000"/>
                <w:sz w:val="18"/>
                <w:szCs w:val="18"/>
              </w:rPr>
            </w:pPr>
          </w:p>
        </w:tc>
        <w:tc>
          <w:tcPr>
            <w:tcW w:w="764" w:type="dxa"/>
            <w:noWrap w:val="0"/>
            <w:vAlign w:val="center"/>
          </w:tcPr>
          <w:p>
            <w:pPr>
              <w:jc w:val="center"/>
              <w:rPr>
                <w:rFonts w:hint="eastAsia" w:ascii="仿宋" w:hAnsi="仿宋" w:eastAsia="仿宋" w:cs="仿宋"/>
                <w:b w:val="0"/>
                <w:bCs w:val="0"/>
                <w:color w:val="000000"/>
                <w:sz w:val="18"/>
                <w:szCs w:val="18"/>
              </w:rPr>
            </w:pPr>
          </w:p>
        </w:tc>
        <w:tc>
          <w:tcPr>
            <w:tcW w:w="788" w:type="dxa"/>
            <w:noWrap w:val="0"/>
            <w:vAlign w:val="center"/>
          </w:tcPr>
          <w:p>
            <w:pPr>
              <w:jc w:val="center"/>
              <w:rPr>
                <w:rFonts w:hint="eastAsia" w:ascii="仿宋" w:hAnsi="仿宋" w:eastAsia="仿宋" w:cs="仿宋"/>
                <w:b w:val="0"/>
                <w:bCs w:val="0"/>
                <w:color w:val="000000"/>
                <w:sz w:val="18"/>
                <w:szCs w:val="18"/>
              </w:rPr>
            </w:pPr>
          </w:p>
        </w:tc>
        <w:tc>
          <w:tcPr>
            <w:tcW w:w="900" w:type="dxa"/>
            <w:noWrap w:val="0"/>
            <w:vAlign w:val="center"/>
          </w:tcPr>
          <w:p>
            <w:pPr>
              <w:jc w:val="center"/>
              <w:rPr>
                <w:rFonts w:hint="eastAsia" w:ascii="仿宋" w:hAnsi="仿宋" w:eastAsia="仿宋" w:cs="仿宋"/>
                <w:b w:val="0"/>
                <w:bCs w:val="0"/>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noWrap w:val="0"/>
            <w:vAlign w:val="center"/>
          </w:tcPr>
          <w:p>
            <w:pPr>
              <w:jc w:val="center"/>
              <w:rPr>
                <w:rFonts w:hint="eastAsia" w:ascii="仿宋" w:hAnsi="仿宋" w:eastAsia="仿宋" w:cs="仿宋"/>
                <w:b w:val="0"/>
                <w:bCs w:val="0"/>
                <w:color w:val="000000"/>
                <w:sz w:val="18"/>
                <w:szCs w:val="18"/>
                <w:lang w:eastAsia="zh-CN"/>
              </w:rPr>
            </w:pPr>
            <w:r>
              <w:rPr>
                <w:rFonts w:hint="eastAsia" w:ascii="仿宋" w:hAnsi="仿宋" w:eastAsia="仿宋" w:cs="仿宋"/>
                <w:b w:val="0"/>
                <w:bCs w:val="0"/>
                <w:color w:val="000000"/>
                <w:sz w:val="18"/>
                <w:szCs w:val="18"/>
                <w:lang w:val="en-US" w:eastAsia="zh-CN"/>
              </w:rPr>
              <w:t>4</w:t>
            </w:r>
          </w:p>
        </w:tc>
        <w:tc>
          <w:tcPr>
            <w:tcW w:w="925" w:type="dxa"/>
            <w:vMerge w:val="restart"/>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政府采购信息</w:t>
            </w:r>
          </w:p>
        </w:tc>
        <w:tc>
          <w:tcPr>
            <w:tcW w:w="875"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协议供货和定点采购的具体成交记录</w:t>
            </w:r>
          </w:p>
        </w:tc>
        <w:tc>
          <w:tcPr>
            <w:tcW w:w="291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采购人和成交供应商的名称、成交金额以及成交标</w:t>
            </w:r>
            <w:r>
              <w:rPr>
                <w:rFonts w:hint="eastAsia" w:ascii="仿宋" w:hAnsi="仿宋" w:eastAsia="仿宋" w:cs="仿宋"/>
                <w:b w:val="0"/>
                <w:bCs w:val="0"/>
                <w:color w:val="000000"/>
                <w:sz w:val="18"/>
                <w:szCs w:val="18"/>
                <w:lang w:eastAsia="zh-CN"/>
              </w:rPr>
              <w:t>的</w:t>
            </w:r>
            <w:r>
              <w:rPr>
                <w:rFonts w:hint="eastAsia" w:ascii="仿宋" w:hAnsi="仿宋" w:eastAsia="仿宋" w:cs="仿宋"/>
                <w:b w:val="0"/>
                <w:bCs w:val="0"/>
                <w:color w:val="000000"/>
                <w:sz w:val="18"/>
                <w:szCs w:val="18"/>
              </w:rPr>
              <w:t>名称、规格型号、数量、单价等。电子卖场、电子商城、网上超市等的具体成交记录，也应当予以公开。</w:t>
            </w:r>
          </w:p>
        </w:tc>
        <w:tc>
          <w:tcPr>
            <w:tcW w:w="2340" w:type="dxa"/>
            <w:vMerge w:val="restart"/>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《国务院办公厅关于推进公共资源配置领域政府信息公开的意见》、《财政部关于做好政府采购信息公开工作的通知》《关于进一步做好政府采购信息公开工作有关事项的通知》</w:t>
            </w:r>
          </w:p>
        </w:tc>
        <w:tc>
          <w:tcPr>
            <w:tcW w:w="162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及时公开</w:t>
            </w:r>
          </w:p>
        </w:tc>
        <w:tc>
          <w:tcPr>
            <w:tcW w:w="956"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街道党政办、街道招投标办公室</w:t>
            </w:r>
          </w:p>
        </w:tc>
        <w:tc>
          <w:tcPr>
            <w:tcW w:w="1856" w:type="dxa"/>
            <w:noWrap w:val="0"/>
            <w:vAlign w:val="center"/>
          </w:tcPr>
          <w:p>
            <w:pPr>
              <w:spacing w:line="240" w:lineRule="exact"/>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p>
          <w:p>
            <w:pPr>
              <w:spacing w:line="240" w:lineRule="exact"/>
              <w:rPr>
                <w:rFonts w:hint="eastAsia" w:ascii="仿宋" w:hAnsi="仿宋" w:eastAsia="仿宋" w:cs="仿宋"/>
                <w:b w:val="0"/>
                <w:bCs w:val="0"/>
                <w:color w:val="000000"/>
                <w:sz w:val="18"/>
                <w:szCs w:val="18"/>
                <w:lang w:val="en-US" w:eastAsia="zh-CN"/>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为民服务中心</w:t>
            </w:r>
          </w:p>
        </w:tc>
        <w:tc>
          <w:tcPr>
            <w:tcW w:w="856" w:type="dxa"/>
            <w:noWrap w:val="0"/>
            <w:vAlign w:val="center"/>
          </w:tcPr>
          <w:p>
            <w:pPr>
              <w:spacing w:line="240" w:lineRule="exact"/>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64"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88"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90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5" w:type="dxa"/>
            <w:noWrap w:val="0"/>
            <w:vAlign w:val="center"/>
          </w:tcPr>
          <w:p>
            <w:pPr>
              <w:jc w:val="center"/>
              <w:rPr>
                <w:rFonts w:hint="eastAsia" w:ascii="仿宋" w:hAnsi="仿宋" w:eastAsia="仿宋" w:cs="仿宋"/>
                <w:b w:val="0"/>
                <w:bCs w:val="0"/>
                <w:color w:val="000000"/>
                <w:sz w:val="18"/>
                <w:szCs w:val="18"/>
                <w:lang w:eastAsia="zh-CN"/>
              </w:rPr>
            </w:pPr>
            <w:r>
              <w:rPr>
                <w:rFonts w:hint="eastAsia" w:ascii="仿宋" w:hAnsi="仿宋" w:eastAsia="仿宋" w:cs="仿宋"/>
                <w:b w:val="0"/>
                <w:bCs w:val="0"/>
                <w:color w:val="000000"/>
                <w:sz w:val="18"/>
                <w:szCs w:val="18"/>
                <w:lang w:val="en-US" w:eastAsia="zh-CN"/>
              </w:rPr>
              <w:t>5</w:t>
            </w:r>
          </w:p>
        </w:tc>
        <w:tc>
          <w:tcPr>
            <w:tcW w:w="925" w:type="dxa"/>
            <w:vMerge w:val="continue"/>
            <w:noWrap w:val="0"/>
            <w:vAlign w:val="center"/>
          </w:tcPr>
          <w:p>
            <w:pPr>
              <w:jc w:val="center"/>
              <w:rPr>
                <w:rFonts w:hint="eastAsia" w:ascii="仿宋" w:hAnsi="仿宋" w:eastAsia="仿宋" w:cs="仿宋"/>
                <w:b w:val="0"/>
                <w:bCs w:val="0"/>
                <w:color w:val="000000"/>
                <w:sz w:val="18"/>
                <w:szCs w:val="18"/>
              </w:rPr>
            </w:pPr>
          </w:p>
        </w:tc>
        <w:tc>
          <w:tcPr>
            <w:tcW w:w="875"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中标、成交结果</w:t>
            </w:r>
          </w:p>
        </w:tc>
        <w:tc>
          <w:tcPr>
            <w:tcW w:w="2910"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采购人和采购代理机构名称、地址、联系方式；项目名称和项目编号；中标或者成交供应商名称、地址和中标或者成交金额；主要中标或者成交标</w:t>
            </w:r>
            <w:r>
              <w:rPr>
                <w:rFonts w:hint="eastAsia" w:ascii="仿宋" w:hAnsi="仿宋" w:eastAsia="仿宋" w:cs="仿宋"/>
                <w:b w:val="0"/>
                <w:bCs w:val="0"/>
                <w:color w:val="000000"/>
                <w:sz w:val="18"/>
                <w:szCs w:val="18"/>
                <w:lang w:eastAsia="zh-CN"/>
              </w:rPr>
              <w:t>的</w:t>
            </w:r>
            <w:r>
              <w:rPr>
                <w:rFonts w:hint="eastAsia" w:ascii="仿宋" w:hAnsi="仿宋" w:eastAsia="仿宋" w:cs="仿宋"/>
                <w:b w:val="0"/>
                <w:bCs w:val="0"/>
                <w:color w:val="000000"/>
                <w:sz w:val="18"/>
                <w:szCs w:val="18"/>
              </w:rPr>
              <w:t>名称、规格型号、数量、单价、服务要求或者标</w:t>
            </w:r>
            <w:r>
              <w:rPr>
                <w:rFonts w:hint="eastAsia" w:ascii="仿宋" w:hAnsi="仿宋" w:eastAsia="仿宋" w:cs="仿宋"/>
                <w:b w:val="0"/>
                <w:bCs w:val="0"/>
                <w:color w:val="000000"/>
                <w:sz w:val="18"/>
                <w:szCs w:val="18"/>
                <w:lang w:eastAsia="zh-CN"/>
              </w:rPr>
              <w:t>的</w:t>
            </w:r>
            <w:r>
              <w:rPr>
                <w:rFonts w:hint="eastAsia" w:ascii="仿宋" w:hAnsi="仿宋" w:eastAsia="仿宋" w:cs="仿宋"/>
                <w:b w:val="0"/>
                <w:bCs w:val="0"/>
                <w:color w:val="000000"/>
                <w:sz w:val="18"/>
                <w:szCs w:val="18"/>
              </w:rPr>
              <w:t>基本概况；评审专家名单。协议供货、定点采购项目还应当公告入围价格、价格调整规则和优惠条件。采用书面推荐供应商参加采购活动的，还应当公告采购人和评审专家的推荐意见。</w:t>
            </w:r>
          </w:p>
        </w:tc>
        <w:tc>
          <w:tcPr>
            <w:tcW w:w="2340" w:type="dxa"/>
            <w:vMerge w:val="continue"/>
            <w:noWrap w:val="0"/>
            <w:vAlign w:val="center"/>
          </w:tcPr>
          <w:p>
            <w:pPr>
              <w:rPr>
                <w:rFonts w:hint="eastAsia" w:ascii="仿宋" w:hAnsi="仿宋" w:eastAsia="仿宋" w:cs="仿宋"/>
                <w:b w:val="0"/>
                <w:bCs w:val="0"/>
                <w:color w:val="000000"/>
                <w:sz w:val="18"/>
                <w:szCs w:val="18"/>
              </w:rPr>
            </w:pPr>
          </w:p>
        </w:tc>
        <w:tc>
          <w:tcPr>
            <w:tcW w:w="1620" w:type="dxa"/>
            <w:noWrap w:val="0"/>
            <w:vAlign w:val="center"/>
          </w:tcPr>
          <w:p>
            <w:pPr>
              <w:jc w:val="lef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自中标、成交供应商确定之日起2个工作日内公告，公告期限为1个工作日</w:t>
            </w:r>
          </w:p>
        </w:tc>
        <w:tc>
          <w:tcPr>
            <w:tcW w:w="956" w:type="dxa"/>
            <w:noWrap w:val="0"/>
            <w:vAlign w:val="center"/>
          </w:tcPr>
          <w:p>
            <w:pP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lang w:val="en-US" w:eastAsia="zh-CN"/>
              </w:rPr>
              <w:t>街道招投标办公室</w:t>
            </w:r>
          </w:p>
        </w:tc>
        <w:tc>
          <w:tcPr>
            <w:tcW w:w="1856" w:type="dxa"/>
            <w:noWrap w:val="0"/>
            <w:vAlign w:val="center"/>
          </w:tcPr>
          <w:p>
            <w:pPr>
              <w:spacing w:line="240" w:lineRule="exact"/>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r>
              <w:rPr>
                <w:rFonts w:hint="eastAsia" w:ascii="仿宋" w:hAnsi="仿宋" w:eastAsia="仿宋" w:cs="仿宋"/>
                <w:b w:val="0"/>
                <w:bCs w:val="0"/>
                <w:color w:val="000000"/>
                <w:sz w:val="18"/>
                <w:szCs w:val="18"/>
                <w:lang w:val="en-US" w:eastAsia="zh-CN"/>
              </w:rPr>
              <w:t>济宁国家高新技术产业开发区网站</w:t>
            </w:r>
          </w:p>
        </w:tc>
        <w:tc>
          <w:tcPr>
            <w:tcW w:w="856"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764"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c>
          <w:tcPr>
            <w:tcW w:w="788"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c>
          <w:tcPr>
            <w:tcW w:w="900" w:type="dxa"/>
            <w:noWrap w:val="0"/>
            <w:vAlign w:val="center"/>
          </w:tcPr>
          <w:p>
            <w:pPr>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　</w:t>
            </w:r>
          </w:p>
        </w:tc>
      </w:tr>
    </w:tbl>
    <w:p/>
    <w:sectPr>
      <w:pgSz w:w="16783" w:h="23757"/>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1DCE651D"/>
    <w:rsid w:val="1DCE651D"/>
    <w:rsid w:val="399A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2020-12-16T08:31:00Z</dcterms:created>
  <dc:creator>……</dc:creator>
  <cp:lastModifiedBy>糖炒栗子 ້໌ᮨ</cp:lastModifiedBy>
  <dcterms:modified xsi:type="dcterms:W3CDTF">2024-03-20T08:31:38Z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F8D4E6B11A37404B9AE2AFCDE3468B61_12</vt:lpwstr>
  </property>
</Properties>
</file>