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eastAsia" w:eastAsia="方正小标宋简体" w:cs="Times New Roman"/>
          <w:b/>
          <w:bCs/>
          <w:color w:val="auto"/>
          <w:sz w:val="44"/>
          <w:szCs w:val="44"/>
          <w:lang w:val="en-US" w:eastAsia="zh-CN"/>
        </w:rPr>
        <w:t>济宁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高新区城乡建设和交通局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2021年信息公开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本报告由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济宁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内容包括总体情况、主动公开政府信息情况、收到和处理政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府信息公开申请情况、政府信息公开行政复议和行政诉讼情况、存在的主要问题及改进情况、其他需要报告的事项等六部分内容。所列数据的统计期限自2021年1月1日起至2021年12月31日止。本报告电子版可在“济宁国家高新技术产业开发区”管委会门户网站（http://www.jnhn.gov.cn）查阅或下载。如对报告有疑问，请与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联系（地址：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济宁高新区海川路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9号T3楼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，联系电话：0537-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3255049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highlight w:val="none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年以来，高新区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为深入贯彻习近平新时代中国特色社会主义思想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，认真落实国务院、省政府、市政府相关文件要求，扎实推进高新区规划政务公开工作，取得了一定的工作成绩。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方正楷体简体" w:cs="Times New Roman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u w:val="none"/>
        </w:rPr>
        <w:t>强化组织领导，完善工作机制。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我局高度重视政府信息公开机制体制建设工作，成立了局领导，各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处室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负责人为成员的信息公开工作小组，工作小组办公室设在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综合处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，由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综合处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牵头负责政府信息公开的日常工作，建立了领导统筹，部门协作，各司其职，责任到人的工作体系，切实保证了信息公开的人员配置。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方正楷体简体" w:cs="Times New Roman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u w:val="none"/>
        </w:rPr>
        <w:t>健全完善制度，狠抓工作落实。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根据政务公开和政府信息公开的相关要求和规定，编制了《济宁高新区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城乡建设和交通局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政务公开指南及信息目录》，制定了主动公开制度、依申请公开制度及保密审查制度等相关制度。按照“公开是原则、不公开是例外”的要求，对建设部门的职责权限、管理制度、建设事项、“三公”经费使用情况等，除涉及党和国家机密、依法受保护的秘密文件外，一律按要求及时公开。重点公开规划行政许可、规划编制、“一书三证”发放情况、规划审批等群众关心和社会关注的热点问题，增加规划的透明度，确保群众知情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方正楷体简体" w:cs="Times New Roman"/>
          <w:b/>
          <w:bCs/>
          <w:color w:val="auto"/>
          <w:sz w:val="32"/>
          <w:szCs w:val="32"/>
          <w:u w:val="none"/>
          <w:lang w:val="en-US" w:eastAsia="zh-CN"/>
        </w:rPr>
        <w:t>三是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u w:val="none"/>
        </w:rPr>
        <w:t>创新工作思路，丰富公开形式。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积极构建注重实效、便民利民、结构合理的体系。实行“五公示一公开”制度。定期组织开展以“服务群众答疑解惑”为主题的规划宣传咨询活动，发放《征求意见表》，现场接受群众咨询，汇集民智、民意。作为党的群众路线教育实践活动的自选动作，集中开展了深入践行群众路线专项整治活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eastAsia" w:eastAsia="方正楷体简体" w:cs="Times New Roman"/>
          <w:b/>
          <w:bCs/>
          <w:color w:val="auto"/>
          <w:sz w:val="32"/>
          <w:szCs w:val="32"/>
          <w:u w:val="none"/>
          <w:lang w:val="en-US" w:eastAsia="zh-CN"/>
        </w:rPr>
        <w:t>四是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u w:val="none"/>
        </w:rPr>
        <w:t>开展各类活动，提升业务技能。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成立了活动领导小组，制定了活动实施方案，从加强日常工作管理、健全工作机制、规范公开内容入手，切实推进高效型、服务型机关建设，加强了对行政决策的监督。组织开展政府信息公开专项保密教育培训，分析信息公开保密工作面临的形势，公布了保密事项，学习了政府信息公开保密审查制度，掌握了信息公开的有关保密要求，增强了工作人员保密意识，避免了因“不知、不懂、不会、不在乎”而泄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eastAsia="方正楷体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）主动公开情况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年度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全局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主动公开组织机构类信息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条；“双随机、一公开”监管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条；执行和落实情况公开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103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条；重大建设项目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条；公共资源配置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19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条；安全生产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条；公示公告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条；主动公开基本目录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条；信息公开指南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条；信息公开年报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条；政务公开组织管理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全局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收到政府信息公开申请11项，其中10项按规定予以公开，1项本机关不掌握相关政府信息，未予公开。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00" w:lineRule="atLeast"/>
        <w:ind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我局高度重视信息公开保密审查工作，不断加强对涉密信息传输保密管理和涉密载体保密管理，明确信息的收集、整理、编辑、审核、发布及更新过程中每个人员的具体责任，严格遵循“全面、及时、准确、规范”和“谁主管谁审查、谁审查谁负责”和“先审查后公开”的原则，加强信息公开保密审查，规范政府信息公开流程。通过及时对信息公开保密审查工作进行查漏补缺，提高了做好保密工作的主动性和自觉性，堵塞可能发生的失泄密事件，消除了隐患，确保了信息公开工作安全有序进行。近年来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eastAsia="zh-CN"/>
        </w:rPr>
        <w:t>全局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</w:rPr>
        <w:t>无失密、泄密事件发生。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建立健全相关工作机制，制定完善了政务信息审核上报制度，全面提高局门户网站、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济宁高新建设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微信公众号政府信息公开服务水平。及时修订高新区城乡建设和交通局政府信息公开申请表，不断优化依申请工作流程，注重与申请人的沟通交流，全面掌握申请人诉求，提高办理质量；同时指定一名工作专员负责全局信息公开维护和更新，及时报送政府信息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highlight w:val="none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坚持内部监督与社会监督相结合，及时更新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高新区城乡建设和交通局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政府信息公开指南，对外公布公开渠道、受理机构地址及咨询电话，接受人民群众监督和舆论监督，确保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全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局政府信息公开工作顺利开展。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Lines="10" w:afterLines="10" w:line="600" w:lineRule="exact"/>
        <w:ind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1" w:firstLineChars="200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-40" w:leftChars="-20" w:right="-40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（一）主要问题。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是公开形式单一。当前主要以文字形式公开，缺少图片、视频等类的公开方式；二是公开渠道单一。仅通过政府网站、图书馆、档案馆等渠道进行信息公开，群众知晓度低。三是对《条例》的理论学习有待进一步加强</w:t>
      </w: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</w:rPr>
        <w:t>改进情况。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一是尝试探索图片、视频等等公开方式；二是尝试探索微信、微博等新媒体平台进行信息的公开发布，更有效的让社会看到公开信息；三是开展相关培训，将新修订《条例》融入到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城市建设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实际工作中，更好服务信息公开工作。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1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</w:rPr>
        <w:t>六、其他需要报告的事项</w:t>
      </w:r>
    </w:p>
    <w:p>
      <w:pPr>
        <w:ind w:firstLine="643" w:firstLineChars="200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无其他需要报告的事项。</w:t>
      </w:r>
    </w:p>
    <w:sectPr>
      <w:pgSz w:w="11906" w:h="16838"/>
      <w:pgMar w:top="204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F50523"/>
    <w:multiLevelType w:val="singleLevel"/>
    <w:tmpl w:val="51F5052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50B9"/>
    <w:rsid w:val="03707AB9"/>
    <w:rsid w:val="15707694"/>
    <w:rsid w:val="15F5131D"/>
    <w:rsid w:val="186D36CC"/>
    <w:rsid w:val="191A72A3"/>
    <w:rsid w:val="1ADB0FA1"/>
    <w:rsid w:val="1B412329"/>
    <w:rsid w:val="27562EC0"/>
    <w:rsid w:val="2A7210B0"/>
    <w:rsid w:val="3A9546D0"/>
    <w:rsid w:val="487024F5"/>
    <w:rsid w:val="4A531933"/>
    <w:rsid w:val="57B33FC4"/>
    <w:rsid w:val="58414096"/>
    <w:rsid w:val="58EA6187"/>
    <w:rsid w:val="5A134C00"/>
    <w:rsid w:val="612D4112"/>
    <w:rsid w:val="61945001"/>
    <w:rsid w:val="6FDA7244"/>
    <w:rsid w:val="74987F0D"/>
    <w:rsid w:val="7608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2974</Words>
  <Characters>3060</Characters>
  <Lines>0</Lines>
  <Paragraphs>0</Paragraphs>
  <TotalTime>7</TotalTime>
  <ScaleCrop>false</ScaleCrop>
  <LinksUpToDate>false</LinksUpToDate>
  <CharactersWithSpaces>3061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2022-01-10T01:36:00Z</dcterms:created>
  <dc:creator>DELL</dc:creator>
  <cp:lastModifiedBy>WPS_1467860262</cp:lastModifiedBy>
  <dcterms:modified xsi:type="dcterms:W3CDTF">2022-01-27T08:05:11Z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79B7BF0809044549A6968D4B686E8353</vt:lpwstr>
  </property>
</Properties>
</file>