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C8" w:rsidRDefault="00F065A3">
      <w:pPr>
        <w:pStyle w:val="1"/>
        <w:jc w:val="center"/>
        <w:rPr>
          <w:rFonts w:ascii="方正小标宋_GBK" w:eastAsia="方正小标宋_GBK" w:hAnsi="方正小标宋_GBK"/>
          <w:sz w:val="30"/>
        </w:rPr>
      </w:pPr>
      <w:bookmarkStart w:id="0" w:name="_Toc24724717"/>
      <w:bookmarkStart w:id="1" w:name="_GoBack"/>
      <w:r>
        <w:rPr>
          <w:rFonts w:ascii="方正小标宋_GBK" w:eastAsia="方正小标宋_GBK" w:hAnsi="方正小标宋_GBK" w:hint="eastAsia"/>
          <w:sz w:val="30"/>
        </w:rPr>
        <w:t>保障性住房领域基层政务公开标准目录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720"/>
        <w:gridCol w:w="1274"/>
        <w:gridCol w:w="1800"/>
        <w:gridCol w:w="3600"/>
        <w:gridCol w:w="1080"/>
        <w:gridCol w:w="1080"/>
        <w:gridCol w:w="1246"/>
        <w:gridCol w:w="720"/>
        <w:gridCol w:w="709"/>
        <w:gridCol w:w="551"/>
        <w:gridCol w:w="720"/>
        <w:gridCol w:w="720"/>
        <w:gridCol w:w="720"/>
      </w:tblGrid>
      <w:tr w:rsidR="004E77C8">
        <w:trPr>
          <w:cantSplit/>
          <w:jc w:val="center"/>
        </w:trPr>
        <w:tc>
          <w:tcPr>
            <w:tcW w:w="540" w:type="dxa"/>
            <w:vMerge w:val="restart"/>
            <w:shd w:val="clear" w:color="auto" w:fill="auto"/>
            <w:noWrap/>
            <w:vAlign w:val="center"/>
          </w:tcPr>
          <w:bookmarkEnd w:id="1"/>
          <w:p w:rsidR="004E77C8" w:rsidRDefault="00F065A3">
            <w:pPr>
              <w:widowControl/>
              <w:jc w:val="center"/>
              <w:rPr>
                <w:rFonts w:ascii="Times New Roman" w:hAnsi="Times New Roman"/>
                <w:b/>
                <w:bCs/>
                <w:color w:val="000000"/>
                <w:kern w:val="0"/>
                <w:sz w:val="22"/>
              </w:rPr>
            </w:pPr>
            <w:r>
              <w:rPr>
                <w:rFonts w:ascii="Times New Roman" w:hAnsi="宋体"/>
                <w:b/>
                <w:bCs/>
                <w:color w:val="000000"/>
                <w:kern w:val="0"/>
                <w:sz w:val="22"/>
              </w:rPr>
              <w:t>序号</w:t>
            </w:r>
          </w:p>
        </w:tc>
        <w:tc>
          <w:tcPr>
            <w:tcW w:w="1994" w:type="dxa"/>
            <w:gridSpan w:val="2"/>
            <w:shd w:val="clear" w:color="auto" w:fill="auto"/>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公开事项</w:t>
            </w:r>
          </w:p>
        </w:tc>
        <w:tc>
          <w:tcPr>
            <w:tcW w:w="1800" w:type="dxa"/>
            <w:vMerge w:val="restart"/>
            <w:shd w:val="clear" w:color="auto" w:fill="FFFFFF" w:themeFill="background1"/>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公开内容（要素）</w:t>
            </w:r>
          </w:p>
        </w:tc>
        <w:tc>
          <w:tcPr>
            <w:tcW w:w="3600" w:type="dxa"/>
            <w:vMerge w:val="restart"/>
            <w:shd w:val="clear" w:color="auto" w:fill="FFFFFF" w:themeFill="background1"/>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公开依据</w:t>
            </w:r>
          </w:p>
        </w:tc>
        <w:tc>
          <w:tcPr>
            <w:tcW w:w="1080" w:type="dxa"/>
            <w:vMerge w:val="restart"/>
            <w:shd w:val="clear" w:color="auto" w:fill="FFFFFF" w:themeFill="background1"/>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公开时限</w:t>
            </w:r>
          </w:p>
        </w:tc>
        <w:tc>
          <w:tcPr>
            <w:tcW w:w="1080" w:type="dxa"/>
            <w:vMerge w:val="restart"/>
            <w:shd w:val="clear" w:color="auto" w:fill="FFFFFF" w:themeFill="background1"/>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公开主体</w:t>
            </w:r>
          </w:p>
        </w:tc>
        <w:tc>
          <w:tcPr>
            <w:tcW w:w="1246" w:type="dxa"/>
            <w:vMerge w:val="restart"/>
            <w:shd w:val="clear" w:color="auto" w:fill="FFFFFF" w:themeFill="background1"/>
            <w:noWrap/>
            <w:vAlign w:val="center"/>
          </w:tcPr>
          <w:p w:rsidR="004E77C8" w:rsidRDefault="00F065A3">
            <w:pPr>
              <w:widowControl/>
              <w:jc w:val="center"/>
              <w:rPr>
                <w:rFonts w:ascii="黑体" w:eastAsia="黑体" w:hAnsi="宋体" w:cs="宋体"/>
                <w:b/>
                <w:bCs/>
                <w:kern w:val="0"/>
                <w:sz w:val="22"/>
              </w:rPr>
            </w:pPr>
            <w:r>
              <w:rPr>
                <w:rFonts w:ascii="黑体" w:eastAsia="黑体" w:hAnsi="宋体" w:cs="宋体" w:hint="eastAsia"/>
                <w:b/>
                <w:bCs/>
                <w:kern w:val="0"/>
                <w:sz w:val="22"/>
              </w:rPr>
              <w:t>公开渠道和载体</w:t>
            </w:r>
          </w:p>
        </w:tc>
        <w:tc>
          <w:tcPr>
            <w:tcW w:w="1429" w:type="dxa"/>
            <w:gridSpan w:val="2"/>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公开对象</w:t>
            </w:r>
          </w:p>
        </w:tc>
        <w:tc>
          <w:tcPr>
            <w:tcW w:w="1271" w:type="dxa"/>
            <w:gridSpan w:val="2"/>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公开方式</w:t>
            </w:r>
          </w:p>
        </w:tc>
        <w:tc>
          <w:tcPr>
            <w:tcW w:w="1440" w:type="dxa"/>
            <w:gridSpan w:val="2"/>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公开层级</w:t>
            </w:r>
          </w:p>
        </w:tc>
      </w:tr>
      <w:tr w:rsidR="004E77C8">
        <w:trPr>
          <w:cantSplit/>
          <w:jc w:val="center"/>
        </w:trPr>
        <w:tc>
          <w:tcPr>
            <w:tcW w:w="540" w:type="dxa"/>
            <w:vMerge/>
            <w:shd w:val="clear" w:color="auto" w:fill="auto"/>
            <w:noWrap/>
            <w:vAlign w:val="center"/>
          </w:tcPr>
          <w:p w:rsidR="004E77C8" w:rsidRDefault="004E77C8">
            <w:pPr>
              <w:widowControl/>
              <w:jc w:val="left"/>
              <w:rPr>
                <w:rFonts w:ascii="Times New Roman" w:hAnsi="Times New Roman"/>
                <w:b/>
                <w:bCs/>
                <w:color w:val="000000"/>
                <w:kern w:val="0"/>
                <w:sz w:val="22"/>
              </w:rPr>
            </w:pPr>
          </w:p>
        </w:tc>
        <w:tc>
          <w:tcPr>
            <w:tcW w:w="720" w:type="dxa"/>
            <w:shd w:val="clear" w:color="auto" w:fill="auto"/>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一级事项</w:t>
            </w:r>
          </w:p>
        </w:tc>
        <w:tc>
          <w:tcPr>
            <w:tcW w:w="1274" w:type="dxa"/>
            <w:shd w:val="clear" w:color="auto" w:fill="auto"/>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二级事项</w:t>
            </w:r>
          </w:p>
        </w:tc>
        <w:tc>
          <w:tcPr>
            <w:tcW w:w="1800" w:type="dxa"/>
            <w:vMerge/>
            <w:shd w:val="clear" w:color="auto" w:fill="FFFFFF" w:themeFill="background1"/>
            <w:noWrap/>
            <w:vAlign w:val="center"/>
          </w:tcPr>
          <w:p w:rsidR="004E77C8" w:rsidRDefault="004E77C8">
            <w:pPr>
              <w:widowControl/>
              <w:jc w:val="left"/>
              <w:rPr>
                <w:rFonts w:ascii="黑体" w:eastAsia="黑体" w:hAnsi="宋体" w:cs="宋体"/>
                <w:b/>
                <w:bCs/>
                <w:color w:val="000000"/>
                <w:kern w:val="0"/>
                <w:sz w:val="22"/>
              </w:rPr>
            </w:pPr>
          </w:p>
        </w:tc>
        <w:tc>
          <w:tcPr>
            <w:tcW w:w="3600" w:type="dxa"/>
            <w:vMerge/>
            <w:shd w:val="clear" w:color="auto" w:fill="FFFFFF" w:themeFill="background1"/>
            <w:noWrap/>
            <w:vAlign w:val="center"/>
          </w:tcPr>
          <w:p w:rsidR="004E77C8" w:rsidRDefault="004E77C8">
            <w:pPr>
              <w:widowControl/>
              <w:jc w:val="left"/>
              <w:rPr>
                <w:rFonts w:ascii="黑体" w:eastAsia="黑体" w:hAnsi="宋体" w:cs="宋体"/>
                <w:b/>
                <w:bCs/>
                <w:color w:val="000000"/>
                <w:kern w:val="0"/>
                <w:sz w:val="22"/>
              </w:rPr>
            </w:pPr>
          </w:p>
        </w:tc>
        <w:tc>
          <w:tcPr>
            <w:tcW w:w="1080" w:type="dxa"/>
            <w:vMerge/>
            <w:shd w:val="clear" w:color="auto" w:fill="FFFFFF" w:themeFill="background1"/>
            <w:noWrap/>
            <w:vAlign w:val="center"/>
          </w:tcPr>
          <w:p w:rsidR="004E77C8" w:rsidRDefault="004E77C8">
            <w:pPr>
              <w:widowControl/>
              <w:jc w:val="left"/>
              <w:rPr>
                <w:rFonts w:ascii="黑体" w:eastAsia="黑体" w:hAnsi="宋体" w:cs="宋体"/>
                <w:b/>
                <w:bCs/>
                <w:color w:val="000000"/>
                <w:kern w:val="0"/>
                <w:sz w:val="22"/>
              </w:rPr>
            </w:pPr>
          </w:p>
        </w:tc>
        <w:tc>
          <w:tcPr>
            <w:tcW w:w="1080" w:type="dxa"/>
            <w:vMerge/>
            <w:shd w:val="clear" w:color="auto" w:fill="FFFFFF" w:themeFill="background1"/>
            <w:noWrap/>
            <w:vAlign w:val="center"/>
          </w:tcPr>
          <w:p w:rsidR="004E77C8" w:rsidRDefault="004E77C8">
            <w:pPr>
              <w:widowControl/>
              <w:jc w:val="left"/>
              <w:rPr>
                <w:rFonts w:ascii="黑体" w:eastAsia="黑体" w:hAnsi="宋体" w:cs="宋体"/>
                <w:b/>
                <w:bCs/>
                <w:color w:val="000000"/>
                <w:kern w:val="0"/>
                <w:sz w:val="22"/>
              </w:rPr>
            </w:pPr>
          </w:p>
        </w:tc>
        <w:tc>
          <w:tcPr>
            <w:tcW w:w="1246" w:type="dxa"/>
            <w:vMerge/>
            <w:shd w:val="clear" w:color="auto" w:fill="FFFFFF" w:themeFill="background1"/>
            <w:noWrap/>
            <w:vAlign w:val="center"/>
          </w:tcPr>
          <w:p w:rsidR="004E77C8" w:rsidRDefault="004E77C8">
            <w:pPr>
              <w:widowControl/>
              <w:jc w:val="left"/>
              <w:rPr>
                <w:rFonts w:ascii="黑体" w:eastAsia="黑体" w:hAnsi="宋体" w:cs="宋体"/>
                <w:b/>
                <w:bCs/>
                <w:kern w:val="0"/>
                <w:sz w:val="22"/>
              </w:rPr>
            </w:pPr>
          </w:p>
        </w:tc>
        <w:tc>
          <w:tcPr>
            <w:tcW w:w="720"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全社会</w:t>
            </w:r>
          </w:p>
        </w:tc>
        <w:tc>
          <w:tcPr>
            <w:tcW w:w="709"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特定群众</w:t>
            </w:r>
          </w:p>
        </w:tc>
        <w:tc>
          <w:tcPr>
            <w:tcW w:w="551"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主动</w:t>
            </w:r>
          </w:p>
        </w:tc>
        <w:tc>
          <w:tcPr>
            <w:tcW w:w="720"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依申请公开</w:t>
            </w:r>
          </w:p>
        </w:tc>
        <w:tc>
          <w:tcPr>
            <w:tcW w:w="720"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县级</w:t>
            </w:r>
          </w:p>
        </w:tc>
        <w:tc>
          <w:tcPr>
            <w:tcW w:w="720" w:type="dxa"/>
            <w:noWrap/>
            <w:vAlign w:val="center"/>
          </w:tcPr>
          <w:p w:rsidR="004E77C8" w:rsidRDefault="00F065A3">
            <w:pPr>
              <w:widowControl/>
              <w:jc w:val="center"/>
              <w:rPr>
                <w:rFonts w:ascii="黑体" w:eastAsia="黑体" w:hAnsi="宋体" w:cs="宋体"/>
                <w:b/>
                <w:bCs/>
                <w:color w:val="000000"/>
                <w:kern w:val="0"/>
                <w:sz w:val="22"/>
              </w:rPr>
            </w:pPr>
            <w:r>
              <w:rPr>
                <w:rFonts w:ascii="黑体" w:eastAsia="黑体" w:hAnsi="宋体" w:cs="宋体" w:hint="eastAsia"/>
                <w:b/>
                <w:bCs/>
                <w:color w:val="000000"/>
                <w:kern w:val="0"/>
                <w:sz w:val="22"/>
              </w:rPr>
              <w:t>乡、村级</w:t>
            </w: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法规政策</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法律法规</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文件名称；</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文号；</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发布部门；</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发布日期；</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实施日期；</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正文。</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《已购公有住房和经济适用住房上市出售管理暂行办法》、《廉租住房保障办法》、《经济适用住房管理办法》、《公共租赁住房管理办法》、《住房城乡建设部</w:t>
            </w:r>
            <w:r>
              <w:rPr>
                <w:rFonts w:ascii="仿宋_GB2312" w:eastAsia="仿宋_GB2312" w:hAnsi="宋体" w:hint="eastAsia"/>
                <w:b/>
                <w:bCs/>
                <w:color w:val="000000"/>
                <w:sz w:val="18"/>
                <w:szCs w:val="18"/>
              </w:rPr>
              <w:t xml:space="preserve"> </w:t>
            </w:r>
            <w:r>
              <w:rPr>
                <w:rFonts w:ascii="仿宋_GB2312" w:eastAsia="仿宋_GB2312" w:hAnsi="宋体" w:hint="eastAsia"/>
                <w:b/>
                <w:bCs/>
                <w:color w:val="000000"/>
                <w:sz w:val="18"/>
                <w:szCs w:val="18"/>
              </w:rPr>
              <w:t>财政部</w:t>
            </w:r>
            <w:r>
              <w:rPr>
                <w:rFonts w:ascii="仿宋_GB2312" w:eastAsia="仿宋_GB2312" w:hAnsi="宋体" w:hint="eastAsia"/>
                <w:b/>
                <w:bCs/>
                <w:color w:val="000000"/>
                <w:sz w:val="18"/>
                <w:szCs w:val="18"/>
              </w:rPr>
              <w:t xml:space="preserve"> </w:t>
            </w:r>
            <w:r>
              <w:rPr>
                <w:rFonts w:ascii="仿宋_GB2312" w:eastAsia="仿宋_GB2312" w:hAnsi="宋体" w:hint="eastAsia"/>
                <w:b/>
                <w:bCs/>
                <w:color w:val="000000"/>
                <w:sz w:val="18"/>
                <w:szCs w:val="18"/>
              </w:rPr>
              <w:t>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w:t>
            </w:r>
            <w:r>
              <w:rPr>
                <w:rFonts w:ascii="仿宋_GB2312" w:eastAsia="仿宋_GB2312" w:hAnsi="宋体" w:hint="eastAsia"/>
                <w:b/>
                <w:bCs/>
                <w:color w:val="000000"/>
                <w:sz w:val="18"/>
                <w:szCs w:val="18"/>
              </w:rPr>
              <w:t xml:space="preserve"> </w:t>
            </w:r>
            <w:r>
              <w:rPr>
                <w:rFonts w:ascii="仿宋_GB2312" w:eastAsia="仿宋_GB2312" w:hAnsi="宋体" w:hint="eastAsia"/>
                <w:b/>
                <w:bCs/>
                <w:color w:val="000000"/>
                <w:sz w:val="18"/>
                <w:szCs w:val="18"/>
              </w:rPr>
              <w:t>财政部关于做好城镇住房保障家庭租赁补贴工作的指导意见》、《国务院办</w:t>
            </w:r>
            <w:r>
              <w:rPr>
                <w:rFonts w:ascii="仿宋_GB2312" w:eastAsia="仿宋_GB2312" w:hAnsi="宋体" w:hint="eastAsia"/>
                <w:b/>
                <w:bCs/>
                <w:color w:val="000000"/>
                <w:sz w:val="18"/>
                <w:szCs w:val="18"/>
              </w:rPr>
              <w:t>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信息获取（形成、变更）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w:t>
            </w:r>
            <w:r w:rsidR="00E64139">
              <w:rPr>
                <w:rFonts w:ascii="仿宋_GB2312" w:eastAsia="仿宋_GB2312" w:hAnsi="宋体" w:hint="eastAsia"/>
                <w:b/>
                <w:bCs/>
                <w:color w:val="000000"/>
                <w:sz w:val="18"/>
                <w:szCs w:val="18"/>
              </w:rPr>
              <w:t>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政策文件</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文件名称；</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文号；</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发布部门；</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发布日期；</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实施日期；</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正文。</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4E77C8">
            <w:pPr>
              <w:jc w:val="cente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建设</w:t>
            </w:r>
            <w:r>
              <w:rPr>
                <w:rFonts w:ascii="仿宋_GB2312" w:eastAsia="仿宋_GB2312" w:hAnsi="宋体" w:hint="eastAsia"/>
                <w:b/>
                <w:bCs/>
                <w:color w:val="000000"/>
                <w:sz w:val="18"/>
                <w:szCs w:val="18"/>
              </w:rPr>
              <w:lastRenderedPageBreak/>
              <w:t>管理</w:t>
            </w:r>
          </w:p>
        </w:tc>
        <w:tc>
          <w:tcPr>
            <w:tcW w:w="1274" w:type="dxa"/>
            <w:noWrap/>
            <w:vAlign w:val="center"/>
          </w:tcPr>
          <w:p w:rsidR="004E77C8" w:rsidRDefault="004E77C8">
            <w:pPr>
              <w:jc w:val="center"/>
              <w:rPr>
                <w:rFonts w:ascii="仿宋_GB2312" w:eastAsia="仿宋_GB2312" w:hAnsi="宋体"/>
                <w:b/>
                <w:bCs/>
                <w:color w:val="000000"/>
                <w:sz w:val="18"/>
                <w:szCs w:val="18"/>
              </w:rPr>
            </w:pPr>
          </w:p>
        </w:tc>
        <w:tc>
          <w:tcPr>
            <w:tcW w:w="1800" w:type="dxa"/>
            <w:noWrap/>
            <w:vAlign w:val="center"/>
          </w:tcPr>
          <w:p w:rsidR="004E77C8" w:rsidRDefault="004E77C8">
            <w:pPr>
              <w:rPr>
                <w:rFonts w:ascii="仿宋_GB2312" w:eastAsia="仿宋_GB2312" w:hAnsi="宋体"/>
                <w:b/>
                <w:bCs/>
                <w:color w:val="000000"/>
                <w:sz w:val="18"/>
                <w:szCs w:val="18"/>
              </w:rPr>
            </w:pP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《政府信息公开条例》、《经济适用住房管理</w:t>
            </w:r>
            <w:r>
              <w:rPr>
                <w:rFonts w:ascii="仿宋_GB2312" w:eastAsia="仿宋_GB2312" w:hAnsi="宋体" w:hint="eastAsia"/>
                <w:b/>
                <w:bCs/>
                <w:color w:val="000000"/>
                <w:sz w:val="18"/>
                <w:szCs w:val="18"/>
              </w:rPr>
              <w:lastRenderedPageBreak/>
              <w:t>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信息形成</w:t>
            </w:r>
            <w:r>
              <w:rPr>
                <w:rFonts w:ascii="仿宋_GB2312" w:eastAsia="仿宋_GB2312" w:hAnsi="宋体" w:hint="eastAsia"/>
                <w:b/>
                <w:bCs/>
                <w:color w:val="000000"/>
                <w:sz w:val="18"/>
                <w:szCs w:val="18"/>
              </w:rPr>
              <w:lastRenderedPageBreak/>
              <w:t>（变更）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高新区城</w:t>
            </w:r>
            <w:r>
              <w:rPr>
                <w:rFonts w:ascii="仿宋_GB2312" w:eastAsia="仿宋_GB2312" w:hAnsi="宋体" w:hint="eastAsia"/>
                <w:b/>
                <w:bCs/>
                <w:color w:val="000000"/>
                <w:sz w:val="18"/>
                <w:szCs w:val="18"/>
              </w:rPr>
              <w:lastRenderedPageBreak/>
              <w:t>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w:t>
            </w:r>
            <w:r>
              <w:rPr>
                <w:rFonts w:ascii="仿宋_GB2312" w:eastAsia="仿宋_GB2312" w:hAnsi="宋体" w:hint="eastAsia"/>
                <w:b/>
                <w:bCs/>
                <w:color w:val="000000"/>
                <w:sz w:val="18"/>
                <w:szCs w:val="18"/>
              </w:rPr>
              <w:t>高新区管</w:t>
            </w:r>
            <w:r>
              <w:rPr>
                <w:rFonts w:ascii="仿宋_GB2312" w:eastAsia="仿宋_GB2312" w:hAnsi="宋体" w:hint="eastAsia"/>
                <w:b/>
                <w:bCs/>
                <w:color w:val="000000"/>
                <w:sz w:val="18"/>
                <w:szCs w:val="18"/>
              </w:rPr>
              <w:lastRenderedPageBreak/>
              <w:t>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3</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开工项目清单</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4</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基本建成项目清单</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项目名称；建设地址；建设单位；竣工套数；竣工时间等。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5</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竣工项目清单</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项目名称；建设地址；建设单位；竣工套数；竣工时间等。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6</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配给管理</w:t>
            </w: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保障性住房申请受理</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申请受理公告；</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申请条件、程序、期限和所需材料；</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租赁补贴发放计划。</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《经济适用住房管理办法》、《公共租赁住房管理办法》、《住房城乡建设部办公厅关于做好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r>
              <w:rPr>
                <w:rFonts w:ascii="仿宋_GB2312" w:eastAsia="仿宋_GB2312" w:hAnsi="宋体" w:hint="eastAsia"/>
                <w:b/>
                <w:bCs/>
                <w:color w:val="000000"/>
                <w:sz w:val="18"/>
                <w:szCs w:val="18"/>
              </w:rPr>
              <w:t xml:space="preserve">                           </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7</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公租房承租资格审核</w:t>
            </w:r>
          </w:p>
        </w:tc>
        <w:tc>
          <w:tcPr>
            <w:tcW w:w="18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申请受理；</w:t>
            </w:r>
            <w:r>
              <w:rPr>
                <w:rFonts w:ascii="仿宋_GB2312" w:eastAsia="仿宋_GB2312" w:hAnsi="宋体" w:hint="eastAsia"/>
                <w:b/>
                <w:bCs/>
                <w:color w:val="000000"/>
                <w:sz w:val="18"/>
                <w:szCs w:val="18"/>
              </w:rPr>
              <w:br/>
            </w:r>
            <w:r>
              <w:rPr>
                <w:rFonts w:ascii="仿宋_GB2312" w:eastAsia="仿宋_GB2312" w:hAnsi="宋体" w:hint="eastAsia"/>
                <w:b/>
                <w:bCs/>
                <w:color w:val="000000"/>
                <w:sz w:val="18"/>
                <w:szCs w:val="18"/>
              </w:rPr>
              <w:t>审核结果：申请对象姓名、身份证号</w:t>
            </w: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隐藏部分号码</w:t>
            </w: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、申请房源类型；</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8</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公租房租赁补贴或租金减免审批</w:t>
            </w:r>
          </w:p>
        </w:tc>
        <w:tc>
          <w:tcPr>
            <w:tcW w:w="1800" w:type="dxa"/>
            <w:vMerge/>
            <w:noWrap/>
            <w:vAlign w:val="center"/>
          </w:tcPr>
          <w:p w:rsidR="004E77C8" w:rsidRDefault="004E77C8">
            <w:pPr>
              <w:rPr>
                <w:rFonts w:ascii="仿宋_GB2312" w:eastAsia="仿宋_GB2312" w:hAnsi="宋体"/>
                <w:b/>
                <w:bCs/>
                <w:color w:val="000000"/>
                <w:sz w:val="18"/>
                <w:szCs w:val="18"/>
              </w:rPr>
            </w:pP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9</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经济适用住房购买资格审核</w:t>
            </w:r>
          </w:p>
        </w:tc>
        <w:tc>
          <w:tcPr>
            <w:tcW w:w="1800" w:type="dxa"/>
            <w:vMerge/>
            <w:noWrap/>
            <w:vAlign w:val="center"/>
          </w:tcPr>
          <w:p w:rsidR="004E77C8" w:rsidRDefault="004E77C8">
            <w:pPr>
              <w:rPr>
                <w:rFonts w:ascii="仿宋_GB2312" w:eastAsia="仿宋_GB2312" w:hAnsi="宋体"/>
                <w:b/>
                <w:bCs/>
                <w:color w:val="000000"/>
                <w:sz w:val="18"/>
                <w:szCs w:val="18"/>
              </w:rPr>
            </w:pP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10</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配给管理</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房源信息</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项目名称；保障性住房类型；竣工日期；地址；住房套数；待分配套数；已分配套数；套型；面积；配租配售价格；分配日期等。</w:t>
            </w:r>
          </w:p>
        </w:tc>
        <w:tc>
          <w:tcPr>
            <w:tcW w:w="36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《政府信息公开条例》、《经济适用住房管理办法》、《公共租赁住房管理办法》、《住房城乡建设部办公厅关于做好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11</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选房或摇号公告</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公告名称；发布部门；发布日期；正文，包括时间、地点、流程、注意事项等。</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《政府信息公开条例》、《经济适用住房管理办法》、《公共租赁住房管理办法》、《住房城乡建设部办公厅关于做好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12</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分配结果</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保障对象姓名；保障性住房类型；房号、面积、套型；所在建设项目名称等。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13</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办理配租配售公告</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公告名称；发布部门；发布日期；正文，包括时间、地点、流程、注意事项等。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14</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配后管理</w:t>
            </w: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公租房资格定期审核</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年审或定期审核家庭信息，含保障对象编号、姓名、身份证号﹝隐藏部分号码﹞；配租房源；套型；面积；是否审核通过；未通过原因等。</w:t>
            </w:r>
          </w:p>
        </w:tc>
        <w:tc>
          <w:tcPr>
            <w:tcW w:w="36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《公共租赁住房管理办法》、《国务院办公厅关于推进公共资源配置领域政府信息公开的意见》</w:t>
            </w:r>
          </w:p>
        </w:tc>
        <w:tc>
          <w:tcPr>
            <w:tcW w:w="108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15</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自愿退出</w:t>
            </w:r>
          </w:p>
        </w:tc>
        <w:tc>
          <w:tcPr>
            <w:tcW w:w="18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原保障对象姓名、身份证号（隐藏部分号码）；原租购项目名称、地址、类型、套型、面积等；原享受补贴面积、标准等。</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《经济适用住房管理办法》、《公共租赁住房管理办法》、《住房城乡建设部办公厅关于做好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16</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到期退出</w:t>
            </w:r>
          </w:p>
        </w:tc>
        <w:tc>
          <w:tcPr>
            <w:tcW w:w="1800" w:type="dxa"/>
            <w:vMerge/>
            <w:noWrap/>
            <w:vAlign w:val="center"/>
          </w:tcPr>
          <w:p w:rsidR="004E77C8" w:rsidRDefault="004E77C8">
            <w:pPr>
              <w:rPr>
                <w:rFonts w:ascii="仿宋_GB2312" w:eastAsia="仿宋_GB2312" w:hAnsi="宋体"/>
                <w:b/>
                <w:bCs/>
                <w:color w:val="000000"/>
                <w:sz w:val="18"/>
                <w:szCs w:val="18"/>
              </w:rPr>
            </w:pP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17</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不符合条件退出</w:t>
            </w:r>
          </w:p>
        </w:tc>
        <w:tc>
          <w:tcPr>
            <w:tcW w:w="1800" w:type="dxa"/>
            <w:vMerge/>
            <w:noWrap/>
            <w:vAlign w:val="center"/>
          </w:tcPr>
          <w:p w:rsidR="004E77C8" w:rsidRDefault="004E77C8">
            <w:pPr>
              <w:rPr>
                <w:rFonts w:ascii="仿宋_GB2312" w:eastAsia="仿宋_GB2312" w:hAnsi="宋体"/>
                <w:b/>
                <w:bCs/>
                <w:color w:val="000000"/>
                <w:sz w:val="18"/>
                <w:szCs w:val="18"/>
              </w:rPr>
            </w:pP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18</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违规处罚退出</w:t>
            </w:r>
          </w:p>
        </w:tc>
        <w:tc>
          <w:tcPr>
            <w:tcW w:w="1800" w:type="dxa"/>
            <w:vMerge/>
            <w:noWrap/>
            <w:vAlign w:val="center"/>
          </w:tcPr>
          <w:p w:rsidR="004E77C8" w:rsidRDefault="004E77C8">
            <w:pPr>
              <w:rPr>
                <w:rFonts w:ascii="仿宋_GB2312" w:eastAsia="仿宋_GB2312" w:hAnsi="宋体"/>
                <w:b/>
                <w:bCs/>
                <w:color w:val="000000"/>
                <w:sz w:val="18"/>
                <w:szCs w:val="18"/>
              </w:rPr>
            </w:pP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E64139" w:rsidTr="00193871">
        <w:trPr>
          <w:cantSplit/>
          <w:trHeight w:val="2506"/>
          <w:jc w:val="center"/>
        </w:trPr>
        <w:tc>
          <w:tcPr>
            <w:tcW w:w="540"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19</w:t>
            </w:r>
          </w:p>
          <w:p w:rsidR="00E64139" w:rsidRDefault="00E64139" w:rsidP="003A7833">
            <w:pPr>
              <w:jc w:val="center"/>
              <w:rPr>
                <w:rFonts w:ascii="仿宋_GB2312" w:eastAsia="仿宋_GB2312" w:hAnsi="宋体"/>
                <w:b/>
                <w:bCs/>
                <w:color w:val="000000"/>
                <w:sz w:val="18"/>
                <w:szCs w:val="18"/>
              </w:rPr>
            </w:pPr>
          </w:p>
        </w:tc>
        <w:tc>
          <w:tcPr>
            <w:tcW w:w="720" w:type="dxa"/>
            <w:vMerge w:val="restart"/>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配后管理</w:t>
            </w:r>
          </w:p>
        </w:tc>
        <w:tc>
          <w:tcPr>
            <w:tcW w:w="1274" w:type="dxa"/>
            <w:noWrap/>
            <w:vAlign w:val="center"/>
          </w:tcPr>
          <w:p w:rsidR="00E64139" w:rsidRDefault="00E64139" w:rsidP="00765134">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租金收取</w:t>
            </w:r>
          </w:p>
        </w:tc>
        <w:tc>
          <w:tcPr>
            <w:tcW w:w="1800" w:type="dxa"/>
            <w:noWrap/>
            <w:vAlign w:val="center"/>
          </w:tcPr>
          <w:p w:rsidR="00E64139" w:rsidRDefault="00E64139" w:rsidP="00193871">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保障对象姓名、身份证号（隐藏部分号码）；应缴租金；实收租金；未足额收取原因；租金年度、月份；收取日期；收取方式。</w:t>
            </w:r>
          </w:p>
        </w:tc>
        <w:tc>
          <w:tcPr>
            <w:tcW w:w="3600" w:type="dxa"/>
            <w:noWrap/>
            <w:vAlign w:val="center"/>
          </w:tcPr>
          <w:p w:rsidR="00E64139"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noWrap/>
            <w:vAlign w:val="center"/>
          </w:tcPr>
          <w:p w:rsidR="00E64139"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信息形成（变更）20个工作日内</w:t>
            </w:r>
          </w:p>
        </w:tc>
        <w:tc>
          <w:tcPr>
            <w:tcW w:w="1080" w:type="dxa"/>
            <w:noWrap/>
            <w:vAlign w:val="center"/>
          </w:tcPr>
          <w:p w:rsidR="00E64139"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noWrap/>
            <w:vAlign w:val="center"/>
          </w:tcPr>
          <w:p w:rsidR="00E64139"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■高新区管委网站                   </w:t>
            </w:r>
          </w:p>
          <w:p w:rsidR="00E64139" w:rsidRDefault="00E64139">
            <w:pPr>
              <w:rPr>
                <w:rFonts w:ascii="仿宋_GB2312" w:eastAsia="仿宋_GB2312" w:hAnsi="宋体"/>
                <w:b/>
                <w:bCs/>
                <w:color w:val="000000"/>
                <w:sz w:val="18"/>
                <w:szCs w:val="18"/>
              </w:rPr>
            </w:pPr>
          </w:p>
        </w:tc>
        <w:tc>
          <w:tcPr>
            <w:tcW w:w="720"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noWrap/>
            <w:vAlign w:val="center"/>
          </w:tcPr>
          <w:p w:rsidR="00E64139"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noWrap/>
            <w:vAlign w:val="center"/>
          </w:tcPr>
          <w:p w:rsidR="00E64139" w:rsidRDefault="00E64139">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2</w:t>
            </w:r>
            <w:r w:rsidR="00E64139">
              <w:rPr>
                <w:rFonts w:ascii="仿宋_GB2312" w:eastAsia="仿宋_GB2312" w:hAnsi="宋体" w:hint="eastAsia"/>
                <w:b/>
                <w:bCs/>
                <w:color w:val="000000"/>
                <w:sz w:val="18"/>
                <w:szCs w:val="18"/>
              </w:rPr>
              <w:t>0</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租金减免</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保障对象姓名、身份证号（隐藏部分号码）；保障项目名称、类型、套型、面积；原应缴租金标准、现应缴租金标准。</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《经济适用住房管理办法》、《公共租赁住房管理办法》、《住房城乡建设部办公厅关于做好</w:t>
            </w:r>
            <w:r>
              <w:rPr>
                <w:rFonts w:ascii="仿宋_GB2312" w:eastAsia="仿宋_GB2312" w:hAnsi="宋体" w:hint="eastAsia"/>
                <w:b/>
                <w:bCs/>
                <w:color w:val="000000"/>
                <w:sz w:val="18"/>
                <w:szCs w:val="18"/>
              </w:rPr>
              <w:t>2012</w:t>
            </w:r>
            <w:r>
              <w:rPr>
                <w:rFonts w:ascii="仿宋_GB2312" w:eastAsia="仿宋_GB2312" w:hAnsi="宋体" w:hint="eastAsia"/>
                <w:b/>
                <w:bCs/>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1</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腾退管理</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腾退对象；腾退日期；腾退原因；实退租金。</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2</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房屋维修</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维修内容；维修标准；维修资金来源渠道；维修单位名称；联系人，联系方式。</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3</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保障性住房调整</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保障对象姓名、身份证号（隐藏部分号码）；调整前和调整后保障项目名称、类型、套型、面积等；不予调整原因。</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4</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办事指南</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申请保障</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申请条件；申请所需材料及范本；申请流程和办理时限；申请受理（办理）机构；受理地点；咨询电话、监督电话等。</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《关于全面推进政务公开工作的意见》、《国务院关于加快推进“互联网</w:t>
            </w: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政务服务”工作的指导意见》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2</w:t>
            </w:r>
            <w:r w:rsidR="00E64139">
              <w:rPr>
                <w:rFonts w:ascii="仿宋_GB2312" w:eastAsia="仿宋_GB2312" w:hAnsi="宋体" w:hint="eastAsia"/>
                <w:b/>
                <w:bCs/>
                <w:color w:val="000000"/>
                <w:sz w:val="18"/>
                <w:szCs w:val="18"/>
              </w:rPr>
              <w:t>5</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合同备案</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合同范本；备案机构；受理地点；咨询电话等。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6</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申请租金减免</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申请所需材料及范本；申请流程和办理时限；申请受理（办理）机构；受理地点；咨询电话、监督电话等。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7</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办事指南</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缴纳租金</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租金标准；缴纳方式、时限；受理（办理）机构；咨询电话、监督电话等。</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《关于全面推进政务公开工作的意见》、《国务院关于加快推进“互联网</w:t>
            </w: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政务服务”工作的指导意见》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w:t>
            </w:r>
            <w:r w:rsidR="00E64139">
              <w:rPr>
                <w:rFonts w:ascii="仿宋_GB2312" w:eastAsia="仿宋_GB2312" w:hAnsi="宋体" w:hint="eastAsia"/>
                <w:b/>
                <w:bCs/>
                <w:color w:val="000000"/>
                <w:sz w:val="18"/>
                <w:szCs w:val="18"/>
              </w:rPr>
              <w:t>8</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保障性住房调换</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申请所需材料及范本；申请方式、流程；申请受理（办理）机构；受理地点；咨询电话、监督电话等。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29</w:t>
            </w:r>
          </w:p>
        </w:tc>
        <w:tc>
          <w:tcPr>
            <w:tcW w:w="720" w:type="dxa"/>
            <w:vMerge/>
            <w:noWrap/>
            <w:vAlign w:val="center"/>
          </w:tcPr>
          <w:p w:rsidR="004E77C8" w:rsidRDefault="004E77C8">
            <w:pPr>
              <w:jc w:val="center"/>
              <w:rPr>
                <w:rFonts w:ascii="仿宋_GB2312" w:eastAsia="仿宋_GB2312" w:hAnsi="宋体"/>
                <w:b/>
                <w:bCs/>
                <w:color w:val="000000"/>
                <w:sz w:val="18"/>
                <w:szCs w:val="18"/>
              </w:rPr>
            </w:pP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自愿退出</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申请所需材料及范本；申请方式、流程；申请受理（办理）机构；受理地点；咨询电话、监督电话等。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3</w:t>
            </w:r>
            <w:r w:rsidR="00E64139">
              <w:rPr>
                <w:rFonts w:ascii="仿宋_GB2312" w:eastAsia="仿宋_GB2312" w:hAnsi="宋体" w:hint="eastAsia"/>
                <w:b/>
                <w:bCs/>
                <w:color w:val="000000"/>
                <w:sz w:val="18"/>
                <w:szCs w:val="18"/>
              </w:rPr>
              <w:t>0</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政策解读</w:t>
            </w: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本级政策解读</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解读主体；解读内容；解读方式；解读时间等。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lastRenderedPageBreak/>
              <w:t>3</w:t>
            </w:r>
            <w:r w:rsidR="00E64139">
              <w:rPr>
                <w:rFonts w:ascii="仿宋_GB2312" w:eastAsia="仿宋_GB2312" w:hAnsi="宋体" w:hint="eastAsia"/>
                <w:b/>
                <w:bCs/>
                <w:color w:val="000000"/>
                <w:sz w:val="18"/>
                <w:szCs w:val="18"/>
              </w:rPr>
              <w:t>1</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回应关切</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主动回应</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公众提出的意见建议及回复情况；公开突发事件应对情况等。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3</w:t>
            </w:r>
            <w:r w:rsidR="00E64139">
              <w:rPr>
                <w:rFonts w:ascii="仿宋_GB2312" w:eastAsia="仿宋_GB2312" w:hAnsi="宋体" w:hint="eastAsia"/>
                <w:b/>
                <w:bCs/>
                <w:color w:val="000000"/>
                <w:sz w:val="18"/>
                <w:szCs w:val="18"/>
              </w:rPr>
              <w:t>2</w:t>
            </w:r>
          </w:p>
        </w:tc>
        <w:tc>
          <w:tcPr>
            <w:tcW w:w="720"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回应关切</w:t>
            </w:r>
          </w:p>
        </w:tc>
        <w:tc>
          <w:tcPr>
            <w:tcW w:w="1274" w:type="dxa"/>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互动回应</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在收集分析研判舆情的基础上，针对舆论关注的焦点、热点和关键问题的互动回应内容。</w:t>
            </w:r>
          </w:p>
        </w:tc>
        <w:tc>
          <w:tcPr>
            <w:tcW w:w="360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《关于全面推进政务公开工作的意见》、《国务院办公厅关于推进公共资源配置领域政府信息公开的意见》</w:t>
            </w:r>
          </w:p>
        </w:tc>
        <w:tc>
          <w:tcPr>
            <w:tcW w:w="1080"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信息形成（变更）</w:t>
            </w:r>
            <w:r>
              <w:rPr>
                <w:rFonts w:ascii="仿宋_GB2312" w:eastAsia="仿宋_GB2312" w:hAnsi="宋体" w:hint="eastAsia"/>
                <w:b/>
                <w:bCs/>
                <w:color w:val="000000"/>
                <w:sz w:val="18"/>
                <w:szCs w:val="18"/>
              </w:rPr>
              <w:t>20</w:t>
            </w:r>
            <w:r>
              <w:rPr>
                <w:rFonts w:ascii="仿宋_GB2312" w:eastAsia="仿宋_GB2312" w:hAnsi="宋体" w:hint="eastAsia"/>
                <w:b/>
                <w:bCs/>
                <w:color w:val="000000"/>
                <w:sz w:val="18"/>
                <w:szCs w:val="18"/>
              </w:rPr>
              <w:t>个工作日内</w:t>
            </w:r>
          </w:p>
        </w:tc>
        <w:tc>
          <w:tcPr>
            <w:tcW w:w="1080" w:type="dxa"/>
            <w:vMerge w:val="restart"/>
            <w:noWrap/>
            <w:vAlign w:val="center"/>
          </w:tcPr>
          <w:p w:rsidR="004E77C8" w:rsidRDefault="00E64139">
            <w:pPr>
              <w:rPr>
                <w:rFonts w:ascii="仿宋_GB2312" w:eastAsia="仿宋_GB2312" w:hAnsi="宋体"/>
                <w:b/>
                <w:bCs/>
                <w:color w:val="000000"/>
                <w:sz w:val="18"/>
                <w:szCs w:val="18"/>
              </w:rPr>
            </w:pPr>
            <w:r>
              <w:rPr>
                <w:rFonts w:ascii="仿宋_GB2312" w:eastAsia="仿宋_GB2312" w:hAnsi="宋体" w:hint="eastAsia"/>
                <w:b/>
                <w:bCs/>
                <w:color w:val="000000"/>
                <w:sz w:val="18"/>
                <w:szCs w:val="18"/>
              </w:rPr>
              <w:t>高新区城乡建设和交通局</w:t>
            </w:r>
          </w:p>
        </w:tc>
        <w:tc>
          <w:tcPr>
            <w:tcW w:w="1246" w:type="dxa"/>
            <w:vMerge w:val="restart"/>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r>
              <w:rPr>
                <w:rFonts w:ascii="仿宋_GB2312" w:eastAsia="仿宋_GB2312" w:hAnsi="宋体" w:hint="eastAsia"/>
                <w:b/>
                <w:bCs/>
                <w:color w:val="000000"/>
                <w:sz w:val="18"/>
                <w:szCs w:val="18"/>
              </w:rPr>
              <w:t>高新区管委</w:t>
            </w:r>
            <w:r>
              <w:rPr>
                <w:rFonts w:ascii="仿宋_GB2312" w:eastAsia="仿宋_GB2312" w:hAnsi="宋体" w:hint="eastAsia"/>
                <w:b/>
                <w:bCs/>
                <w:color w:val="000000"/>
                <w:sz w:val="18"/>
                <w:szCs w:val="18"/>
              </w:rPr>
              <w:t>网站</w:t>
            </w:r>
            <w:r>
              <w:rPr>
                <w:rFonts w:ascii="仿宋_GB2312" w:eastAsia="仿宋_GB2312" w:hAnsi="宋体" w:hint="eastAsia"/>
                <w:b/>
                <w:bCs/>
                <w:color w:val="000000"/>
                <w:sz w:val="18"/>
                <w:szCs w:val="18"/>
              </w:rPr>
              <w:t xml:space="preserve">                   </w:t>
            </w:r>
          </w:p>
          <w:p w:rsidR="004E77C8" w:rsidRDefault="004E77C8">
            <w:pPr>
              <w:rPr>
                <w:rFonts w:ascii="仿宋_GB2312" w:eastAsia="仿宋_GB2312" w:hAnsi="宋体"/>
                <w:b/>
                <w:bCs/>
                <w:color w:val="000000"/>
                <w:sz w:val="18"/>
                <w:szCs w:val="18"/>
              </w:rPr>
            </w:pP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09"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551"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 xml:space="preserve">　</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w:t>
            </w:r>
          </w:p>
        </w:tc>
        <w:tc>
          <w:tcPr>
            <w:tcW w:w="720" w:type="dxa"/>
            <w:vMerge w:val="restart"/>
            <w:noWrap/>
            <w:vAlign w:val="center"/>
          </w:tcPr>
          <w:p w:rsidR="004E77C8" w:rsidRDefault="004E77C8">
            <w:pPr>
              <w:jc w:val="cente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3</w:t>
            </w:r>
            <w:r w:rsidR="00E64139">
              <w:rPr>
                <w:rFonts w:ascii="仿宋_GB2312" w:eastAsia="仿宋_GB2312" w:hAnsi="宋体" w:hint="eastAsia"/>
                <w:b/>
                <w:bCs/>
                <w:color w:val="000000"/>
                <w:sz w:val="18"/>
                <w:szCs w:val="18"/>
              </w:rPr>
              <w:t>3</w:t>
            </w:r>
          </w:p>
        </w:tc>
        <w:tc>
          <w:tcPr>
            <w:tcW w:w="720" w:type="dxa"/>
            <w:vMerge w:val="restart"/>
            <w:noWrap/>
            <w:vAlign w:val="center"/>
          </w:tcPr>
          <w:p w:rsidR="004E77C8" w:rsidRDefault="00F065A3">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评价结果</w:t>
            </w: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上级评价、表彰情况</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上级对本地区保障性住房领域年度工作完成情况的评价、通报、排名；获上级表彰、入围上级推广示范情况等。</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r w:rsidR="004E77C8">
        <w:trPr>
          <w:cantSplit/>
          <w:jc w:val="center"/>
        </w:trPr>
        <w:tc>
          <w:tcPr>
            <w:tcW w:w="540" w:type="dxa"/>
            <w:noWrap/>
            <w:vAlign w:val="center"/>
          </w:tcPr>
          <w:p w:rsidR="004E77C8" w:rsidRDefault="00F065A3" w:rsidP="00E64139">
            <w:pPr>
              <w:jc w:val="center"/>
              <w:rPr>
                <w:rFonts w:ascii="仿宋_GB2312" w:eastAsia="仿宋_GB2312" w:hAnsi="宋体"/>
                <w:b/>
                <w:bCs/>
                <w:color w:val="000000"/>
                <w:sz w:val="18"/>
                <w:szCs w:val="18"/>
              </w:rPr>
            </w:pPr>
            <w:r>
              <w:rPr>
                <w:rFonts w:ascii="仿宋_GB2312" w:eastAsia="仿宋_GB2312" w:hAnsi="宋体" w:hint="eastAsia"/>
                <w:b/>
                <w:bCs/>
                <w:color w:val="000000"/>
                <w:sz w:val="18"/>
                <w:szCs w:val="18"/>
              </w:rPr>
              <w:t>3</w:t>
            </w:r>
            <w:r w:rsidR="00E64139">
              <w:rPr>
                <w:rFonts w:ascii="仿宋_GB2312" w:eastAsia="仿宋_GB2312" w:hAnsi="宋体" w:hint="eastAsia"/>
                <w:b/>
                <w:bCs/>
                <w:color w:val="000000"/>
                <w:sz w:val="18"/>
                <w:szCs w:val="18"/>
              </w:rPr>
              <w:t>4</w:t>
            </w:r>
          </w:p>
        </w:tc>
        <w:tc>
          <w:tcPr>
            <w:tcW w:w="720" w:type="dxa"/>
            <w:vMerge/>
            <w:noWrap/>
            <w:vAlign w:val="center"/>
          </w:tcPr>
          <w:p w:rsidR="004E77C8" w:rsidRDefault="004E77C8">
            <w:pPr>
              <w:rPr>
                <w:rFonts w:ascii="仿宋_GB2312" w:eastAsia="仿宋_GB2312" w:hAnsi="宋体"/>
                <w:b/>
                <w:bCs/>
                <w:color w:val="000000"/>
                <w:sz w:val="18"/>
                <w:szCs w:val="18"/>
              </w:rPr>
            </w:pPr>
          </w:p>
        </w:tc>
        <w:tc>
          <w:tcPr>
            <w:tcW w:w="1274"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社会评价情况</w:t>
            </w:r>
          </w:p>
        </w:tc>
        <w:tc>
          <w:tcPr>
            <w:tcW w:w="1800" w:type="dxa"/>
            <w:noWrap/>
            <w:vAlign w:val="center"/>
          </w:tcPr>
          <w:p w:rsidR="004E77C8" w:rsidRDefault="00F065A3">
            <w:pPr>
              <w:rPr>
                <w:rFonts w:ascii="仿宋_GB2312" w:eastAsia="仿宋_GB2312" w:hAnsi="宋体"/>
                <w:b/>
                <w:bCs/>
                <w:color w:val="000000"/>
                <w:sz w:val="18"/>
                <w:szCs w:val="18"/>
              </w:rPr>
            </w:pPr>
            <w:r>
              <w:rPr>
                <w:rFonts w:ascii="仿宋_GB2312" w:eastAsia="仿宋_GB2312" w:hAnsi="宋体" w:hint="eastAsia"/>
                <w:b/>
                <w:bCs/>
                <w:color w:val="000000"/>
                <w:sz w:val="18"/>
                <w:szCs w:val="18"/>
              </w:rPr>
              <w:t>公众对保障性住房工作满意度评价。</w:t>
            </w:r>
          </w:p>
        </w:tc>
        <w:tc>
          <w:tcPr>
            <w:tcW w:w="360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080" w:type="dxa"/>
            <w:vMerge/>
            <w:noWrap/>
            <w:vAlign w:val="center"/>
          </w:tcPr>
          <w:p w:rsidR="004E77C8" w:rsidRDefault="004E77C8">
            <w:pPr>
              <w:rPr>
                <w:rFonts w:ascii="仿宋_GB2312" w:eastAsia="仿宋_GB2312" w:hAnsi="宋体"/>
                <w:b/>
                <w:bCs/>
                <w:color w:val="000000"/>
                <w:sz w:val="18"/>
                <w:szCs w:val="18"/>
              </w:rPr>
            </w:pPr>
          </w:p>
        </w:tc>
        <w:tc>
          <w:tcPr>
            <w:tcW w:w="1246"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09" w:type="dxa"/>
            <w:vMerge/>
            <w:noWrap/>
            <w:vAlign w:val="center"/>
          </w:tcPr>
          <w:p w:rsidR="004E77C8" w:rsidRDefault="004E77C8">
            <w:pPr>
              <w:rPr>
                <w:rFonts w:ascii="仿宋_GB2312" w:eastAsia="仿宋_GB2312" w:hAnsi="宋体"/>
                <w:b/>
                <w:bCs/>
                <w:color w:val="000000"/>
                <w:sz w:val="18"/>
                <w:szCs w:val="18"/>
              </w:rPr>
            </w:pPr>
          </w:p>
        </w:tc>
        <w:tc>
          <w:tcPr>
            <w:tcW w:w="551"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c>
          <w:tcPr>
            <w:tcW w:w="720" w:type="dxa"/>
            <w:vMerge/>
            <w:noWrap/>
            <w:vAlign w:val="center"/>
          </w:tcPr>
          <w:p w:rsidR="004E77C8" w:rsidRDefault="004E77C8">
            <w:pPr>
              <w:rPr>
                <w:rFonts w:ascii="仿宋_GB2312" w:eastAsia="仿宋_GB2312" w:hAnsi="宋体"/>
                <w:b/>
                <w:bCs/>
                <w:color w:val="000000"/>
                <w:sz w:val="18"/>
                <w:szCs w:val="18"/>
              </w:rPr>
            </w:pPr>
          </w:p>
        </w:tc>
      </w:tr>
    </w:tbl>
    <w:p w:rsidR="004E77C8" w:rsidRDefault="004E77C8" w:rsidP="00E64139"/>
    <w:sectPr w:rsidR="004E77C8" w:rsidSect="004E77C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A3" w:rsidRDefault="00F065A3" w:rsidP="00E64139">
      <w:r>
        <w:separator/>
      </w:r>
    </w:p>
  </w:endnote>
  <w:endnote w:type="continuationSeparator" w:id="1">
    <w:p w:rsidR="00F065A3" w:rsidRDefault="00F065A3" w:rsidP="00E64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A3" w:rsidRDefault="00F065A3" w:rsidP="00E64139">
      <w:r>
        <w:separator/>
      </w:r>
    </w:p>
  </w:footnote>
  <w:footnote w:type="continuationSeparator" w:id="1">
    <w:p w:rsidR="00F065A3" w:rsidRDefault="00F065A3" w:rsidP="00E641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99E3440"/>
    <w:rsid w:val="004E77C8"/>
    <w:rsid w:val="00E64139"/>
    <w:rsid w:val="00F065A3"/>
    <w:rsid w:val="499E3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7C8"/>
    <w:pPr>
      <w:widowControl w:val="0"/>
      <w:jc w:val="both"/>
    </w:pPr>
    <w:rPr>
      <w:rFonts w:ascii="Calibri" w:hAnsi="Calibri"/>
      <w:kern w:val="2"/>
      <w:sz w:val="21"/>
      <w:szCs w:val="22"/>
    </w:rPr>
  </w:style>
  <w:style w:type="paragraph" w:styleId="1">
    <w:name w:val="heading 1"/>
    <w:basedOn w:val="a"/>
    <w:next w:val="a"/>
    <w:qFormat/>
    <w:rsid w:val="004E77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64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4139"/>
    <w:rPr>
      <w:rFonts w:ascii="Calibri" w:hAnsi="Calibri"/>
      <w:kern w:val="2"/>
      <w:sz w:val="18"/>
      <w:szCs w:val="18"/>
    </w:rPr>
  </w:style>
  <w:style w:type="paragraph" w:styleId="a4">
    <w:name w:val="footer"/>
    <w:basedOn w:val="a"/>
    <w:link w:val="Char0"/>
    <w:rsid w:val="00E64139"/>
    <w:pPr>
      <w:tabs>
        <w:tab w:val="center" w:pos="4153"/>
        <w:tab w:val="right" w:pos="8306"/>
      </w:tabs>
      <w:snapToGrid w:val="0"/>
      <w:jc w:val="left"/>
    </w:pPr>
    <w:rPr>
      <w:sz w:val="18"/>
      <w:szCs w:val="18"/>
    </w:rPr>
  </w:style>
  <w:style w:type="character" w:customStyle="1" w:styleId="Char0">
    <w:name w:val="页脚 Char"/>
    <w:basedOn w:val="a0"/>
    <w:link w:val="a4"/>
    <w:rsid w:val="00E6413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616</Words>
  <Characters>3517</Characters>
  <Application>Microsoft Office Word</Application>
  <DocSecurity>0</DocSecurity>
  <Lines>29</Lines>
  <Paragraphs>8</Paragraphs>
  <ScaleCrop>false</ScaleCrop>
  <Company>Microsoft</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2020-09-10T01:12:00Z</dcterms:created>
  <dcterms:modified xsi:type="dcterms:W3CDTF">2020-09-15T07:42:00Z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