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黑体简体" w:hAnsi="方正黑体简体" w:eastAsia="方正黑体简体" w:cs="方正黑体简体"/>
          <w:bCs/>
          <w:color w:val="000000"/>
          <w:sz w:val="32"/>
          <w:szCs w:val="32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仿宋简体" w:eastAsia="方正仿宋简体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方正仿宋简体" w:eastAsia="方正仿宋简体"/>
          <w:bCs/>
          <w:color w:val="000000"/>
          <w:sz w:val="32"/>
          <w:szCs w:val="32"/>
        </w:rPr>
        <w:t>济高新管发〔2020〕</w:t>
      </w:r>
      <w:r>
        <w:rPr>
          <w:rFonts w:hint="eastAsia" w:ascii="方正仿宋简体" w:eastAsia="方正仿宋简体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bCs/>
          <w:color w:val="000000"/>
          <w:sz w:val="32"/>
          <w:szCs w:val="32"/>
        </w:rPr>
        <w:t>号</w:t>
      </w:r>
    </w:p>
    <w:p>
      <w:pPr>
        <w:spacing w:line="540" w:lineRule="exact"/>
        <w:rPr>
          <w:color w:val="000000"/>
        </w:rPr>
      </w:pPr>
    </w:p>
    <w:p>
      <w:pPr>
        <w:spacing w:line="540" w:lineRule="exact"/>
        <w:rPr>
          <w:color w:val="000000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济宁高新区管委会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关于公布2019年度工业企业“亩产效益”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综合评价结果的通知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各街道办事处，区直各部门单位，各驻区单位，各园区：</w:t>
      </w:r>
    </w:p>
    <w:p>
      <w:pPr>
        <w:adjustRightInd w:val="0"/>
        <w:snapToGrid w:val="0"/>
        <w:spacing w:line="5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根据《济宁市人民政府</w:t>
      </w:r>
      <w:bookmarkStart w:id="0" w:name="BKsubject"/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关于开展“亩产效益”评价改革工作的实施意见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》（济政字〔2020〕36号）文件精神，按照企业亩产效益指标并结合其他指标，经周密组织、稳步推进，已完成2019年工业企业 “亩产效益”分类综合评价工作，确认辰欣药业股份有限公司等39家为A类（优先发展类）企业，山东天虹纺织有限公司等77家为B类（支持发展类）企业，山东祥通橡塑集团有限公司等95家为C类（提升发展类）企业，济宁宝弟建材有限公司等10家为D类（限制发展类）企业，济宁华润高新燃气有限公司等33家为T类（暂不评价类）企业，现予以公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有关部门要依据企业“亩产效益”综合评价结果，在资源配置上按照A类优先保障，B类积极支持，C类相对控制，D类严格限制的原则，依法依规制定实施用地、用电、用水、排污等资源要素差别化政策，推进资源要素向综合评价高的企业集聚，提升资源要素利用效率。</w:t>
      </w:r>
    </w:p>
    <w:p>
      <w:pPr>
        <w:adjustRightInd w:val="0"/>
        <w:snapToGrid w:val="0"/>
        <w:spacing w:line="5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2019年度全区工业企业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亩产效益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综合评价企业</w:t>
      </w:r>
    </w:p>
    <w:p>
      <w:pPr>
        <w:adjustRightInd w:val="0"/>
        <w:snapToGrid w:val="0"/>
        <w:spacing w:line="580" w:lineRule="exact"/>
        <w:ind w:firstLine="1590" w:firstLineChars="5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"/>
          <w:sz w:val="32"/>
          <w:szCs w:val="32"/>
        </w:rPr>
        <w:t>名单</w:t>
      </w:r>
    </w:p>
    <w:p>
      <w:pPr>
        <w:spacing w:line="580" w:lineRule="exact"/>
        <w:rPr>
          <w:rFonts w:hint="eastAsia" w:ascii="方正黑体简体" w:eastAsia="方正黑体简体" w:hAnsiTheme="minorEastAsia"/>
          <w:sz w:val="32"/>
          <w:szCs w:val="32"/>
        </w:rPr>
      </w:pPr>
    </w:p>
    <w:p>
      <w:pPr>
        <w:spacing w:line="580" w:lineRule="exact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黑体简体" w:eastAsia="方正黑体简体" w:hAnsiTheme="minorEastAsia"/>
          <w:sz w:val="32"/>
          <w:szCs w:val="32"/>
        </w:rPr>
        <w:t xml:space="preserve">                                  </w:t>
      </w:r>
      <w:r>
        <w:rPr>
          <w:rFonts w:hint="eastAsia" w:ascii="方正黑体简体" w:eastAsia="方正黑体简体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kern w:val="0"/>
          <w:sz w:val="32"/>
          <w:szCs w:val="32"/>
        </w:rPr>
        <w:t>济宁高新区管委会</w:t>
      </w:r>
    </w:p>
    <w:p>
      <w:pPr>
        <w:spacing w:line="580" w:lineRule="exact"/>
        <w:ind w:firstLine="4800" w:firstLineChars="15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 xml:space="preserve">     2020年6月</w:t>
      </w:r>
      <w:r>
        <w:rPr>
          <w:rFonts w:hint="eastAsia" w:ascii="方正仿宋简体" w:eastAsia="方正仿宋简体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简体" w:eastAsia="方正仿宋简体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方正黑体简体" w:eastAsia="方正黑体简体" w:hAnsiTheme="minorEastAsia"/>
          <w:sz w:val="32"/>
          <w:szCs w:val="32"/>
        </w:rPr>
      </w:pPr>
      <w:r>
        <w:rPr>
          <w:rFonts w:ascii="方正黑体简体" w:eastAsia="方正黑体简体" w:hAnsiTheme="minorEastAsia"/>
          <w:sz w:val="32"/>
          <w:szCs w:val="32"/>
        </w:rPr>
        <w:br w:type="page"/>
      </w:r>
    </w:p>
    <w:p>
      <w:pPr>
        <w:jc w:val="left"/>
        <w:rPr>
          <w:rFonts w:hint="eastAsia" w:ascii="方正黑体简体" w:eastAsia="方正黑体简体" w:hAnsiTheme="minorEastAsia"/>
          <w:sz w:val="32"/>
          <w:szCs w:val="32"/>
        </w:rPr>
      </w:pPr>
      <w:r>
        <w:rPr>
          <w:rFonts w:hint="eastAsia" w:ascii="方正黑体简体" w:eastAsia="方正黑体简体" w:hAnsiTheme="minorEastAsia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left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2019年度全区工业企业“亩产效益”综合评价企业名单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909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2977"/>
        <w:gridCol w:w="708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辰欣药业股份有限公司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小松(山东)工程机械有限公司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小松山推工程机械有限公司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山东许厂煤矿有限公司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中国重汽集团济宁商用车有限公司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山推工程机械股份有限公司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伊顿液压系统(济宁)有限公司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凯登制浆设备(中国)有限公司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山东如意毛纺服装集团股份有限公司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伊顿工业（济宁）有限公司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巴斯夫浩珂矿业化学（中国）有限公司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济宁永生重工机械制造有限公司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大京(山东)有限公司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山东源根石油化工有限公司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捷马(济宁)矿山支护设备制造有限公司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山东鲁抗医药股份有限公司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山东拓新电气有限公司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山东山推工程机械结构件有限公司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济宁耀坤机械有限公司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萨维奥(山东)纺织机械有限公司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山东山推欧亚陀机械有限公司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山东科大机电科技股份有限公司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山东莱恩光电科技股份有限公司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济宁市凯圣机械制造有限公司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高周波热炼（中国）轴承有限公司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济宁市吉华工程机械有限公司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兴和(山东)机械有限公司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济宁华能制药厂有限公司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山东佳和环保科技有限公司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济宁科力光电产业有限责任公司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山东隆城通用设备有限公司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济宁东兴源建筑工程有限公司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济宁奥太电气有限公司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济宁市火炬书刊印务中心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山东宏顺玻璃钢有限责任公司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济宁东洋热交换器有限公司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山东特瑞电力器材有限公司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山东益健药业有限公司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山东澜风电气有限公司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山东天虹纺织有限公司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山东胜利生物工程有限公司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浩珂科技有限公司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山东泰丰智能控制股份有限公司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济宁锐博工程机械有限公司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明治医药（山东）有限公司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山东东宇工程机械有限公司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莱尼电气系统（济宁）有限公司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艾美科健（中国）生物医药有限公司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山东东岳专用汽车制造有限公司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艾瑞德车轮（山东）有限公司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山东省田庄煤矿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山东帝胜变速器有限公司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济宁市松岳建设机械有限公司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山东天博食品配料有限公司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济宁矿业集团有限公司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胜代机械（山东）有限公司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山东博选矿物资源技术开发有限公司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山东通佳机械有限公司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山东小松油品有限公司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山东金固汽车零部件有限公司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山东广育堂国药有限公司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山东裕欣机电制造有限公司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山东赛瓦特动力设备有限公司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福瑞珂食品设备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济宁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山东如意科技集团有限公司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18纺织服装、服饰业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山东博特精工股份有限公司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山东沃林重工机械有限公司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济宁众一机械设备有限公司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济宁市天地混凝土有限公司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山东鲁能光大钢结构有限公司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济宁七星地毯有限公司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济宁中晋砼业有限公司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济宁力科液压有限责任公司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山东恒得方工程机械有限公司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济宁市超诚混凝土有限公司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山东宇傲工程机械有限公司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山东山推胜方工程机械有限公司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济宁金水科技有限公司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济宁恒基商品混凝土有限公司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山东富扬科技包装材料有限公司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济宁新高乡液压管件有限公司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济宁松达工程机械有限公司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济宁东达机电有限责任公司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共和机械（山东）有限公司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济宁精益轴承有限公司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山东国能工程有限公司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山东中艺橡塑有限公司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济宁市无界科技有限公司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济宁金百特生物机械有限公司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山东华珠机械有限公司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山东中奥电力设备有限公司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济宁建能矿山机械有限责任公司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兖矿济宁化工装备有限公司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济宁兴发弹簧有限公司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山东德科电气有限公司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济宁大成油脂有限公司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13农副食品加工业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山东沃克液力传动有限公司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山东凯斯达机械制造有限公司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山东巨能混凝土有限公司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山东恒远工程机械有限公司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济宁市五创机械有限公司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济宁精工锻造有限公司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山东太阳耐磨件有限公司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济宁市勤创机械有限公司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山东省济宁市恒兴金属结构有限公司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济宁精锐液压有限公司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济宁沃尔德机械设备有限公司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山东通佳智能装备有限公司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济宁市同创工矿设备有限公司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济宁和信工程机械有限公司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山东济宁天宇钢结构有限公司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济宁聚源环保建材有限公司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山东英特力新材料有限公司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山东仝锐电气有限公司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中运智能机械有限公司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济宁市华光矿山设备有限公司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山东祥通橡塑集团有限公司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山推铸钢有限公司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山东路得威工程机械制造有限公司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济宁玉柴发动机有限公司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山东山防防爆电机有限公司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山重建机（济宁）有限公司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济宁骏达机械制造有限公司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济宁科尔森液压有限公司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济宁如意高新纤维材料有限公司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28化学纤维制造业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山东明达圣昌铝业集团有限公司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山东山矿重工有限公司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山东鲁宏恒久混凝土工程有限公司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山东高兴新材料股份有限公司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20木材加工和木、竹、藤、棕、草制品业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山东济宁九星无纺材料有限公司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济宁市信慧化工科技有限公司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山东金泽生物科技有限公司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济宁市金常青机械有限责任公司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山东杰威迅电子科技有限公司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济宁山推奥特工程机械有限公司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济宁万嘉石油化工有限公司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济宁市海龙机械有限责任公司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山东力冠液压器材有限公司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山东强力标准件制造有限公司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济宁五颗星表计有限公司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山东欣瑞电气有限公司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济宁恒通电气集团有限公司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济宁恒泰弹簧有限公司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山东大成钢结构工程有限公司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山东润隆机械有限公司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济宁永旺机械有限公司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山东铭德港城机械有限公司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济宁恒通钢结构网架有限公司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济宁环宇钢结构有限公司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山东精欣智能设备制造有限公司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37铁路、船舶、航空航天和其他运输设备制造业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济宁智能工程机械有限公司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济宁启功机械制造有限公司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山东友一机械科技有限公司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济宁裕祥塑业有限公司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华禹威达机电科技有限公司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山东高德盛通纸业有限公司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22造纸和纸制品业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山东兴智机械有限公司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济宁市福瑞得机械有限公司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济宁拓天新型门窗有限公司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山东辰星工程机械有限公司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山东富美达新材料有限公司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济宁易腾液压有限公司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山东利生食品集团有限公司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山东九安润滑科技有限公司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25石油、煤炭及其他燃料加工业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山东恩国工程机械有限公司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济宁四通钢结构有限公司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济宁东海工程机械有限公司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济宁市恒昱无纺地毯有限公司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24文教、工美、体育和娱乐用品制造业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山东沃尔华管业有限公司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济宁锐堡特五金有限公司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济宁天裕化纤机械有限公司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济宁博特科技有限公司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山东融都建筑科技有限公司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山东铭德机械有限公司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山东康洁利新材料有限公司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济宁市鼎琛工贸有限公司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济宁百优特管业有限公司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济宁本斯工贸有限公司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山东劲迈精密机械有限公司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济宁瑞通金属结构有限公司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山东宝元包装新材料科技有限公司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济宁双亿汽车电子有限公司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山东立派机械集团有限公司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山东众擎机械有限公司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山东聚宁机械有限公司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济宁邦尔中药饮片有限公司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山东高创数控设备有限公司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济宁辉煌钢结构工程有限公司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山东华业包装材料有限公司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济宁鲁科检测器材有限公司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济宁山重新能源有限公司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济宁迈斯伯尔机械股份有限公司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济宁如意家纺有限公司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济宁凯瑞德机械设备有限公司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山东康洁洗涤有限公司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山东济宁天力液压机械有限公司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济宁东成塑料包装有限公司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济宁小林环境科技有限公司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济宁市欣和食品有限公司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山东通力重工有限公司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山东新达包装科技有限公司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23印刷和记录媒介复制业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济宁锐志德工程机械有限公司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济宁枫晶工程机械有限公司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山东奥斯登房车有限公司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36汽车制造业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济宁乐赛智能科技有限公司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山东英克莱集团有限公司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济宁德尚源机械设备有限公司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山东国能实业有限公司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山东九尔实业集团有限公司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27医药制造业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山东九尔医药生物科技有限公司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济宁市聚轩工程机械有限公司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济宁宝弟建材有限公司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山东环亚重钢结构有限公司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山东金山包装材料科技有限公司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29橡胶和塑料制品业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济宁鹏润金属结构有限公司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济宁科电检测仪器有限公司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40仪器仪表制造业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济宁市顺成面业有限公司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14食品制造业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济宁亨瑞食品有限公司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13农副食品加工业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山东鸿顺聚诚砼业有限公司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山东鑫西南铝材有限公司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济宁华荣五金制品有限公司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济宁华润高新燃气有限公司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45燃气生产和供应业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山东鲁抗中和环保科技有限公司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46水的生产和供应业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华能济宁高新区热电有限公司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济宁中石油昆仑能源有限公司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45燃气生产和供应业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济宁高新公用事业发展股份有限公司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济宁市东郊热电有限公司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济宁银河水务有限公司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46水的生产和供应业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济宁华瀚光伏能源有限公司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济宁市雪兖热电有限公司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山东聚源热力有限责任公司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44电力、热力生产和供应业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山东欧化印染家纺有限公司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17纺织业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济宁市济东矿区环保节能砖有限公司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济宁华强科技有限公司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山东东华能源有限责任公司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06煤炭开采和洗选业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山东彩桥驾驶室有限公司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山推道路机械有限公司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山东康洁利人造石有限公司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山东普鲸海洋工程设备制造有限公司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37铁路、船舶、航空航天和其他运输设备制造业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山东瑞城宇航碳材料有限公司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30非金属矿物制品业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山东道尔格医疗器械制造有限公司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山东山推机械有限公司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33金属制品业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山东济宁特力机床有限公司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济宁市海富电子科技有限公司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39计算机、通信和其他电子设备制造业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山东金吉特机械有限公司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山东鸿尊红木家具有限公司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21家具制造业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山东东大铝业有限公司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32有色金属冶炼和压延加工业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山东永红机械有限公司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济宁圣达橡胶有限公司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26化学原料和化学制品制造业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济宁东威机械有限公司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34通用设备制造业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山东天盾安防救援装备制造有限公司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山东绿倍节能环保设备制造有限公司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山东洲原电力设备制造有限公司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38电气机械和器材制造业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山东德立信液压有限公司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35专用设备制造业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0.93</w:t>
            </w:r>
          </w:p>
        </w:tc>
      </w:tr>
    </w:tbl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both"/>
        <w:rPr>
          <w:rFonts w:ascii="方正仿宋简体" w:eastAsia="方正仿宋简体"/>
          <w:sz w:val="32"/>
          <w:szCs w:val="32"/>
        </w:rPr>
      </w:pPr>
    </w:p>
    <w:p>
      <w:pPr>
        <w:jc w:val="both"/>
        <w:rPr>
          <w:rFonts w:ascii="方正仿宋简体" w:eastAsia="方正仿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lang w:val="en-US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210" w:rightChars="100" w:firstLine="160" w:firstLineChars="5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pict>
          <v:line id="Line 2" o:spid="_x0000_s1026" o:spt="20" style="position:absolute;left:0pt;margin-left:0pt;margin-top:32.1pt;height:0pt;width:441pt;z-index:2537553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pict>
          <v:line id="Line 3" o:spid="_x0000_s1027" o:spt="20" style="position:absolute;left:0pt;margin-left:0pt;margin-top:3.3pt;height:0pt;width:441pt;z-index:2548039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lang w:val="en-US" w:eastAsia="zh-CN" w:bidi="ar"/>
        </w:rPr>
        <w:t>济宁高新区管委会办公室                  2020年6月29日印发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6491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6491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7381C"/>
    <w:rsid w:val="00011347"/>
    <w:rsid w:val="000157C8"/>
    <w:rsid w:val="00020CFE"/>
    <w:rsid w:val="000245A3"/>
    <w:rsid w:val="00026177"/>
    <w:rsid w:val="000546DD"/>
    <w:rsid w:val="000A2715"/>
    <w:rsid w:val="000B2527"/>
    <w:rsid w:val="000E427A"/>
    <w:rsid w:val="000F08BF"/>
    <w:rsid w:val="00105C48"/>
    <w:rsid w:val="00111FFE"/>
    <w:rsid w:val="00120C8B"/>
    <w:rsid w:val="00133337"/>
    <w:rsid w:val="00151C11"/>
    <w:rsid w:val="0019509E"/>
    <w:rsid w:val="00197D33"/>
    <w:rsid w:val="001A28E4"/>
    <w:rsid w:val="001A2B9D"/>
    <w:rsid w:val="001E4CB2"/>
    <w:rsid w:val="00205DC5"/>
    <w:rsid w:val="002B32DF"/>
    <w:rsid w:val="002B41A6"/>
    <w:rsid w:val="002D756A"/>
    <w:rsid w:val="00310E4D"/>
    <w:rsid w:val="00311C3A"/>
    <w:rsid w:val="00373CC5"/>
    <w:rsid w:val="00386BF6"/>
    <w:rsid w:val="003C2A73"/>
    <w:rsid w:val="003F4A84"/>
    <w:rsid w:val="00406854"/>
    <w:rsid w:val="004236B7"/>
    <w:rsid w:val="00443B87"/>
    <w:rsid w:val="00492F12"/>
    <w:rsid w:val="004B387D"/>
    <w:rsid w:val="004F0E28"/>
    <w:rsid w:val="00511A35"/>
    <w:rsid w:val="005122F3"/>
    <w:rsid w:val="0055547F"/>
    <w:rsid w:val="0058601E"/>
    <w:rsid w:val="005F4A03"/>
    <w:rsid w:val="00615437"/>
    <w:rsid w:val="006275B8"/>
    <w:rsid w:val="006331FF"/>
    <w:rsid w:val="006470BD"/>
    <w:rsid w:val="006D13BA"/>
    <w:rsid w:val="006F60E8"/>
    <w:rsid w:val="00751B6A"/>
    <w:rsid w:val="007A1D96"/>
    <w:rsid w:val="007F0E0C"/>
    <w:rsid w:val="00861BE8"/>
    <w:rsid w:val="008B2885"/>
    <w:rsid w:val="008F719B"/>
    <w:rsid w:val="00907F58"/>
    <w:rsid w:val="009139CA"/>
    <w:rsid w:val="00916E09"/>
    <w:rsid w:val="00953EC5"/>
    <w:rsid w:val="00970823"/>
    <w:rsid w:val="00A135CE"/>
    <w:rsid w:val="00A23407"/>
    <w:rsid w:val="00A5744D"/>
    <w:rsid w:val="00A63963"/>
    <w:rsid w:val="00A82BE3"/>
    <w:rsid w:val="00A92CDD"/>
    <w:rsid w:val="00AE000A"/>
    <w:rsid w:val="00AF0D6D"/>
    <w:rsid w:val="00B7381C"/>
    <w:rsid w:val="00BA6CCF"/>
    <w:rsid w:val="00BD32A7"/>
    <w:rsid w:val="00C40B74"/>
    <w:rsid w:val="00C713DF"/>
    <w:rsid w:val="00C97BF4"/>
    <w:rsid w:val="00CF45B2"/>
    <w:rsid w:val="00CF6C99"/>
    <w:rsid w:val="00D33E6D"/>
    <w:rsid w:val="00D563EA"/>
    <w:rsid w:val="00D7177B"/>
    <w:rsid w:val="00D96C51"/>
    <w:rsid w:val="00DE0FB1"/>
    <w:rsid w:val="00E13DC4"/>
    <w:rsid w:val="00E42C29"/>
    <w:rsid w:val="00EA1350"/>
    <w:rsid w:val="00EA2993"/>
    <w:rsid w:val="00F47AF7"/>
    <w:rsid w:val="00F73CFC"/>
    <w:rsid w:val="00F90667"/>
    <w:rsid w:val="00FC49AA"/>
    <w:rsid w:val="00FD5F31"/>
    <w:rsid w:val="00FE7CCC"/>
    <w:rsid w:val="15F3758B"/>
    <w:rsid w:val="35C70D33"/>
    <w:rsid w:val="36CF57A3"/>
    <w:rsid w:val="4A1452FF"/>
    <w:rsid w:val="4D441FA6"/>
    <w:rsid w:val="688D02A4"/>
    <w:rsid w:val="70C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2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/>
      <w:jc w:val="both"/>
    </w:pPr>
    <w:rPr>
      <w:rFonts w:hint="default" w:ascii="Times New Roman" w:hAnsi="Times New Roman" w:eastAsia="方正小标宋简体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">
    <w:name w:val="xl6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4">
    <w:name w:val="页脚 Char"/>
    <w:basedOn w:val="7"/>
    <w:link w:val="4"/>
    <w:qFormat/>
    <w:uiPriority w:val="99"/>
    <w:rPr>
      <w:kern w:val="2"/>
      <w:sz w:val="18"/>
      <w:szCs w:val="24"/>
    </w:rPr>
  </w:style>
  <w:style w:type="character" w:customStyle="1" w:styleId="25">
    <w:name w:val="正文文本缩进 Char"/>
    <w:basedOn w:val="7"/>
    <w:link w:val="3"/>
    <w:qFormat/>
    <w:uiPriority w:val="0"/>
    <w:rPr>
      <w:rFonts w:hint="default" w:ascii="Times New Roman" w:hAnsi="Times New Roman" w:eastAsia="方正小标宋简体" w:cs="Times New Roman"/>
      <w:kern w:val="2"/>
      <w:positio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5311E-5364-4AFB-881D-ED066C290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10</Pages>
  <Words>1505</Words>
  <Characters>8585</Characters>
  <Lines>71</Lines>
  <Paragraphs>20</Paragraphs>
  <TotalTime>0</TotalTime>
  <ScaleCrop>false</ScaleCrop>
  <LinksUpToDate>false</LinksUpToDate>
  <CharactersWithSpaces>10070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2020-06-29T01:54:00Z</dcterms:created>
  <dc:creator>Lxtx999.CoM</dc:creator>
  <cp:lastModifiedBy>Administrator</cp:lastModifiedBy>
  <cp:lastPrinted>2020-06-30T03:03:00Z</cp:lastPrinted>
  <dcterms:modified xsi:type="dcterms:W3CDTF">2020-11-18T08:34:57Z</dcterms:modified>
  <dc:title>济宁高新区文明城市创建活动领导小组文件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