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000" w:lineRule="exact"/>
        <w:rPr>
          <w:rFonts w:hint="eastAsia" w:ascii="方正仿宋简体" w:eastAsia="方正仿宋简体"/>
          <w:sz w:val="32"/>
          <w:szCs w:val="32"/>
        </w:rPr>
      </w:pPr>
    </w:p>
    <w:p>
      <w:pPr>
        <w:tabs>
          <w:tab w:val="left" w:pos="8460"/>
        </w:tabs>
        <w:spacing w:line="440" w:lineRule="exact"/>
        <w:ind w:right="382" w:rightChars="182"/>
        <w:rPr>
          <w:rFonts w:hint="eastAsia" w:ascii="方正仿宋简体" w:eastAsia="方正仿宋简体"/>
          <w:sz w:val="32"/>
          <w:szCs w:val="32"/>
        </w:rPr>
      </w:pPr>
      <w:r>
        <w:rPr>
          <w:rFonts w:hint="eastAsia" w:ascii="方正仿宋简体" w:eastAsia="方正仿宋简体"/>
          <w:sz w:val="32"/>
          <w:szCs w:val="32"/>
        </w:rPr>
        <w:pict>
          <v:shape id="_x0000_s1026" o:spid="_x0000_s1026" o:spt="136" type="#_x0000_t136" style="position:absolute;left:0pt;margin-left:339.75pt;margin-top:17.95pt;height:53.85pt;width:73.7pt;z-index:251662336;mso-width-relative:page;mso-height-relative:page;" fillcolor="#FF0000" filled="t" stroked="t" coordsize="21600,21600">
            <v:path/>
            <v:fill on="t" focussize="0,0"/>
            <v:stroke color="#FF0000"/>
            <v:imagedata o:title=""/>
            <o:lock v:ext="edit"/>
            <v:textpath on="t" fitshape="t" fitpath="t" trim="t" xscale="f" string="文件" style="font-family:方正小标宋简体;font-size:36pt;v-rotate-letters:f;v-same-letter-heights:f;v-text-align:center;v-text-spacing:72090f;"/>
          </v:shape>
        </w:pict>
      </w:r>
      <w:r>
        <w:rPr>
          <w:rFonts w:hint="eastAsia" w:ascii="方正仿宋简体" w:eastAsia="方正仿宋简体"/>
          <w:sz w:val="32"/>
          <w:szCs w:val="32"/>
        </w:rPr>
        <w:pict>
          <v:shape id="_x0000_s1027" o:spid="_x0000_s1027" o:spt="136" type="#_x0000_t136" style="position:absolute;left:0pt;margin-left:23.25pt;margin-top:6.85pt;height:85.05pt;width:311.8pt;z-index:251661312;mso-width-relative:page;mso-height-relative:page;" fillcolor="#FF0000" filled="t" stroked="t" coordsize="21600,21600">
            <v:path/>
            <v:fill on="t" focussize="0,0"/>
            <v:stroke weight="1.5pt" color="#FF0000"/>
            <v:imagedata o:title=""/>
            <o:lock v:ext="edit"/>
            <v:textpath on="t" fitshape="t" fitpath="t" trim="t" xscale="f" string="济宁高新技术产业&#10;开发区管理委员会" style="font-family:方正小标宋简体;font-size:36pt;v-rotate-letters:f;v-same-letter-heights:t;v-text-align:justify;v-text-spacing:78644f;"/>
          </v:shape>
        </w:pict>
      </w:r>
    </w:p>
    <w:p>
      <w:pPr>
        <w:spacing w:line="440" w:lineRule="exact"/>
        <w:rPr>
          <w:rFonts w:hint="eastAsia" w:ascii="方正仿宋简体" w:eastAsia="方正仿宋简体"/>
          <w:sz w:val="32"/>
          <w:szCs w:val="32"/>
        </w:rPr>
      </w:pPr>
    </w:p>
    <w:p>
      <w:pPr>
        <w:spacing w:line="440" w:lineRule="exact"/>
        <w:rPr>
          <w:rFonts w:hint="eastAsia" w:ascii="方正仿宋简体" w:eastAsia="方正仿宋简体"/>
          <w:sz w:val="32"/>
          <w:szCs w:val="32"/>
        </w:rPr>
      </w:pPr>
    </w:p>
    <w:p>
      <w:pPr>
        <w:spacing w:line="440" w:lineRule="exact"/>
        <w:rPr>
          <w:rFonts w:hint="eastAsia" w:ascii="方正仿宋简体" w:eastAsia="方正仿宋简体"/>
          <w:sz w:val="32"/>
          <w:szCs w:val="32"/>
        </w:rPr>
      </w:pPr>
    </w:p>
    <w:p>
      <w:pPr>
        <w:spacing w:line="560" w:lineRule="exact"/>
        <w:rPr>
          <w:rFonts w:hint="eastAsia" w:ascii="方正仿宋简体" w:eastAsia="方正仿宋简体"/>
          <w:sz w:val="32"/>
          <w:szCs w:val="32"/>
        </w:rPr>
      </w:pPr>
    </w:p>
    <w:p>
      <w:pPr>
        <w:spacing w:line="560" w:lineRule="exact"/>
        <w:ind w:right="382" w:rightChars="182"/>
        <w:rPr>
          <w:rFonts w:hint="eastAsia" w:ascii="方正仿宋简体" w:eastAsia="方正仿宋简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简体" w:eastAsia="方正仿宋简体"/>
          <w:sz w:val="32"/>
          <w:szCs w:val="32"/>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济高新管发〔2023〕4号</w:t>
      </w:r>
      <w:r>
        <w:rPr>
          <w:rFonts w:hint="eastAsia" w:ascii="方正仿宋简体" w:eastAsia="方正仿宋简体"/>
          <w:sz w:val="32"/>
          <w:szCs w:val="32"/>
        </w:rPr>
        <mc:AlternateContent>
          <mc:Choice Requires="wps">
            <w:drawing>
              <wp:anchor distT="0" distB="0" distL="114300" distR="114300" simplePos="0" relativeHeight="251663360" behindDoc="0" locked="0" layoutInCell="1" allowOverlap="1">
                <wp:simplePos x="0" y="0"/>
                <wp:positionH relativeFrom="column">
                  <wp:posOffset>27305</wp:posOffset>
                </wp:positionH>
                <wp:positionV relativeFrom="paragraph">
                  <wp:posOffset>435610</wp:posOffset>
                </wp:positionV>
                <wp:extent cx="5561330" cy="6985"/>
                <wp:effectExtent l="0" t="0" r="0" b="0"/>
                <wp:wrapNone/>
                <wp:docPr id="1" name="直接连接符 1"/>
                <wp:cNvGraphicFramePr/>
                <a:graphic xmlns:a="http://schemas.openxmlformats.org/drawingml/2006/main">
                  <a:graphicData uri="http://schemas.microsoft.com/office/word/2010/wordprocessingShape">
                    <wps:wsp>
                      <wps:cNvSpPr/>
                      <wps:spPr>
                        <a:xfrm>
                          <a:off x="0" y="0"/>
                          <a:ext cx="5561330" cy="6985"/>
                        </a:xfrm>
                        <a:prstGeom prst="line">
                          <a:avLst/>
                        </a:prstGeom>
                        <a:ln w="127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15pt;margin-top:34.3pt;height:0.55pt;width:437.9pt;z-index:251663360;mso-width-relative:page;mso-height-relative:page;" filled="f" stroked="t" coordsize="21600,21600" o:gfxdata="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Dps1QAAAAcBAAAPAAAAAAAAAAEAIAAAACIAAABkcnMvZG93bnJldi54bWxQSwEC&#10;FAAUAAAACACHTuJAXR68mfcBAADoAwAADgAAAAAAAAABACAAAAAkAQAAZHJzL2Uyb0RvYy54bWxQ&#10;SwUGAAAAAAYABgBZAQAAjQUAAAAA&#10;">
                <v:path arrowok="t"/>
                <v:fill on="f" focussize="0,0"/>
                <v:stroke weight="1pt" color="#FF0000"/>
                <v:imagedata o:title=""/>
                <o:lock v:ext="edit"/>
              </v:line>
            </w:pict>
          </mc:Fallback>
        </mc:AlternateContent>
      </w:r>
    </w:p>
    <w:p>
      <w:pPr>
        <w:spacing w:line="560" w:lineRule="exact"/>
        <w:jc w:val="center"/>
        <w:rPr>
          <w:rFonts w:hint="eastAsia" w:ascii="方正仿宋简体" w:eastAsia="方正仿宋简体"/>
          <w:sz w:val="32"/>
          <w:szCs w:val="32"/>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t>济宁高新区管委会</w:t>
      </w:r>
      <w:bookmarkStart w:id="1" w:name="_GoBack"/>
      <w:bookmarkEnd w:id="1"/>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t>关于修改《济宁高新区知识产权专项资金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t>管理办法》的通知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themeColor="text1"/>
          <w:spacing w:val="0"/>
          <w:kern w:val="2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各街道办事处，区直各部门单位，各驻区单位，各区管国有企业：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bidi="ar-SA"/>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按照《山东省行政规范性文件评估暂行办法》（鲁司〔2020〕48号）、</w:t>
      </w:r>
      <w:r>
        <w:rPr>
          <w:rFonts w:hint="eastAsia" w:ascii="方正仿宋简体" w:hAnsi="方正仿宋简体" w:eastAsia="方正仿宋简体" w:cs="方正仿宋简体"/>
          <w:b/>
          <w:bCs/>
          <w:color w:val="000000" w:themeColor="text1"/>
          <w:spacing w:val="0"/>
          <w:kern w:val="21"/>
          <w:sz w:val="32"/>
          <w:szCs w:val="32"/>
          <w:lang w:val="en-US" w:eastAsia="zh-CN" w:bidi="ar-SA"/>
          <w14:textFill>
            <w14:solidFill>
              <w14:schemeClr w14:val="tx1"/>
            </w14:solidFill>
          </w14:textFill>
        </w:rPr>
        <w:t>《山东省司法厅关于印发〈山东省司法厅关于行政规范性文件认定的指导意见〉等四个文件的通知》（鲁司〔2018〕67号）</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等有关规定，经过对《济宁高新区知识产权专项资金管理办法》（济高新管发〔2022〕4号）评估，决定对《济宁高新区知识产权专项资金管理办法》（济高新管发〔2022〕4号）部分内容</w:t>
      </w:r>
      <w:r>
        <w:rPr>
          <w:rFonts w:hint="eastAsia" w:ascii="方正仿宋简体" w:hAnsi="方正仿宋简体" w:eastAsia="方正仿宋简体" w:cs="方正仿宋简体"/>
          <w:b/>
          <w:bCs/>
          <w:color w:val="000000" w:themeColor="text1"/>
          <w:spacing w:val="0"/>
          <w:kern w:val="21"/>
          <w:sz w:val="32"/>
          <w:szCs w:val="32"/>
          <w:lang w:val="en-US" w:eastAsia="zh-CN" w:bidi="ar-SA"/>
          <w14:textFill>
            <w14:solidFill>
              <w14:schemeClr w14:val="tx1"/>
            </w14:solidFill>
          </w14:textFill>
        </w:rPr>
        <w:t>予以修改。</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黑体简体" w:hAnsi="方正黑体简体" w:eastAsia="方正黑体简体" w:cs="方正黑体简体"/>
          <w:b/>
          <w:bCs/>
          <w:color w:val="000000" w:themeColor="text1"/>
          <w:spacing w:val="0"/>
          <w:kern w:val="21"/>
          <w:sz w:val="32"/>
          <w:szCs w:val="32"/>
          <w:lang w:val="en-US" w:eastAsia="zh-CN"/>
          <w14:textFill>
            <w14:solidFill>
              <w14:schemeClr w14:val="tx1"/>
            </w14:solidFill>
          </w14:textFill>
        </w:rPr>
      </w:pPr>
      <w:r>
        <w:rPr>
          <w:rFonts w:hint="eastAsia" w:ascii="方正黑体简体" w:hAnsi="方正黑体简体" w:eastAsia="方正黑体简体" w:cs="方正黑体简体"/>
          <w:b/>
          <w:bCs/>
          <w:color w:val="000000" w:themeColor="text1"/>
          <w:spacing w:val="0"/>
          <w:kern w:val="21"/>
          <w:sz w:val="32"/>
          <w:szCs w:val="32"/>
          <w:lang w:val="en-US" w:eastAsia="zh-CN"/>
          <w14:textFill>
            <w14:solidFill>
              <w14:schemeClr w14:val="tx1"/>
            </w14:solidFill>
          </w14:textFill>
        </w:rPr>
        <w:t>对《济宁高新区知识产权专项资金管理办法》（济高新管发〔2022〕4号）（</w:t>
      </w:r>
      <w:r>
        <w:rPr>
          <w:rFonts w:hint="eastAsia" w:ascii="方正黑体简体" w:hAnsi="方正黑体简体" w:eastAsia="方正黑体简体" w:cs="方正黑体简体"/>
          <w:b/>
          <w:bCs/>
          <w:color w:val="auto"/>
          <w:kern w:val="21"/>
          <w:sz w:val="32"/>
          <w:szCs w:val="32"/>
          <w:lang w:val="en-US" w:eastAsia="zh-CN"/>
        </w:rPr>
        <w:t>GXDR-2021-0010001</w:t>
      </w:r>
      <w:r>
        <w:rPr>
          <w:rFonts w:hint="eastAsia" w:ascii="方正黑体简体" w:hAnsi="方正黑体简体" w:eastAsia="方正黑体简体" w:cs="方正黑体简体"/>
          <w:b/>
          <w:bCs/>
          <w:color w:val="000000" w:themeColor="text1"/>
          <w:spacing w:val="0"/>
          <w:kern w:val="21"/>
          <w:sz w:val="32"/>
          <w:szCs w:val="32"/>
          <w:lang w:val="en-US" w:eastAsia="zh-CN"/>
          <w14:textFill>
            <w14:solidFill>
              <w14:schemeClr w14:val="tx1"/>
            </w14:solidFill>
          </w14:textFill>
        </w:rPr>
        <w:t>）作出修改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1. 第一条</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《山东省市场监督管理局知识产权（专利）资金使用管理实施细则》</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济宁市专利资助专项资金管理暂行办法</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已废止，替换为《山东省高价值专利培育及知识产权保护综合奖补工作实施细则》《济宁市知识产权（专利）专项资金管理办法》。</w:t>
      </w:r>
    </w:p>
    <w:p>
      <w:pPr>
        <w:spacing w:line="570" w:lineRule="exact"/>
        <w:ind w:firstLine="643" w:firstLineChars="200"/>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 xml:space="preserve">2.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统一登记号调整为</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GXD</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R</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2023</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001000</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1</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 xml:space="preserve">3.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有效期不变。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附件：修改后的《济宁高新区知识产权专项资金管理办法》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4819" w:firstLineChars="15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济宁高新区管委会</w:t>
      </w:r>
    </w:p>
    <w:p>
      <w:pPr>
        <w:keepNext w:val="0"/>
        <w:keepLines w:val="0"/>
        <w:pageBreakBefore w:val="0"/>
        <w:widowControl w:val="0"/>
        <w:kinsoku/>
        <w:wordWrap/>
        <w:overflowPunct/>
        <w:topLinePunct w:val="0"/>
        <w:autoSpaceDE/>
        <w:autoSpaceDN/>
        <w:bidi w:val="0"/>
        <w:adjustRightInd/>
        <w:snapToGrid/>
        <w:spacing w:line="560" w:lineRule="exact"/>
        <w:ind w:firstLine="4819" w:firstLineChars="1500"/>
        <w:jc w:val="both"/>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2023年9月28日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（此件公开发布）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pP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Fonts w:hint="default"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Fonts w:hint="default" w:ascii="方正小标宋简体" w:hAnsi="方正小标宋简体" w:eastAsia="方正小标宋简体" w:cs="方正小标宋简体"/>
          <w:b/>
          <w:bCs/>
          <w:color w:val="000000" w:themeColor="text1"/>
          <w:spacing w:val="0"/>
          <w:kern w:val="2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ascii="方正小标宋简体" w:hAnsi="方正小标宋简体" w:eastAsia="方正小标宋简体" w:cs="方正小标宋简体"/>
          <w:b/>
          <w:bCs/>
          <w:color w:val="000000" w:themeColor="text1"/>
          <w:spacing w:val="0"/>
          <w:kern w:val="2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pacing w:val="0"/>
          <w:kern w:val="21"/>
          <w:sz w:val="44"/>
          <w:szCs w:val="44"/>
          <w14:textFill>
            <w14:solidFill>
              <w14:schemeClr w14:val="tx1"/>
            </w14:solidFill>
          </w14:textFill>
        </w:rPr>
        <w:t>济宁高新区知识产权专项资金管理办法</w:t>
      </w:r>
    </w:p>
    <w:p>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pPr>
      <w:r>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t>第一章</w:t>
      </w:r>
      <w:r>
        <w:rPr>
          <w:rFonts w:hint="eastAsia" w:ascii="方正黑体简体" w:hAnsi="方正黑体简体" w:eastAsia="方正黑体简体" w:cs="方正黑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t>总则</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第一条</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为进一步优化</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济宁高新</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区创新创造环境，提升</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全</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区知识产权创造、运用、保护、管理和服务能力，创建</w:t>
      </w:r>
      <w:r>
        <w:rPr>
          <w:rFonts w:hint="eastAsia" w:ascii="方正仿宋简体" w:hAnsi="方正仿宋简体" w:eastAsia="方正仿宋简体" w:cs="方正仿宋简体"/>
          <w:b/>
          <w:bCs/>
          <w:strike w:val="0"/>
          <w:dstrike w:val="0"/>
          <w:color w:val="000000" w:themeColor="text1"/>
          <w:spacing w:val="0"/>
          <w:kern w:val="21"/>
          <w:sz w:val="32"/>
          <w:szCs w:val="32"/>
          <w14:textFill>
            <w14:solidFill>
              <w14:schemeClr w14:val="tx1"/>
            </w14:solidFill>
          </w14:textFill>
        </w:rPr>
        <w:t>国家知识产权强国建设试点</w:t>
      </w:r>
      <w:r>
        <w:rPr>
          <w:rFonts w:hint="eastAsia" w:ascii="方正仿宋简体" w:hAnsi="方正仿宋简体" w:eastAsia="方正仿宋简体" w:cs="方正仿宋简体"/>
          <w:b/>
          <w:bCs/>
          <w:strike w:val="0"/>
          <w:dstrike w:val="0"/>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strike w:val="0"/>
          <w:dstrike w:val="0"/>
          <w:color w:val="000000" w:themeColor="text1"/>
          <w:spacing w:val="0"/>
          <w:kern w:val="21"/>
          <w:sz w:val="32"/>
          <w:szCs w:val="32"/>
          <w:lang w:val="en-US" w:eastAsia="zh-CN"/>
          <w14:textFill>
            <w14:solidFill>
              <w14:schemeClr w14:val="tx1"/>
            </w14:solidFill>
          </w14:textFill>
        </w:rPr>
        <w:t>示范</w:t>
      </w:r>
      <w:r>
        <w:rPr>
          <w:rFonts w:hint="eastAsia" w:ascii="方正仿宋简体" w:hAnsi="方正仿宋简体" w:eastAsia="方正仿宋简体" w:cs="方正仿宋简体"/>
          <w:b/>
          <w:bCs/>
          <w:strike w:val="0"/>
          <w:dstrike w:val="0"/>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strike w:val="0"/>
          <w:dstrike w:val="0"/>
          <w:color w:val="000000" w:themeColor="text1"/>
          <w:spacing w:val="0"/>
          <w:kern w:val="21"/>
          <w:sz w:val="32"/>
          <w:szCs w:val="32"/>
          <w:lang w:val="en-US" w:eastAsia="zh-CN"/>
          <w14:textFill>
            <w14:solidFill>
              <w14:schemeClr w14:val="tx1"/>
            </w14:solidFill>
          </w14:textFill>
        </w:rPr>
        <w:t>园区</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，根据《山东省</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十四五</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知识产权保护和运用规划》《</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山东省高价值专利培育及知识产权保护综合奖补工作实施细则</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山东省中小微企业知识产权质押融资贴息申报指南</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《济宁市人民政府关于加快知识产权强市建设的实施意见》</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济宁市知识产权（专利）专项资金管理办法</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和</w:t>
      </w:r>
      <w:r>
        <w:rPr>
          <w:rFonts w:hint="eastAsia" w:ascii="方正仿宋简体" w:hAnsi="方正仿宋简体" w:eastAsia="方正仿宋简体" w:cs="方正仿宋简体"/>
          <w:b/>
          <w:bCs/>
          <w:strike w:val="0"/>
          <w:dstrike w:val="0"/>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strike w:val="0"/>
          <w:dstrike w:val="0"/>
          <w:color w:val="000000" w:themeColor="text1"/>
          <w:spacing w:val="0"/>
          <w:kern w:val="21"/>
          <w:sz w:val="32"/>
          <w:szCs w:val="32"/>
          <w:lang w:val="en-US" w:eastAsia="zh-CN"/>
          <w14:textFill>
            <w14:solidFill>
              <w14:schemeClr w14:val="tx1"/>
            </w14:solidFill>
          </w14:textFill>
        </w:rPr>
        <w:t>济宁市中小微企业知识产权质押融资项目管理办法</w:t>
      </w:r>
      <w:r>
        <w:rPr>
          <w:rFonts w:hint="eastAsia" w:ascii="方正仿宋简体" w:hAnsi="方正仿宋简体" w:eastAsia="方正仿宋简体" w:cs="方正仿宋简体"/>
          <w:b/>
          <w:bCs/>
          <w:strike w:val="0"/>
          <w:dstrike w:val="0"/>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等文件精神，加强财政专利专项资金管理，提高资金使用效益，有效发挥济宁高新区知识产权专项资金在知识产权事业发展中的支撑作用，切实推动</w:t>
      </w:r>
      <w:r>
        <w:rPr>
          <w:rFonts w:hint="eastAsia" w:ascii="方正仿宋简体" w:hAnsi="方正仿宋简体" w:eastAsia="方正仿宋简体" w:cs="方正仿宋简体"/>
          <w:b/>
          <w:bCs/>
          <w:strike w:val="0"/>
          <w:dstrike w:val="0"/>
          <w:color w:val="000000" w:themeColor="text1"/>
          <w:spacing w:val="0"/>
          <w:kern w:val="21"/>
          <w:sz w:val="32"/>
          <w:szCs w:val="32"/>
          <w14:textFill>
            <w14:solidFill>
              <w14:schemeClr w14:val="tx1"/>
            </w14:solidFill>
          </w14:textFill>
        </w:rPr>
        <w:t>国家知识产权强国建设试点</w:t>
      </w:r>
      <w:r>
        <w:rPr>
          <w:rFonts w:hint="eastAsia" w:ascii="方正仿宋简体" w:hAnsi="方正仿宋简体" w:eastAsia="方正仿宋简体" w:cs="方正仿宋简体"/>
          <w:b/>
          <w:bCs/>
          <w:strike w:val="0"/>
          <w:dstrike w:val="0"/>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strike w:val="0"/>
          <w:dstrike w:val="0"/>
          <w:color w:val="000000" w:themeColor="text1"/>
          <w:spacing w:val="0"/>
          <w:kern w:val="21"/>
          <w:sz w:val="32"/>
          <w:szCs w:val="32"/>
          <w:lang w:val="en-US" w:eastAsia="zh-CN"/>
          <w14:textFill>
            <w14:solidFill>
              <w14:schemeClr w14:val="tx1"/>
            </w14:solidFill>
          </w14:textFill>
        </w:rPr>
        <w:t>示范</w:t>
      </w:r>
      <w:r>
        <w:rPr>
          <w:rFonts w:hint="eastAsia" w:ascii="方正仿宋简体" w:hAnsi="方正仿宋简体" w:eastAsia="方正仿宋简体" w:cs="方正仿宋简体"/>
          <w:b/>
          <w:bCs/>
          <w:strike w:val="0"/>
          <w:dstrike w:val="0"/>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strike w:val="0"/>
          <w:dstrike w:val="0"/>
          <w:color w:val="000000" w:themeColor="text1"/>
          <w:spacing w:val="0"/>
          <w:kern w:val="21"/>
          <w:sz w:val="32"/>
          <w:szCs w:val="32"/>
          <w:lang w:val="en-US" w:eastAsia="zh-CN"/>
          <w14:textFill>
            <w14:solidFill>
              <w14:schemeClr w14:val="tx1"/>
            </w14:solidFill>
          </w14:textFill>
        </w:rPr>
        <w:t>园区</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创建工作，结合</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我区</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实际，制定本办法。</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第二条</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本办法所称知识产权专项资金，是指区本级财政预算安排用于促进</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全</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区知识产权事业高质量发展的专项资金（以下简称</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专项资金</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第三条</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本办法适用于</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济宁高新</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区行政区域范围内专利商标授权（注册）统计在高新区的机关团体、企事业单位和个人。</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第四条</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专项资金由</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济宁高新</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区财政</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金融</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局、市场</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监督管理</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局负责管理。市场</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监督管理</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局负责受理、初审和汇总知识产权创造资金、专利权质押融资补助等申请。</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firstLine="643" w:firstLineChars="200"/>
        <w:jc w:val="both"/>
        <w:textAlignment w:val="auto"/>
        <w:rPr>
          <w:rFonts w:hint="eastAsia" w:ascii="方正仿宋简体" w:hAnsi="方正仿宋简体" w:eastAsia="方正仿宋简体" w:cs="方正仿宋简体"/>
          <w:b/>
          <w:bCs/>
          <w:color w:val="000000" w:themeColor="text1"/>
          <w:spacing w:val="0"/>
          <w:kern w:val="21"/>
          <w:sz w:val="32"/>
          <w:szCs w:val="32"/>
          <w:lang w:val="en-US" w:eastAsia="zh-CN" w:bidi="ar-SA"/>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第五条</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lang w:val="en-US" w:eastAsia="zh-CN" w:bidi="ar-SA"/>
          <w14:textFill>
            <w14:solidFill>
              <w14:schemeClr w14:val="tx1"/>
            </w14:solidFill>
          </w14:textFill>
        </w:rPr>
        <w:t>专项资金的管理和使用，应遵守国家有关法律法规和财政管理制度，按照“公开透明、科学管理、注重实效、专款专用”的原则，充分体现财政资金的引导和带动作用。</w:t>
      </w:r>
    </w:p>
    <w:p>
      <w:pPr>
        <w:pStyle w:val="2"/>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仿宋简体" w:hAnsi="方正仿宋简体" w:eastAsia="方正仿宋简体" w:cs="方正仿宋简体"/>
          <w:b/>
          <w:bCs/>
          <w:strike w:val="0"/>
          <w:color w:val="000000" w:themeColor="text1"/>
          <w:spacing w:val="0"/>
          <w:kern w:val="21"/>
          <w:sz w:val="32"/>
          <w:szCs w:val="32"/>
          <w:lang w:val="en-US" w:eastAsia="zh-CN" w:bidi="ar-SA"/>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第六条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lang w:val="en-US" w:eastAsia="zh-CN" w:bidi="ar-SA"/>
          <w14:textFill>
            <w14:solidFill>
              <w14:schemeClr w14:val="tx1"/>
            </w14:solidFill>
          </w14:textFill>
        </w:rPr>
        <w:t>专项资金用于支持知识产权运营服务体系建设，开展企事业单位贯彻执行知识产权管理规范国家标准行动，实施知识产权优势/示范企业培育工程，支持知识产权密集型产业发展和知识产权相关试点和示范工程项目创建。主要包括对知识产权质押融资和维权费用的资助，</w:t>
      </w:r>
      <w:r>
        <w:rPr>
          <w:rFonts w:hint="eastAsia" w:ascii="方正仿宋简体" w:hAnsi="方正仿宋简体" w:eastAsia="方正仿宋简体" w:cs="方正仿宋简体"/>
          <w:b/>
          <w:bCs/>
          <w:strike w:val="0"/>
          <w:dstrike w:val="0"/>
          <w:color w:val="000000" w:themeColor="text1"/>
          <w:spacing w:val="0"/>
          <w:kern w:val="21"/>
          <w:sz w:val="32"/>
          <w:szCs w:val="32"/>
          <w:lang w:val="en-US" w:eastAsia="zh-CN" w:bidi="ar-SA"/>
          <w14:textFill>
            <w14:solidFill>
              <w14:schemeClr w14:val="tx1"/>
            </w14:solidFill>
          </w14:textFill>
        </w:rPr>
        <w:t>对中国驰名商标、马德里商标、中国专利奖、山东省专利奖、高价值发明专利及国家知识产权优势/示范企业等的奖励。</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pPr>
      <w:r>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t>第二章</w:t>
      </w:r>
      <w:r>
        <w:rPr>
          <w:rFonts w:hint="eastAsia" w:ascii="方正黑体简体" w:hAnsi="方正黑体简体" w:eastAsia="方正黑体简体" w:cs="方正黑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t>专项资金奖励与资助标准</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firstLine="643" w:firstLineChars="200"/>
        <w:jc w:val="both"/>
        <w:textAlignment w:val="auto"/>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pP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第七条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专利、商标为</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多方共有的，由第一顺序权利人提出申请。无特别声明的，申请人相关信息均以专利证书、商标证书以及专利授权公告文本上的权利人、地址（应在济宁高新区内）、代理机构、代理人、日期信息为准。</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default" w:ascii="Times New Roman" w:hAnsi="Times New Roman" w:eastAsia="方正楷体简体" w:cs="Times New Roman"/>
          <w:b/>
          <w:bCs/>
          <w:color w:val="000000" w:themeColor="text1"/>
          <w:spacing w:val="0"/>
          <w:kern w:val="21"/>
          <w:sz w:val="32"/>
          <w:szCs w:val="32"/>
          <w14:textFill>
            <w14:solidFill>
              <w14:schemeClr w14:val="tx1"/>
            </w14:solidFill>
          </w14:textFill>
        </w:rPr>
        <w:t>第八条</w:t>
      </w:r>
      <w:r>
        <w:rPr>
          <w:rFonts w:hint="default" w:ascii="Times New Roman" w:hAnsi="Times New Roman" w:eastAsia="方正楷体简体" w:cs="Times New Roman"/>
          <w:b/>
          <w:bCs/>
          <w:color w:val="000000" w:themeColor="text1"/>
          <w:spacing w:val="0"/>
          <w:kern w:val="2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实施国内专利奖励。奖励标准如下：</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一）对当年度获得授权的发明专利，每件按实际发生官方费用的50%对发明专利所有权人给予奖励，最高不超过2000元。对当年度新认定的战略新兴产业高价值授权发明专利，每件额外给予不超过3000元的申请费用补贴。</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w:t>
      </w: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二</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）对年发明专利授权量在</w:t>
      </w: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5件、</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10件、20件、50件、100件以上的企事业单位，分别给予</w:t>
      </w: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3万元、</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5万元、10万元、25万元、50万元奖励。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w:t>
      </w: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三</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）企事业单位有效发明专利拥有量奖励。企事业单位有效发明专利拥有量达到</w:t>
      </w:r>
      <w:r>
        <w:rPr>
          <w:rFonts w:hint="default" w:ascii="Times New Roman" w:hAnsi="Times New Roman" w:eastAsia="方正仿宋简体" w:cs="Times New Roman"/>
          <w:b/>
          <w:bCs/>
          <w:color w:val="000000" w:themeColor="text1"/>
          <w:spacing w:val="0"/>
          <w:kern w:val="21"/>
          <w:sz w:val="32"/>
          <w:szCs w:val="32"/>
          <w:lang w:val="en-US"/>
          <w14:textFill>
            <w14:solidFill>
              <w14:schemeClr w14:val="tx1"/>
            </w14:solidFill>
          </w14:textFill>
        </w:rPr>
        <w:t>5</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件以上的，每件给予500元奖励；企业核心专利、为企业带来较大经济收益且维持10年以上的有效发明专利，每件给予3000元奖励。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pP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w:t>
      </w: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四</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）企事业单位（不包括代理机构）以</w:t>
      </w:r>
      <w:bookmarkStart w:id="0" w:name="baidusnap1"/>
      <w:bookmarkEnd w:id="0"/>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购买、折股投资等方式从济宁市外获得已授权有效发明专利并成功转化，且该转让后的发明专利权人地址在</w:t>
      </w:r>
      <w:r>
        <w:rPr>
          <w:rFonts w:hint="default" w:ascii="Times New Roman" w:hAnsi="Times New Roman" w:eastAsia="方正仿宋简体" w:cs="Times New Roman"/>
          <w:b/>
          <w:bCs/>
          <w:color w:val="000000" w:themeColor="text1"/>
          <w:spacing w:val="0"/>
          <w:kern w:val="21"/>
          <w:sz w:val="32"/>
          <w:szCs w:val="32"/>
          <w:lang w:eastAsia="zh-CN"/>
          <w14:textFill>
            <w14:solidFill>
              <w14:schemeClr w14:val="tx1"/>
            </w14:solidFill>
          </w14:textFill>
        </w:rPr>
        <w:t>济宁</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高新区的，一次性给予奖励5000元/件</w:t>
      </w:r>
      <w:r>
        <w:rPr>
          <w:rFonts w:hint="default" w:ascii="Times New Roman" w:hAnsi="Times New Roman" w:eastAsia="方正仿宋简体" w:cs="Times New Roman"/>
          <w:b/>
          <w:bCs/>
          <w:color w:val="000000" w:themeColor="text1"/>
          <w:spacing w:val="0"/>
          <w:kern w:val="21"/>
          <w:sz w:val="32"/>
          <w:szCs w:val="32"/>
          <w:lang w:eastAsia="zh-CN"/>
          <w14:textFill>
            <w14:solidFill>
              <w14:schemeClr w14:val="tx1"/>
            </w14:solidFill>
          </w14:textFill>
        </w:rPr>
        <w:t>。</w:t>
      </w: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其中对于成功转化有效发明专利数量较多、质量较高的生产型企业并符合上述条件的，额外给予一定金额的奖励。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default" w:ascii="Times New Roman" w:hAnsi="Times New Roman" w:eastAsia="方正楷体简体" w:cs="Times New Roman"/>
          <w:b/>
          <w:bCs/>
          <w:color w:val="000000" w:themeColor="text1"/>
          <w:spacing w:val="0"/>
          <w:kern w:val="21"/>
          <w:sz w:val="32"/>
          <w:szCs w:val="32"/>
          <w14:textFill>
            <w14:solidFill>
              <w14:schemeClr w14:val="tx1"/>
            </w14:solidFill>
          </w14:textFill>
        </w:rPr>
        <w:t xml:space="preserve">第九条 </w:t>
      </w:r>
      <w:r>
        <w:rPr>
          <w:rFonts w:hint="default" w:ascii="Times New Roman" w:hAnsi="Times New Roman" w:eastAsia="方正楷体简体" w:cs="Times New Roman"/>
          <w:b/>
          <w:bCs/>
          <w:color w:val="000000" w:themeColor="text1"/>
          <w:spacing w:val="0"/>
          <w:kern w:val="2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实施国外发明专利奖励。奖励标准如下：</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（一）申请人获得G20和欧盟成员国发明专利授权的每件给予奖励</w:t>
      </w:r>
      <w:r>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2</w:t>
      </w:r>
      <w:r>
        <w:rPr>
          <w:rFonts w:hint="default" w:ascii="Times New Roman" w:hAnsi="Times New Roman" w:eastAsia="方正仿宋简体" w:cs="Times New Roman"/>
          <w:b/>
          <w:bCs/>
          <w:color w:val="000000" w:themeColor="text1"/>
          <w:spacing w:val="0"/>
          <w:kern w:val="21"/>
          <w:sz w:val="32"/>
          <w:szCs w:val="32"/>
          <w14:textFill>
            <w14:solidFill>
              <w14:schemeClr w14:val="tx1"/>
            </w14:solidFill>
          </w14:textFill>
        </w:rPr>
        <w:t>万元（对同一件发明创造</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在多个国家获发明专利权的，最多按5个国家予以奖励）。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（二）申请人在设有专利审批机构的其他国家或地区取得发明专利授权的每件给</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予奖励</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1</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万元（对同一件发明创造在多个国家获发明专利权的，最多按5个国家予</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以奖励）。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同一个奖励申请人每年度获得奖励总额不</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得</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超过2</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0</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万</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元</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第十条</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实施商标国际注册奖励。奖励标准如下：</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（一）申请人通过马德里体系取得商标注册证书的，按指定国家或地区的数量奖励，每指定</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一个国家或地区</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奖励</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2000元，每件最多</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奖励</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10个国家或地区。</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二</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）申请人在</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其他</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单一国家</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和地区（含</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港澳台</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取得商标注册证书的，每件</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每个国家或地区</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奖励2000元。</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本款针对同一申请人的年度奖励总额不得超过</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5</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第十</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一</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实施知识</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产权管理规范贯标认证奖励。对当年度通过国家知识产权管理体系认证</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并</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获得《知识产权管理体系认证证书》，且</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有效专利拥有量</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在20件以上的</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（当年度有授权发明专利且有效发明专利数量不低于5件）</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，给予10万元奖励。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strike/>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第十</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二</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对当年度新认定的中</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国驰名商标，给予20万元奖励。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default"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pP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第十</w:t>
      </w:r>
      <w:r>
        <w:rPr>
          <w:rFonts w:hint="eastAsia" w:ascii="Times New Roman" w:hAnsi="Times New Roman" w:eastAsia="方正楷体简体" w:cs="Times New Roman"/>
          <w:b/>
          <w:bCs/>
          <w:color w:val="000000" w:themeColor="text1"/>
          <w:spacing w:val="0"/>
          <w:kern w:val="21"/>
          <w:sz w:val="32"/>
          <w:szCs w:val="32"/>
          <w:lang w:eastAsia="zh-CN"/>
          <w14:textFill>
            <w14:solidFill>
              <w14:schemeClr w14:val="tx1"/>
            </w14:solidFill>
          </w14:textFill>
        </w:rPr>
        <w:t>三</w:t>
      </w: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条</w:t>
      </w:r>
      <w:r>
        <w:rPr>
          <w:rFonts w:hint="eastAsia" w:ascii="Times New Roman" w:hAnsi="Times New Roman" w:eastAsia="方正楷体简体" w:cs="Times New Roman"/>
          <w:b/>
          <w:bCs/>
          <w:color w:val="000000" w:themeColor="text1"/>
          <w:spacing w:val="0"/>
          <w:kern w:val="21"/>
          <w:sz w:val="32"/>
          <w:szCs w:val="32"/>
          <w:lang w:val="en-US" w:eastAsia="zh-CN"/>
          <w14:textFill>
            <w14:solidFill>
              <w14:schemeClr w14:val="tx1"/>
            </w14:solidFill>
          </w14:textFill>
        </w:rPr>
        <w:t xml:space="preserve">  </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对当年度新认定的国家知识产权示范企业、国家知识产权优势企业、省知识产权示范企业，分别给予20万元、10万元、10万元奖励；对当年</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度</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获中国专利金奖、中国外观设计金奖的每项</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给予</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20万元奖励；对</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当年度</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获得中国专利银奖、中国外观设计银奖的</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每项</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给予10万元奖励；对</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当年度</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获得中国专利优秀奖、中国外观设计优秀奖的每项给予5万元奖励；对</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当年度</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获山东省专利奖特别奖和一、二、三等奖的</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每项</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给予20万元、5万元、3万元、1万元奖励。</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当年度获得省级高价值专利培育项目的，给予每个项目15万元奖励。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对同一项目在同一评选年度内，同时获得国家和省专利奖的，按国家级专利奖进行奖励，不重复奖励。</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第十</w:t>
      </w:r>
      <w:r>
        <w:rPr>
          <w:rFonts w:hint="eastAsia" w:ascii="Times New Roman" w:hAnsi="Times New Roman" w:eastAsia="方正楷体简体" w:cs="Times New Roman"/>
          <w:b/>
          <w:bCs/>
          <w:color w:val="000000" w:themeColor="text1"/>
          <w:spacing w:val="0"/>
          <w:kern w:val="21"/>
          <w:sz w:val="32"/>
          <w:szCs w:val="32"/>
          <w:lang w:eastAsia="zh-CN"/>
          <w14:textFill>
            <w14:solidFill>
              <w14:schemeClr w14:val="tx1"/>
            </w14:solidFill>
          </w14:textFill>
        </w:rPr>
        <w:t>四</w:t>
      </w: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条</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 xml:space="preserve">  </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鼓励企业开展专利质押融资。企业通过专利</w:t>
      </w:r>
      <w:r>
        <w:rPr>
          <w:rFonts w:hint="eastAsia" w:ascii="Times New Roman" w:hAnsi="Times New Roman" w:eastAsia="方正仿宋简体" w:cs="Times New Roman"/>
          <w:b/>
          <w:bCs/>
          <w:color w:val="000000" w:themeColor="text1"/>
          <w:spacing w:val="0"/>
          <w:kern w:val="21"/>
          <w:sz w:val="32"/>
          <w:szCs w:val="32"/>
          <w:lang w:eastAsia="zh-CN"/>
          <w14:textFill>
            <w14:solidFill>
              <w14:schemeClr w14:val="tx1"/>
            </w14:solidFill>
          </w14:textFill>
        </w:rPr>
        <w:t>、</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商标</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质押获得贷款并完成在国家知识产权局备案登记的贷款项目，按期还本付息后，对符合条件的单笔贷款，每笔给予</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1</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万元</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资助</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，同一家企业每年最高不超过</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5</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企业因专利</w:t>
      </w:r>
      <w:r>
        <w:rPr>
          <w:rFonts w:hint="eastAsia" w:ascii="Times New Roman" w:hAnsi="Times New Roman" w:eastAsia="方正仿宋简体" w:cs="Times New Roman"/>
          <w:b/>
          <w:bCs/>
          <w:color w:val="000000" w:themeColor="text1"/>
          <w:spacing w:val="0"/>
          <w:kern w:val="21"/>
          <w:sz w:val="32"/>
          <w:szCs w:val="32"/>
          <w:lang w:eastAsia="zh-CN"/>
          <w14:textFill>
            <w14:solidFill>
              <w14:schemeClr w14:val="tx1"/>
            </w14:solidFill>
          </w14:textFill>
        </w:rPr>
        <w:t>、</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商标</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质押贷款而产生的专利评估、价值分析费，对</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其</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超出省、市资助的剩余部分给予20%资助</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，对同一家企业</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单笔</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补助</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额</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最高不超过</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1</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万元</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同一家企业每年最高不超过</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3</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第</w:t>
      </w:r>
      <w:r>
        <w:rPr>
          <w:rFonts w:hint="eastAsia" w:ascii="Times New Roman" w:hAnsi="Times New Roman" w:eastAsia="方正楷体简体" w:cs="Times New Roman"/>
          <w:b/>
          <w:bCs/>
          <w:color w:val="000000" w:themeColor="text1"/>
          <w:spacing w:val="0"/>
          <w:kern w:val="21"/>
          <w:sz w:val="32"/>
          <w:szCs w:val="32"/>
          <w14:textFill>
            <w14:solidFill>
              <w14:schemeClr w14:val="tx1"/>
            </w14:solidFill>
          </w14:textFill>
        </w:rPr>
        <w:t>十</w:t>
      </w:r>
      <w:r>
        <w:rPr>
          <w:rFonts w:hint="eastAsia" w:ascii="Times New Roman" w:hAnsi="Times New Roman" w:eastAsia="方正楷体简体" w:cs="Times New Roman"/>
          <w:b/>
          <w:bCs/>
          <w:color w:val="000000" w:themeColor="text1"/>
          <w:spacing w:val="0"/>
          <w:kern w:val="21"/>
          <w:sz w:val="32"/>
          <w:szCs w:val="32"/>
          <w:lang w:eastAsia="zh-CN"/>
          <w14:textFill>
            <w14:solidFill>
              <w14:schemeClr w14:val="tx1"/>
            </w14:solidFill>
          </w14:textFill>
        </w:rPr>
        <w:t>五</w:t>
      </w: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条</w:t>
      </w:r>
      <w:r>
        <w:rPr>
          <w:rFonts w:hint="eastAsia" w:ascii="Times New Roman" w:hAnsi="Times New Roman" w:eastAsia="方正楷体简体" w:cs="Times New Roman"/>
          <w:b/>
          <w:bCs/>
          <w:color w:val="000000" w:themeColor="text1"/>
          <w:spacing w:val="0"/>
          <w:kern w:val="21"/>
          <w:sz w:val="32"/>
          <w:szCs w:val="32"/>
          <w:lang w:val="en-US" w:eastAsia="zh-CN"/>
          <w14:textFill>
            <w14:solidFill>
              <w14:schemeClr w14:val="tx1"/>
            </w14:solidFill>
          </w14:textFill>
        </w:rPr>
        <w:t xml:space="preserve">  </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营造良好的知识产权保护环境。资助标准如下：</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专利维权援助资助。支持企事业单位积极应对专利纠纷维权，对在具有较大影响的专利纠纷诉讼案中获得胜诉的，诉讼费、受理费、取证鉴</w:t>
      </w:r>
      <w:r>
        <w:rPr>
          <w:rFonts w:hint="eastAsia" w:ascii="Times New Roman" w:hAnsi="Times New Roman" w:eastAsia="方正仿宋简体" w:cs="Times New Roman"/>
          <w:b/>
          <w:bCs/>
          <w:strike w:val="0"/>
          <w:dstrike w:val="0"/>
          <w:color w:val="000000" w:themeColor="text1"/>
          <w:spacing w:val="0"/>
          <w:kern w:val="21"/>
          <w:sz w:val="32"/>
          <w:szCs w:val="32"/>
          <w:lang w:val="en-US" w:eastAsia="zh-CN"/>
          <w14:textFill>
            <w14:solidFill>
              <w14:schemeClr w14:val="tx1"/>
            </w14:solidFill>
          </w14:textFill>
        </w:rPr>
        <w:t>定</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费、无效宣告请求费等法律服务费按实际发生费用的50%给予最高10万元资助。</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第</w:t>
      </w:r>
      <w:r>
        <w:rPr>
          <w:rFonts w:hint="eastAsia" w:ascii="Times New Roman" w:hAnsi="Times New Roman" w:eastAsia="方正楷体简体" w:cs="Times New Roman"/>
          <w:b/>
          <w:bCs/>
          <w:color w:val="000000" w:themeColor="text1"/>
          <w:spacing w:val="0"/>
          <w:kern w:val="21"/>
          <w:sz w:val="32"/>
          <w:szCs w:val="32"/>
          <w14:textFill>
            <w14:solidFill>
              <w14:schemeClr w14:val="tx1"/>
            </w14:solidFill>
          </w14:textFill>
        </w:rPr>
        <w:t>十</w:t>
      </w:r>
      <w:r>
        <w:rPr>
          <w:rFonts w:hint="eastAsia" w:ascii="Times New Roman" w:hAnsi="Times New Roman" w:eastAsia="方正楷体简体" w:cs="Times New Roman"/>
          <w:b/>
          <w:bCs/>
          <w:color w:val="000000" w:themeColor="text1"/>
          <w:spacing w:val="0"/>
          <w:kern w:val="21"/>
          <w:sz w:val="32"/>
          <w:szCs w:val="32"/>
          <w:lang w:eastAsia="zh-CN"/>
          <w14:textFill>
            <w14:solidFill>
              <w14:schemeClr w14:val="tx1"/>
            </w14:solidFill>
          </w14:textFill>
        </w:rPr>
        <w:t>六</w:t>
      </w:r>
      <w:r>
        <w:rPr>
          <w:rFonts w:ascii="Times New Roman" w:hAnsi="Times New Roman" w:eastAsia="方正楷体简体" w:cs="Times New Roman"/>
          <w:b/>
          <w:bCs/>
          <w:color w:val="000000" w:themeColor="text1"/>
          <w:spacing w:val="0"/>
          <w:kern w:val="21"/>
          <w:sz w:val="32"/>
          <w:szCs w:val="32"/>
          <w14:textFill>
            <w14:solidFill>
              <w14:schemeClr w14:val="tx1"/>
            </w14:solidFill>
          </w14:textFill>
        </w:rPr>
        <w:t>条</w:t>
      </w:r>
      <w:r>
        <w:rPr>
          <w:rFonts w:hint="eastAsia" w:ascii="Times New Roman" w:hAnsi="Times New Roman" w:eastAsia="方正楷体简体" w:cs="Times New Roman"/>
          <w:b/>
          <w:bCs/>
          <w:color w:val="000000" w:themeColor="text1"/>
          <w:spacing w:val="0"/>
          <w:kern w:val="21"/>
          <w:sz w:val="32"/>
          <w:szCs w:val="32"/>
          <w:lang w:val="en-US" w:eastAsia="zh-CN"/>
          <w14:textFill>
            <w14:solidFill>
              <w14:schemeClr w14:val="tx1"/>
            </w14:solidFill>
          </w14:textFill>
        </w:rPr>
        <w:t xml:space="preserve">  </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重点培育一批专业化、综合性的知识产权运营服务机构。对在</w:t>
      </w:r>
      <w:r>
        <w:rPr>
          <w:rFonts w:hint="eastAsia" w:ascii="Times New Roman" w:hAnsi="Times New Roman" w:eastAsia="方正仿宋简体" w:cs="Times New Roman"/>
          <w:b/>
          <w:bCs/>
          <w:color w:val="000000" w:themeColor="text1"/>
          <w:spacing w:val="0"/>
          <w:kern w:val="21"/>
          <w:sz w:val="32"/>
          <w:szCs w:val="32"/>
          <w:lang w:eastAsia="zh-CN"/>
          <w14:textFill>
            <w14:solidFill>
              <w14:schemeClr w14:val="tx1"/>
            </w14:solidFill>
          </w14:textFill>
        </w:rPr>
        <w:t>济宁</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高新区</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注册</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的专利代理机构，</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当</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年度</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代理</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本行政区域范围内</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发明专利</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授权量</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50</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件以上的</w:t>
      </w:r>
      <w:r>
        <w:rPr>
          <w:rFonts w:hint="eastAsia" w:ascii="Times New Roman" w:hAnsi="Times New Roman" w:eastAsia="方正仿宋简体" w:cs="Times New Roman"/>
          <w:b/>
          <w:bCs/>
          <w:color w:val="000000" w:themeColor="text1"/>
          <w:spacing w:val="0"/>
          <w:kern w:val="21"/>
          <w:sz w:val="32"/>
          <w:szCs w:val="32"/>
          <w:lang w:eastAsia="zh-CN"/>
          <w14:textFill>
            <w14:solidFill>
              <w14:schemeClr w14:val="tx1"/>
            </w14:solidFill>
          </w14:textFill>
        </w:rPr>
        <w:t>，</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给予10万元奖励</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；当</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年度</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代理</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本行政区域范围内</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发明专利</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授权量</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100</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件以上</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的</w:t>
      </w:r>
      <w:r>
        <w:rPr>
          <w:rFonts w:hint="eastAsia" w:ascii="Times New Roman" w:hAnsi="Times New Roman" w:eastAsia="方正仿宋简体" w:cs="Times New Roman"/>
          <w:b/>
          <w:bCs/>
          <w:color w:val="000000" w:themeColor="text1"/>
          <w:spacing w:val="0"/>
          <w:kern w:val="21"/>
          <w:sz w:val="32"/>
          <w:szCs w:val="32"/>
          <w:lang w:eastAsia="zh-CN"/>
          <w14:textFill>
            <w14:solidFill>
              <w14:schemeClr w14:val="tx1"/>
            </w14:solidFill>
          </w14:textFill>
        </w:rPr>
        <w:t>，</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给予20万元奖励</w:t>
      </w:r>
      <w:r>
        <w:rPr>
          <w:rFonts w:hint="eastAsia" w:ascii="Times New Roman" w:hAnsi="Times New Roman" w:eastAsia="方正仿宋简体" w:cs="Times New Roman"/>
          <w:b/>
          <w:bCs/>
          <w:color w:val="000000" w:themeColor="text1"/>
          <w:spacing w:val="0"/>
          <w:kern w:val="2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第十</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七</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条</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未列出奖励标准的其他知识产权创造、运用、保护、服务、管理等项目，以及国家、省知识产权管理部门部署的创新工作，由</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济宁</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高新区市场监督管理局根据年度工作要求，制定实施方案，具体奖励标准结合年度资金使用计划执行。</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pPr>
      <w:r>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t>第三章  专项资金的申报管理与监督</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第十</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八</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济宁</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高新区市场监督管理局每年下发知识产权专项资金申报指南。申请单位或个人根据申报指南要求向</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济宁</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高新区市场监督管理局提报相关资料。市场监督管理局对申报的材料集中受理、审核，审核通过后相关资金按程序拨付。</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十九</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条</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申请奖励或资助的单位和个人，在申请至奖励兑现期内必须是高新区内的专利权人或商标所有人，申请人对所提供材料的真实性、完整性和准确性负主要责任。</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第二十条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获得专项资金支持的单位，应加强对专项资金的管理，实行专款专用、独立核算，确保发挥最大效益。</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第二十</w:t>
      </w:r>
      <w:r>
        <w:rPr>
          <w:rFonts w:hint="eastAsia" w:ascii="方正楷体简体" w:hAnsi="方正楷体简体" w:eastAsia="方正楷体简体" w:cs="方正楷体简体"/>
          <w:b/>
          <w:bCs/>
          <w:color w:val="000000" w:themeColor="text1"/>
          <w:spacing w:val="0"/>
          <w:kern w:val="21"/>
          <w:sz w:val="32"/>
          <w:szCs w:val="32"/>
          <w:lang w:eastAsia="zh-CN"/>
          <w14:textFill>
            <w14:solidFill>
              <w14:schemeClr w14:val="tx1"/>
            </w14:solidFill>
          </w14:textFill>
        </w:rPr>
        <w:t>一</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专项资金管理实行责任追究机制。对弄虚作假、截留、挪用</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、挤占、骗取补助资金等行为，按照《中华人民共和国预算法》《财政违法行为处罚处分条例》（国务院令第427号）等有关规定进行处理。一经发现，全额追回已奖励的资金，且3年内不再享受资</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金支持，并依法追究有关单位及其相关人员责任。</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第二十</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二</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获得财政专项资金的单位和个人，应做好项目绩效评价，并积极配合审计、纪检等部门的检查。</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pPr>
      <w:r>
        <w:rPr>
          <w:rFonts w:hint="eastAsia" w:ascii="方正黑体简体" w:hAnsi="方正黑体简体" w:eastAsia="方正黑体简体" w:cs="方正黑体简体"/>
          <w:b/>
          <w:bCs/>
          <w:color w:val="000000" w:themeColor="text1"/>
          <w:spacing w:val="0"/>
          <w:kern w:val="21"/>
          <w:sz w:val="32"/>
          <w:szCs w:val="32"/>
          <w14:textFill>
            <w14:solidFill>
              <w14:schemeClr w14:val="tx1"/>
            </w14:solidFill>
          </w14:textFill>
        </w:rPr>
        <w:t>第四章  附则</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方正仿宋简体" w:hAnsi="方正仿宋简体" w:eastAsia="方正仿宋简体" w:cs="方正仿宋简体"/>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第二十</w:t>
      </w:r>
      <w:r>
        <w:rPr>
          <w:rFonts w:hint="eastAsia" w:ascii="方正楷体简体" w:hAnsi="方正楷体简体" w:eastAsia="方正楷体简体" w:cs="方正楷体简体"/>
          <w:b/>
          <w:bCs/>
          <w:color w:val="000000" w:themeColor="text1"/>
          <w:spacing w:val="0"/>
          <w:kern w:val="21"/>
          <w:sz w:val="32"/>
          <w:szCs w:val="32"/>
          <w:lang w:eastAsia="zh-CN"/>
          <w14:textFill>
            <w14:solidFill>
              <w14:schemeClr w14:val="tx1"/>
            </w14:solidFill>
          </w14:textFill>
        </w:rPr>
        <w:t>三</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条</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本办法由</w:t>
      </w:r>
      <w:r>
        <w:rPr>
          <w:rFonts w:hint="eastAsia" w:ascii="方正仿宋简体" w:hAnsi="方正仿宋简体" w:eastAsia="方正仿宋简体" w:cs="方正仿宋简体"/>
          <w:b/>
          <w:bCs/>
          <w:color w:val="000000" w:themeColor="text1"/>
          <w:spacing w:val="0"/>
          <w:kern w:val="21"/>
          <w:sz w:val="32"/>
          <w:szCs w:val="32"/>
          <w:lang w:eastAsia="zh-CN"/>
          <w14:textFill>
            <w14:solidFill>
              <w14:schemeClr w14:val="tx1"/>
            </w14:solidFill>
          </w14:textFill>
        </w:rPr>
        <w:t>济宁</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高新区</w:t>
      </w:r>
      <w:r>
        <w:rPr>
          <w:rFonts w:hint="eastAsia" w:ascii="方正仿宋简体" w:hAnsi="方正仿宋简体" w:eastAsia="方正仿宋简体" w:cs="方正仿宋简体"/>
          <w:b/>
          <w:bCs/>
          <w:color w:val="000000" w:themeColor="text1"/>
          <w:spacing w:val="0"/>
          <w:kern w:val="21"/>
          <w:sz w:val="32"/>
          <w:szCs w:val="32"/>
          <w:lang w:val="en-US" w:eastAsia="zh-CN"/>
          <w14:textFill>
            <w14:solidFill>
              <w14:schemeClr w14:val="tx1"/>
            </w14:solidFill>
          </w14:textFill>
        </w:rPr>
        <w:t>财政金融局和</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市场监督管理局负责解释。</w:t>
      </w:r>
    </w:p>
    <w:p>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ascii="Times New Roman" w:hAnsi="Times New Roman" w:eastAsia="方正仿宋简体" w:cs="Times New Roman"/>
          <w:b/>
          <w:bCs/>
          <w:color w:val="000000" w:themeColor="text1"/>
          <w:spacing w:val="0"/>
          <w:kern w:val="21"/>
          <w:sz w:val="32"/>
          <w:szCs w:val="32"/>
          <w14:textFill>
            <w14:solidFill>
              <w14:schemeClr w14:val="tx1"/>
            </w14:solidFill>
          </w14:textFill>
        </w:rPr>
      </w:pP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第二十</w:t>
      </w:r>
      <w:r>
        <w:rPr>
          <w:rFonts w:hint="eastAsia" w:ascii="方正楷体简体" w:hAnsi="方正楷体简体" w:eastAsia="方正楷体简体" w:cs="方正楷体简体"/>
          <w:b/>
          <w:bCs/>
          <w:color w:val="000000" w:themeColor="text1"/>
          <w:spacing w:val="0"/>
          <w:kern w:val="21"/>
          <w:sz w:val="32"/>
          <w:szCs w:val="32"/>
          <w:lang w:eastAsia="zh-CN"/>
          <w14:textFill>
            <w14:solidFill>
              <w14:schemeClr w14:val="tx1"/>
            </w14:solidFill>
          </w14:textFill>
        </w:rPr>
        <w:t>四</w:t>
      </w:r>
      <w:r>
        <w:rPr>
          <w:rFonts w:hint="eastAsia" w:ascii="方正楷体简体" w:hAnsi="方正楷体简体" w:eastAsia="方正楷体简体" w:cs="方正楷体简体"/>
          <w:b/>
          <w:bCs/>
          <w:color w:val="000000" w:themeColor="text1"/>
          <w:spacing w:val="0"/>
          <w:kern w:val="21"/>
          <w:sz w:val="32"/>
          <w:szCs w:val="32"/>
          <w14:textFill>
            <w14:solidFill>
              <w14:schemeClr w14:val="tx1"/>
            </w14:solidFill>
          </w14:textFill>
        </w:rPr>
        <w:t xml:space="preserve">条 </w:t>
      </w:r>
      <w:r>
        <w:rPr>
          <w:rFonts w:hint="eastAsia" w:ascii="方正楷体简体" w:hAnsi="方正楷体简体" w:eastAsia="方正楷体简体" w:cs="方正楷体简体"/>
          <w:b/>
          <w:bCs/>
          <w:color w:val="000000" w:themeColor="text1"/>
          <w:spacing w:val="0"/>
          <w:kern w:val="21"/>
          <w:sz w:val="32"/>
          <w:szCs w:val="32"/>
          <w:lang w:val="en-US" w:eastAsia="zh-CN"/>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pacing w:val="0"/>
          <w:kern w:val="21"/>
          <w:sz w:val="32"/>
          <w:szCs w:val="32"/>
          <w14:textFill>
            <w14:solidFill>
              <w14:schemeClr w14:val="tx1"/>
            </w14:solidFill>
          </w14:textFill>
        </w:rPr>
        <w:t>本办</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法自2021年</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7</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月</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1</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日起施行，有效期至202</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4</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年</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6</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月</w:t>
      </w:r>
      <w:r>
        <w:rPr>
          <w:rFonts w:hint="eastAsia" w:ascii="Times New Roman" w:hAnsi="Times New Roman" w:eastAsia="方正仿宋简体" w:cs="Times New Roman"/>
          <w:b/>
          <w:bCs/>
          <w:color w:val="000000" w:themeColor="text1"/>
          <w:spacing w:val="0"/>
          <w:kern w:val="21"/>
          <w:sz w:val="32"/>
          <w:szCs w:val="32"/>
          <w:lang w:val="en-US" w:eastAsia="zh-CN"/>
          <w14:textFill>
            <w14:solidFill>
              <w14:schemeClr w14:val="tx1"/>
            </w14:solidFill>
          </w14:textFill>
        </w:rPr>
        <w:t>30</w:t>
      </w:r>
      <w:r>
        <w:rPr>
          <w:rFonts w:ascii="Times New Roman" w:hAnsi="Times New Roman" w:eastAsia="方正仿宋简体" w:cs="Times New Roman"/>
          <w:b/>
          <w:bCs/>
          <w:color w:val="000000" w:themeColor="text1"/>
          <w:spacing w:val="0"/>
          <w:kern w:val="21"/>
          <w:sz w:val="32"/>
          <w:szCs w:val="32"/>
          <w14:textFill>
            <w14:solidFill>
              <w14:schemeClr w14:val="tx1"/>
            </w14:solidFill>
          </w14:textFill>
        </w:rPr>
        <w:t>日。</w:t>
      </w:r>
    </w:p>
    <w:p>
      <w:pPr>
        <w:rPr>
          <w:rFonts w:hint="eastAsia"/>
          <w:b/>
          <w:bCs/>
          <w:spacing w:val="0"/>
          <w:kern w:val="21"/>
          <w:lang w:val="en-US" w:eastAsia="zh-CN"/>
        </w:rPr>
      </w:pPr>
      <w:r>
        <w:rPr>
          <w:rFonts w:hint="eastAsia"/>
          <w:b/>
          <w:bCs/>
          <w:spacing w:val="0"/>
          <w:kern w:val="21"/>
          <w:lang w:val="en-US" w:eastAsia="zh-CN"/>
        </w:rPr>
        <w:br w:type="page"/>
      </w: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b/>
          <w:bCs/>
          <w:spacing w:val="0"/>
          <w:kern w:val="21"/>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b/>
          <w:bCs/>
          <w:spacing w:val="0"/>
          <w:kern w:val="21"/>
          <w:lang w:val="en-US" w:eastAsia="zh-CN"/>
        </w:rPr>
      </w:pPr>
    </w:p>
    <w:p>
      <w:pPr>
        <w:spacing w:line="580" w:lineRule="exact"/>
        <w:ind w:right="23" w:rightChars="11" w:firstLine="141" w:firstLineChars="50"/>
        <w:rPr>
          <w:rFonts w:hint="default"/>
          <w:b/>
          <w:bCs/>
          <w:spacing w:val="0"/>
          <w:kern w:val="21"/>
          <w:lang w:val="en-US" w:eastAsia="zh-CN"/>
        </w:rPr>
      </w:pPr>
      <w:r>
        <w:rPr>
          <w:rFonts w:ascii="方正仿宋简体" w:eastAsia="方正仿宋简体"/>
          <w:b/>
          <w:bCs/>
          <w:spacing w:val="0"/>
          <w:kern w:val="21"/>
          <w:sz w:val="28"/>
          <w:szCs w:val="28"/>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402590</wp:posOffset>
                </wp:positionV>
                <wp:extent cx="557784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77840" cy="63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45pt;margin-top:31.7pt;height:0.05pt;width:439.2pt;z-index:251659264;mso-width-relative:page;mso-height-relative:page;" filled="f" stroked="t" coordsize="21600,21600" o:gfxdata="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d6EebUAAAABwEAAA8AAAAAAAAAAQAgAAAAIgAAAGRycy9kb3ducmV2LnhtbFBLAQIU&#10;ABQAAAAIAIdO4kCik2yG9wEAAPQDAAAOAAAAAAAAAAEAIAAAACMBAABkcnMvZTJvRG9jLnhtbFBL&#10;BQYAAAAABgAGAFkBAACMBQAAAAA=&#10;">
                <v:fill on="f" focussize="0,0"/>
                <v:stroke weight="0.5pt" color="#000000" joinstyle="round"/>
                <v:imagedata o:title=""/>
                <o:lock v:ext="edit" aspectratio="f"/>
              </v:line>
            </w:pict>
          </mc:Fallback>
        </mc:AlternateContent>
      </w:r>
      <w:r>
        <w:rPr>
          <w:rFonts w:ascii="方正仿宋简体" w:eastAsia="方正仿宋简体"/>
          <w:b/>
          <w:bCs/>
          <w:spacing w:val="0"/>
          <w:kern w:val="21"/>
          <w:sz w:val="28"/>
          <w:szCs w:val="28"/>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38735</wp:posOffset>
                </wp:positionV>
                <wp:extent cx="556895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568950" cy="63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6pt;margin-top:3.05pt;height:0.05pt;width:438.5pt;z-index:251660288;mso-width-relative:page;mso-height-relative:page;" filled="f" stroked="t" coordsize="21600,21600" o:gfxdata="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PEmLN9EAAAAFAQAADwAAAAAAAAABACAAAAAiAAAAZHJzL2Rvd25yZXYueG1sUEsBAhQA&#10;FAAAAAgAh07iQDr6wE35AQAA9AMAAA4AAAAAAAAAAQAgAAAAIAEAAGRycy9lMm9Eb2MueG1sUEsF&#10;BgAAAAAGAAYAWQEAAIsFAAAAAA==&#10;">
                <v:fill on="f" focussize="0,0"/>
                <v:stroke weight="0.5pt" color="#000000" joinstyle="round"/>
                <v:imagedata o:title=""/>
                <o:lock v:ext="edit" aspectratio="f"/>
              </v:line>
            </w:pict>
          </mc:Fallback>
        </mc:AlternateContent>
      </w:r>
      <w:r>
        <w:rPr>
          <w:rFonts w:hint="eastAsia" w:ascii="方正仿宋简体" w:eastAsia="方正仿宋简体"/>
          <w:b/>
          <w:bCs/>
          <w:spacing w:val="0"/>
          <w:kern w:val="21"/>
          <w:sz w:val="28"/>
          <w:szCs w:val="28"/>
        </w:rPr>
        <w:t>济宁高新区</w:t>
      </w:r>
      <w:r>
        <w:rPr>
          <w:rFonts w:hint="eastAsia" w:ascii="方正仿宋简体" w:eastAsia="方正仿宋简体"/>
          <w:b/>
          <w:bCs/>
          <w:spacing w:val="0"/>
          <w:kern w:val="21"/>
          <w:sz w:val="28"/>
          <w:szCs w:val="28"/>
          <w:lang w:eastAsia="zh-CN"/>
        </w:rPr>
        <w:t>管委会</w:t>
      </w:r>
      <w:r>
        <w:rPr>
          <w:rFonts w:hint="eastAsia" w:ascii="方正仿宋简体" w:eastAsia="方正仿宋简体"/>
          <w:b/>
          <w:bCs/>
          <w:spacing w:val="0"/>
          <w:kern w:val="21"/>
          <w:sz w:val="28"/>
          <w:szCs w:val="28"/>
        </w:rPr>
        <w:t xml:space="preserve">办公室             </w:t>
      </w:r>
      <w:r>
        <w:rPr>
          <w:rFonts w:hint="eastAsia" w:ascii="方正仿宋简体" w:eastAsia="方正仿宋简体"/>
          <w:b/>
          <w:bCs/>
          <w:spacing w:val="0"/>
          <w:kern w:val="21"/>
          <w:sz w:val="28"/>
          <w:szCs w:val="28"/>
          <w:lang w:val="en-US" w:eastAsia="zh-CN"/>
        </w:rPr>
        <w:t xml:space="preserve"> </w:t>
      </w:r>
      <w:r>
        <w:rPr>
          <w:rFonts w:hint="eastAsia" w:ascii="方正仿宋简体" w:eastAsia="方正仿宋简体"/>
          <w:b/>
          <w:bCs/>
          <w:spacing w:val="0"/>
          <w:kern w:val="21"/>
          <w:sz w:val="28"/>
          <w:szCs w:val="28"/>
        </w:rPr>
        <w:t xml:space="preserve">   </w:t>
      </w:r>
      <w:r>
        <w:rPr>
          <w:rFonts w:hint="eastAsia" w:ascii="方正仿宋简体" w:eastAsia="方正仿宋简体"/>
          <w:b/>
          <w:bCs/>
          <w:spacing w:val="0"/>
          <w:kern w:val="21"/>
          <w:sz w:val="28"/>
          <w:szCs w:val="28"/>
          <w:lang w:val="en-US" w:eastAsia="zh-CN"/>
        </w:rPr>
        <w:t xml:space="preserve">  </w:t>
      </w:r>
      <w:r>
        <w:rPr>
          <w:rFonts w:hint="eastAsia" w:ascii="方正仿宋简体" w:eastAsia="方正仿宋简体"/>
          <w:b/>
          <w:bCs/>
          <w:spacing w:val="0"/>
          <w:kern w:val="21"/>
          <w:sz w:val="28"/>
          <w:szCs w:val="28"/>
        </w:rPr>
        <w:t>20</w:t>
      </w:r>
      <w:r>
        <w:rPr>
          <w:rFonts w:hint="eastAsia" w:ascii="方正仿宋简体" w:eastAsia="方正仿宋简体"/>
          <w:b/>
          <w:bCs/>
          <w:spacing w:val="0"/>
          <w:kern w:val="21"/>
          <w:sz w:val="28"/>
          <w:szCs w:val="28"/>
          <w:lang w:val="en-US" w:eastAsia="zh-CN"/>
        </w:rPr>
        <w:t>23</w:t>
      </w:r>
      <w:r>
        <w:rPr>
          <w:rFonts w:hint="eastAsia" w:ascii="方正仿宋简体" w:eastAsia="方正仿宋简体"/>
          <w:b/>
          <w:bCs/>
          <w:spacing w:val="0"/>
          <w:kern w:val="21"/>
          <w:sz w:val="28"/>
          <w:szCs w:val="28"/>
        </w:rPr>
        <w:t>年</w:t>
      </w:r>
      <w:r>
        <w:rPr>
          <w:rFonts w:hint="eastAsia" w:ascii="方正仿宋简体" w:eastAsia="方正仿宋简体"/>
          <w:b/>
          <w:bCs/>
          <w:spacing w:val="0"/>
          <w:kern w:val="21"/>
          <w:sz w:val="28"/>
          <w:szCs w:val="28"/>
          <w:lang w:val="en-US" w:eastAsia="zh-CN"/>
        </w:rPr>
        <w:t>9</w:t>
      </w:r>
      <w:r>
        <w:rPr>
          <w:rFonts w:hint="eastAsia" w:ascii="方正仿宋简体" w:eastAsia="方正仿宋简体"/>
          <w:b/>
          <w:bCs/>
          <w:spacing w:val="0"/>
          <w:kern w:val="21"/>
          <w:sz w:val="28"/>
          <w:szCs w:val="28"/>
        </w:rPr>
        <w:t>月</w:t>
      </w:r>
      <w:r>
        <w:rPr>
          <w:rFonts w:hint="eastAsia" w:ascii="方正仿宋简体" w:eastAsia="方正仿宋简体"/>
          <w:b/>
          <w:bCs/>
          <w:spacing w:val="0"/>
          <w:kern w:val="21"/>
          <w:sz w:val="28"/>
          <w:szCs w:val="28"/>
          <w:lang w:val="en-US" w:eastAsia="zh-CN"/>
        </w:rPr>
        <w:t>28</w:t>
      </w:r>
      <w:r>
        <w:rPr>
          <w:rFonts w:hint="eastAsia" w:ascii="方正仿宋简体" w:eastAsia="方正仿宋简体"/>
          <w:b/>
          <w:bCs/>
          <w:spacing w:val="0"/>
          <w:kern w:val="21"/>
          <w:sz w:val="28"/>
          <w:szCs w:val="28"/>
        </w:rPr>
        <w:t>日印发</w:t>
      </w:r>
    </w:p>
    <w:sectPr>
      <w:footerReference r:id="rId3" w:type="default"/>
      <w:pgSz w:w="11906" w:h="16838"/>
      <w:pgMar w:top="2098" w:right="1474" w:bottom="1984" w:left="1587" w:header="851" w:footer="158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7A"/>
    <w:family w:val="auto"/>
    <w:pitch w:val="default"/>
    <w:sig w:usb0="800002BF" w:usb1="38CF7CFA" w:usb2="00000016" w:usb3="00000000" w:csb0="00040001" w:csb1="00000000"/>
    <w:embedRegular r:id="rId1" w:fontKey="{7D2DE03B-8724-4BB9-AE53-DA5B986423C8}"/>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iOGNlYWViOTBiMmNjNWNiZjZiNjhkN2M2ZDYwMjkifQ=="/>
  </w:docVars>
  <w:rsids>
    <w:rsidRoot w:val="28132FC9"/>
    <w:rsid w:val="000C7C9C"/>
    <w:rsid w:val="03403BA7"/>
    <w:rsid w:val="03B732C4"/>
    <w:rsid w:val="0795566A"/>
    <w:rsid w:val="11F96EF5"/>
    <w:rsid w:val="250F55C7"/>
    <w:rsid w:val="28132FC9"/>
    <w:rsid w:val="2A6259CA"/>
    <w:rsid w:val="2E580BC3"/>
    <w:rsid w:val="34F7511D"/>
    <w:rsid w:val="368F2E9F"/>
    <w:rsid w:val="39D762C9"/>
    <w:rsid w:val="3D4C5F2A"/>
    <w:rsid w:val="408F1FDB"/>
    <w:rsid w:val="4C1F2CA8"/>
    <w:rsid w:val="4D0644F6"/>
    <w:rsid w:val="54900541"/>
    <w:rsid w:val="60E600CA"/>
    <w:rsid w:val="72DA0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unhideWhenUsed/>
    <w:qFormat/>
    <w:uiPriority w:val="99"/>
    <w:pPr>
      <w:spacing w:after="120"/>
    </w:pPr>
  </w:style>
  <w:style w:type="paragraph" w:styleId="4">
    <w:name w:val="Body Text First Indent"/>
    <w:basedOn w:val="3"/>
    <w:next w:val="3"/>
    <w:qFormat/>
    <w:uiPriority w:val="0"/>
    <w:pPr>
      <w:ind w:firstLine="720"/>
    </w:pPr>
    <w:rPr>
      <w:rFonts w:ascii="Times New Roman" w:hAnsi="Times New Roman" w:eastAsia="宋体" w:cs="Times New Roman"/>
    </w:rPr>
  </w:style>
  <w:style w:type="paragraph" w:styleId="5">
    <w:name w:val="Body Text Indent"/>
    <w:basedOn w:val="1"/>
    <w:unhideWhenUsed/>
    <w:qFormat/>
    <w:uiPriority w:val="99"/>
    <w:pPr>
      <w:spacing w:after="120" w:line="240" w:lineRule="auto"/>
      <w:ind w:left="420" w:leftChars="200" w:firstLine="0" w:firstLineChars="0"/>
    </w:pPr>
    <w:rPr>
      <w:rFonts w:ascii="Calibri" w:hAnsi="Calibri" w:eastAsia="宋体" w:cs="Times New Roman"/>
      <w:sz w:val="21"/>
      <w:szCs w:val="2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2"/>
    <w:basedOn w:val="5"/>
    <w:qFormat/>
    <w:uiPriority w:val="0"/>
    <w:pPr>
      <w:ind w:firstLine="420" w:firstLineChars="200"/>
    </w:pPr>
    <w:rPr>
      <w:rFonts w:ascii="Times New Roman" w:hAnsi="Times New Roman" w:eastAsia="宋体"/>
      <w:b/>
      <w:bCs/>
      <w:sz w:val="32"/>
      <w:szCs w:val="32"/>
    </w:rPr>
  </w:style>
  <w:style w:type="paragraph" w:customStyle="1" w:styleId="12">
    <w:name w:val="正文首行缩进 21"/>
    <w:qFormat/>
    <w:uiPriority w:val="0"/>
    <w:pPr>
      <w:widowControl w:val="0"/>
      <w:ind w:left="200" w:leftChars="200" w:firstLine="20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4489</Words>
  <Characters>4656</Characters>
  <Lines>0</Lines>
  <Paragraphs>0</Paragraphs>
  <TotalTime>0</TotalTime>
  <ScaleCrop>false</ScaleCrop>
  <LinksUpToDate>false</LinksUpToDate>
  <CharactersWithSpaces>4738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2022-07-25T01:17:00Z</dcterms:created>
  <dc:creator>水手公园</dc:creator>
  <cp:lastModifiedBy>水手公园</cp:lastModifiedBy>
  <cp:lastPrinted>2023-10-08T09:06:00Z</cp:lastPrinted>
  <dcterms:modified xsi:type="dcterms:W3CDTF">2023-10-20T02:42:56Z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8DB1E63CEA9D455395F68EED7A312280</vt:lpwstr>
  </property>
  <property fmtid="{D5CDD505-2E9C-101B-9397-08002B2CF9AE}" pid="4" name="KSOSaveFontToCloudKey">
    <vt:lpwstr>487201059_embed</vt:lpwstr>
  </property>
</Properties>
</file>