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0ACA4">
      <w:pPr>
        <w:spacing w:line="590" w:lineRule="exact"/>
        <w:ind w:right="-100" w:rightChars="-50"/>
        <w:jc w:val="center"/>
        <w:outlineLvl w:val="0"/>
        <w:rPr>
          <w:rFonts w:hint="default" w:ascii="方正小标宋简体" w:hAnsi="Calibri" w:eastAsia="方正小标宋简体"/>
          <w:b/>
          <w:color w:val="000000"/>
          <w:kern w:val="2"/>
          <w:sz w:val="44"/>
          <w:szCs w:val="44"/>
          <w:lang w:val="en-US" w:eastAsia="zh-CN"/>
        </w:rPr>
      </w:pPr>
      <w:r>
        <w:rPr>
          <w:rFonts w:hint="eastAsia" w:ascii="方正小标宋简体" w:hAnsi="Calibri" w:eastAsia="方正小标宋简体"/>
          <w:b/>
          <w:color w:val="000000"/>
          <w:kern w:val="2"/>
          <w:sz w:val="44"/>
          <w:szCs w:val="44"/>
          <w:lang w:val="en-US" w:eastAsia="zh-CN"/>
        </w:rPr>
        <w:t>济宁</w:t>
      </w:r>
      <w:r>
        <w:rPr>
          <w:rFonts w:hint="default" w:ascii="方正小标宋简体" w:hAnsi="Calibri" w:eastAsia="方正小标宋简体"/>
          <w:b/>
          <w:color w:val="000000"/>
          <w:kern w:val="2"/>
          <w:sz w:val="44"/>
          <w:szCs w:val="44"/>
          <w:lang w:val="en-US" w:eastAsia="zh-CN"/>
        </w:rPr>
        <w:t>高新区城乡建设和交通局202</w:t>
      </w:r>
      <w:r>
        <w:rPr>
          <w:rFonts w:hint="eastAsia" w:ascii="方正小标宋简体" w:hAnsi="Calibri" w:eastAsia="方正小标宋简体"/>
          <w:b/>
          <w:color w:val="000000"/>
          <w:kern w:val="2"/>
          <w:sz w:val="44"/>
          <w:szCs w:val="44"/>
          <w:lang w:val="en-US" w:eastAsia="zh-CN"/>
        </w:rPr>
        <w:t>4</w:t>
      </w:r>
      <w:r>
        <w:rPr>
          <w:rFonts w:hint="default" w:ascii="方正小标宋简体" w:hAnsi="Calibri" w:eastAsia="方正小标宋简体"/>
          <w:b/>
          <w:color w:val="000000"/>
          <w:kern w:val="2"/>
          <w:sz w:val="44"/>
          <w:szCs w:val="44"/>
          <w:lang w:val="en-US" w:eastAsia="zh-CN"/>
        </w:rPr>
        <w:t>年政府</w:t>
      </w:r>
    </w:p>
    <w:p w14:paraId="16CD814D">
      <w:pPr>
        <w:spacing w:line="590" w:lineRule="exact"/>
        <w:ind w:right="-100" w:rightChars="-50"/>
        <w:jc w:val="center"/>
        <w:outlineLvl w:val="0"/>
        <w:rPr>
          <w:rFonts w:hint="default" w:ascii="方正小标宋简体" w:hAnsi="Calibri" w:eastAsia="方正小标宋简体"/>
          <w:b/>
          <w:color w:val="000000"/>
          <w:kern w:val="2"/>
          <w:sz w:val="44"/>
          <w:szCs w:val="44"/>
          <w:lang w:val="en-US" w:eastAsia="zh-CN"/>
        </w:rPr>
      </w:pPr>
      <w:r>
        <w:rPr>
          <w:rFonts w:hint="default" w:ascii="方正小标宋简体" w:hAnsi="Calibri" w:eastAsia="方正小标宋简体"/>
          <w:b/>
          <w:color w:val="000000"/>
          <w:kern w:val="2"/>
          <w:sz w:val="44"/>
          <w:szCs w:val="44"/>
          <w:lang w:val="en-US" w:eastAsia="zh-CN"/>
        </w:rPr>
        <w:t>信息公开工作年度报告</w:t>
      </w:r>
    </w:p>
    <w:p w14:paraId="4CFA4A09">
      <w:pPr>
        <w:rPr>
          <w:rFonts w:hint="default" w:ascii="Times New Roman" w:hAnsi="Times New Roman" w:cs="Times New Roman"/>
          <w:color w:val="auto"/>
          <w:highlight w:val="none"/>
        </w:rPr>
      </w:pPr>
    </w:p>
    <w:p w14:paraId="03D033CC">
      <w:pPr>
        <w:spacing w:line="600" w:lineRule="exact"/>
        <w:ind w:firstLine="643" w:firstLineChars="200"/>
        <w:rPr>
          <w:rFonts w:hint="default" w:ascii="方正仿宋简体" w:hAnsi="Calibri" w:eastAsia="方正仿宋简体"/>
          <w:b/>
          <w:color w:val="000000"/>
          <w:kern w:val="2"/>
          <w:sz w:val="32"/>
          <w:szCs w:val="32"/>
          <w:lang w:val="en-US" w:eastAsia="zh-CN"/>
        </w:rPr>
      </w:pPr>
      <w:r>
        <w:rPr>
          <w:rFonts w:hint="default" w:ascii="方正仿宋简体" w:hAnsi="Calibri" w:eastAsia="方正仿宋简体"/>
          <w:b/>
          <w:color w:val="000000"/>
          <w:kern w:val="2"/>
          <w:sz w:val="32"/>
          <w:szCs w:val="32"/>
          <w:lang w:val="en-US" w:eastAsia="zh-CN"/>
        </w:rPr>
        <w:t>本报告由</w:t>
      </w:r>
      <w:r>
        <w:rPr>
          <w:rFonts w:hint="eastAsia" w:ascii="方正仿宋简体" w:hAnsi="Calibri" w:eastAsia="方正仿宋简体"/>
          <w:b/>
          <w:color w:val="000000"/>
          <w:kern w:val="2"/>
          <w:sz w:val="32"/>
          <w:szCs w:val="32"/>
          <w:lang w:val="en-US" w:eastAsia="zh-CN"/>
        </w:rPr>
        <w:t>济宁</w:t>
      </w:r>
      <w:r>
        <w:rPr>
          <w:rFonts w:hint="default" w:ascii="方正仿宋简体" w:hAnsi="Calibri" w:eastAsia="方正仿宋简体"/>
          <w:b/>
          <w:color w:val="000000"/>
          <w:kern w:val="2"/>
          <w:sz w:val="32"/>
          <w:szCs w:val="32"/>
          <w:lang w:val="en-US" w:eastAsia="zh-CN"/>
        </w:rPr>
        <w:t>高新区城乡建设和交通局按照《中华人民共和国政府信息公开条例》（以下简称《条例》）和《中华人民共和国政府信息公开工作年度报告格式》（国办公开办函〔2021〕30号）要求编制。</w:t>
      </w:r>
    </w:p>
    <w:p w14:paraId="330D8079">
      <w:pPr>
        <w:spacing w:line="600" w:lineRule="exact"/>
        <w:ind w:firstLine="643" w:firstLineChars="200"/>
        <w:rPr>
          <w:rFonts w:hint="default" w:ascii="方正仿宋简体" w:hAnsi="Calibri" w:eastAsia="方正仿宋简体"/>
          <w:b/>
          <w:color w:val="000000"/>
          <w:kern w:val="2"/>
          <w:sz w:val="32"/>
          <w:szCs w:val="32"/>
          <w:lang w:val="en-US" w:eastAsia="zh-CN"/>
        </w:rPr>
      </w:pPr>
      <w:r>
        <w:rPr>
          <w:rFonts w:hint="default" w:ascii="方正仿宋简体" w:hAnsi="Calibri" w:eastAsia="方正仿宋简体"/>
          <w:b/>
          <w:color w:val="000000"/>
          <w:kern w:val="2"/>
          <w:sz w:val="32"/>
          <w:szCs w:val="32"/>
          <w:lang w:val="en-US" w:eastAsia="zh-CN"/>
        </w:rPr>
        <w:t>本报告内容包括总体情况、主动公开政府信息情况、收到和处理政府信息公开申请情况、政府信息公开行政复议和行政诉讼情况、存在的主要问题及改进情况、其他需要报告的事项等六部分内容。</w:t>
      </w:r>
    </w:p>
    <w:p w14:paraId="24AA9144">
      <w:pPr>
        <w:spacing w:line="600" w:lineRule="exact"/>
        <w:ind w:firstLine="643" w:firstLineChars="200"/>
        <w:rPr>
          <w:rFonts w:hint="default" w:ascii="Times New Roman" w:hAnsi="Times New Roman" w:eastAsia="仿宋_GB2312" w:cs="Times New Roman"/>
          <w:b/>
          <w:bCs/>
          <w:color w:val="auto"/>
          <w:sz w:val="32"/>
          <w:szCs w:val="32"/>
          <w:highlight w:val="none"/>
        </w:rPr>
      </w:pP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本报告所列数据的统计期限自202</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4</w:t>
      </w: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年1月1日起至202</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4</w:t>
      </w: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年12月31日止。</w:t>
      </w:r>
      <w:r>
        <w:rPr>
          <w:rFonts w:hint="default" w:ascii="方正仿宋简体" w:hAnsi="Calibri" w:eastAsia="方正仿宋简体"/>
          <w:b/>
          <w:color w:val="000000"/>
          <w:kern w:val="2"/>
          <w:sz w:val="32"/>
          <w:szCs w:val="32"/>
          <w:lang w:val="en-US" w:eastAsia="zh-CN"/>
        </w:rPr>
        <w:t>本报告电子版可在“济宁国家高新技术产业开发区”管委会门户网站（http://www.jnhn.gov.cn）查阅或下载。如对本报告有疑问，请与</w:t>
      </w:r>
      <w:r>
        <w:rPr>
          <w:rFonts w:hint="eastAsia" w:ascii="方正仿宋简体" w:hAnsi="Calibri" w:eastAsia="方正仿宋简体"/>
          <w:b/>
          <w:color w:val="000000"/>
          <w:kern w:val="2"/>
          <w:sz w:val="32"/>
          <w:szCs w:val="32"/>
          <w:lang w:val="en-US" w:eastAsia="zh-CN"/>
        </w:rPr>
        <w:t>济宁</w:t>
      </w:r>
      <w:r>
        <w:rPr>
          <w:rFonts w:hint="default" w:ascii="方正仿宋简体" w:hAnsi="Calibri" w:eastAsia="方正仿宋简体"/>
          <w:b/>
          <w:color w:val="000000"/>
          <w:kern w:val="2"/>
          <w:sz w:val="32"/>
          <w:szCs w:val="32"/>
          <w:lang w:val="en-US" w:eastAsia="zh-CN"/>
        </w:rPr>
        <w:t>高新区城乡建设和交通局联系（地址：济宁高新区海川路9号T3-9楼，联系电话：0537-3255049）。</w:t>
      </w:r>
    </w:p>
    <w:p w14:paraId="335EE855">
      <w:pPr>
        <w:spacing w:line="590" w:lineRule="exact"/>
        <w:ind w:right="-100" w:rightChars="-50" w:firstLine="643" w:firstLineChars="200"/>
        <w:rPr>
          <w:rFonts w:hint="default" w:ascii="Times New Roman" w:hAnsi="Times New Roman" w:eastAsia="方正黑体简体"/>
          <w:b/>
          <w:kern w:val="0"/>
          <w:sz w:val="32"/>
          <w:szCs w:val="32"/>
        </w:rPr>
      </w:pPr>
      <w:r>
        <w:rPr>
          <w:rFonts w:hint="default" w:ascii="Times New Roman" w:hAnsi="Times New Roman" w:eastAsia="方正黑体简体"/>
          <w:b/>
          <w:kern w:val="0"/>
          <w:sz w:val="32"/>
          <w:szCs w:val="32"/>
        </w:rPr>
        <w:t>一、总体情况</w:t>
      </w:r>
    </w:p>
    <w:p w14:paraId="15983A45">
      <w:pPr>
        <w:spacing w:line="600" w:lineRule="exact"/>
        <w:ind w:firstLine="643" w:firstLineChars="200"/>
        <w:rPr>
          <w:rFonts w:hint="eastAsia" w:ascii="方正仿宋简体" w:hAnsi="Calibri" w:eastAsia="方正仿宋简体"/>
          <w:b/>
          <w:color w:val="000000"/>
          <w:kern w:val="2"/>
          <w:sz w:val="32"/>
          <w:szCs w:val="32"/>
          <w:lang w:val="en-US" w:eastAsia="zh-CN"/>
        </w:rPr>
      </w:pPr>
      <w:r>
        <w:rPr>
          <w:rFonts w:hint="default" w:ascii="方正仿宋简体" w:hAnsi="Calibri" w:eastAsia="方正仿宋简体"/>
          <w:b/>
          <w:color w:val="000000"/>
          <w:kern w:val="2"/>
          <w:sz w:val="32"/>
          <w:szCs w:val="32"/>
          <w:lang w:val="en-US" w:eastAsia="zh-CN"/>
        </w:rPr>
        <w:t>2024</w:t>
      </w:r>
      <w:r>
        <w:rPr>
          <w:rFonts w:hint="eastAsia" w:ascii="方正仿宋简体" w:hAnsi="Calibri" w:eastAsia="方正仿宋简体"/>
          <w:b/>
          <w:color w:val="000000"/>
          <w:kern w:val="2"/>
          <w:sz w:val="32"/>
          <w:szCs w:val="32"/>
          <w:lang w:val="en-US" w:eastAsia="zh-CN"/>
        </w:rPr>
        <w:t>年，区城乡建设和交通局根据政务公开总体工作要求，扎实推进政务公开工作制度化，不断加强政务公开平台建设，依法依规细化公开内容，强化政务信息公开工作保障，全力推进政府信息公开工作。全年本局政府信息公开工作运行正常，政府信息公开咨询、申请以及答复工作开展有序。</w:t>
      </w:r>
    </w:p>
    <w:p w14:paraId="5252FB09">
      <w:pPr>
        <w:spacing w:line="590" w:lineRule="exact"/>
        <w:ind w:right="-100" w:rightChars="-50" w:firstLine="643" w:firstLineChars="200"/>
        <w:rPr>
          <w:rFonts w:hint="default" w:ascii="Times New Roman" w:hAnsi="Times New Roman" w:eastAsia="方正楷体简体" w:cs="Times New Roman"/>
          <w:b/>
          <w:bCs/>
          <w:color w:val="auto"/>
          <w:sz w:val="32"/>
          <w:szCs w:val="32"/>
          <w:highlight w:val="none"/>
        </w:rPr>
      </w:pPr>
      <w:r>
        <w:rPr>
          <w:rFonts w:hint="default" w:ascii="Times New Roman" w:hAnsi="Times New Roman" w:eastAsia="方正楷体简体" w:cs="Times New Roman"/>
          <w:b/>
          <w:bCs/>
          <w:color w:val="auto"/>
          <w:sz w:val="32"/>
          <w:szCs w:val="32"/>
          <w:highlight w:val="none"/>
        </w:rPr>
        <w:t>（</w:t>
      </w:r>
      <w:r>
        <w:rPr>
          <w:rFonts w:hint="default" w:ascii="Times New Roman" w:hAnsi="Times New Roman" w:eastAsia="方正楷体简体" w:cs="Times New Roman"/>
          <w:b/>
          <w:bCs/>
          <w:color w:val="auto"/>
          <w:sz w:val="32"/>
          <w:szCs w:val="32"/>
          <w:highlight w:val="none"/>
          <w:lang w:val="en-US" w:eastAsia="zh-CN"/>
        </w:rPr>
        <w:t>一</w:t>
      </w:r>
      <w:r>
        <w:rPr>
          <w:rFonts w:hint="default" w:ascii="Times New Roman" w:hAnsi="Times New Roman" w:eastAsia="方正楷体简体" w:cs="Times New Roman"/>
          <w:b/>
          <w:bCs/>
          <w:color w:val="auto"/>
          <w:sz w:val="32"/>
          <w:szCs w:val="32"/>
          <w:highlight w:val="none"/>
        </w:rPr>
        <w:t>）主动公开情况</w:t>
      </w:r>
    </w:p>
    <w:p w14:paraId="4B92EF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right="0" w:firstLine="643" w:firstLineChars="200"/>
        <w:jc w:val="left"/>
        <w:rPr>
          <w:rFonts w:hint="default" w:ascii="Times New Roman" w:hAnsi="Times New Roman" w:eastAsia="方正仿宋简体" w:cs="Times New Roman"/>
          <w:b/>
          <w:bCs/>
          <w:color w:val="auto"/>
          <w:sz w:val="32"/>
          <w:szCs w:val="32"/>
          <w:highlight w:val="none"/>
          <w:u w:val="none"/>
        </w:rPr>
      </w:pPr>
      <w:r>
        <w:rPr>
          <w:rFonts w:hint="default" w:ascii="方正仿宋简体" w:hAnsi="Calibri" w:eastAsia="方正仿宋简体" w:cs="Times New Roman"/>
          <w:b/>
          <w:color w:val="000000"/>
          <w:kern w:val="2"/>
          <w:sz w:val="32"/>
          <w:szCs w:val="32"/>
          <w:lang w:val="en-US" w:eastAsia="zh-CN" w:bidi="ar-SA"/>
        </w:rPr>
        <w:t>202</w:t>
      </w:r>
      <w:r>
        <w:rPr>
          <w:rFonts w:hint="eastAsia" w:ascii="方正仿宋简体" w:hAnsi="Calibri" w:eastAsia="方正仿宋简体" w:cs="Times New Roman"/>
          <w:b/>
          <w:color w:val="000000"/>
          <w:kern w:val="2"/>
          <w:sz w:val="32"/>
          <w:szCs w:val="32"/>
          <w:lang w:val="en-US" w:eastAsia="zh-CN" w:bidi="ar-SA"/>
        </w:rPr>
        <w:t>4</w:t>
      </w:r>
      <w:r>
        <w:rPr>
          <w:rFonts w:hint="default" w:ascii="方正仿宋简体" w:hAnsi="Calibri" w:eastAsia="方正仿宋简体" w:cs="Times New Roman"/>
          <w:b/>
          <w:color w:val="000000"/>
          <w:kern w:val="2"/>
          <w:sz w:val="32"/>
          <w:szCs w:val="32"/>
          <w:lang w:val="en-US" w:eastAsia="zh-CN" w:bidi="ar-SA"/>
        </w:rPr>
        <w:t>年，我局</w:t>
      </w:r>
      <w:r>
        <w:rPr>
          <w:rFonts w:hint="eastAsia" w:ascii="方正仿宋简体" w:hAnsi="Calibri" w:eastAsia="方正仿宋简体" w:cs="Times New Roman"/>
          <w:b/>
          <w:color w:val="000000"/>
          <w:kern w:val="2"/>
          <w:sz w:val="32"/>
          <w:szCs w:val="32"/>
          <w:lang w:val="en-US" w:eastAsia="zh-CN" w:bidi="ar-SA"/>
        </w:rPr>
        <w:t>主动</w:t>
      </w:r>
      <w:r>
        <w:rPr>
          <w:rFonts w:hint="default" w:ascii="方正仿宋简体" w:hAnsi="Calibri" w:eastAsia="方正仿宋简体" w:cs="Times New Roman"/>
          <w:b/>
          <w:color w:val="000000"/>
          <w:kern w:val="2"/>
          <w:sz w:val="32"/>
          <w:szCs w:val="32"/>
          <w:lang w:val="en-US" w:eastAsia="zh-CN" w:bidi="ar-SA"/>
        </w:rPr>
        <w:t>公开信息</w:t>
      </w:r>
      <w:r>
        <w:rPr>
          <w:rFonts w:hint="eastAsia" w:ascii="方正仿宋简体" w:hAnsi="Calibri" w:eastAsia="方正仿宋简体" w:cs="Times New Roman"/>
          <w:b/>
          <w:color w:val="000000"/>
          <w:kern w:val="2"/>
          <w:sz w:val="32"/>
          <w:szCs w:val="32"/>
          <w:lang w:val="en-US" w:eastAsia="zh-CN" w:bidi="ar-SA"/>
        </w:rPr>
        <w:t>332</w:t>
      </w:r>
      <w:r>
        <w:rPr>
          <w:rFonts w:hint="default" w:ascii="方正仿宋简体" w:hAnsi="Calibri" w:eastAsia="方正仿宋简体" w:cs="Times New Roman"/>
          <w:b/>
          <w:color w:val="000000"/>
          <w:kern w:val="2"/>
          <w:sz w:val="32"/>
          <w:szCs w:val="32"/>
          <w:lang w:val="en-US" w:eastAsia="zh-CN" w:bidi="ar-SA"/>
        </w:rPr>
        <w:t>条，</w:t>
      </w:r>
      <w:r>
        <w:rPr>
          <w:rFonts w:hint="eastAsia" w:ascii="方正仿宋简体" w:hAnsi="Calibri" w:eastAsia="方正仿宋简体" w:cs="Times New Roman"/>
          <w:b/>
          <w:color w:val="000000"/>
          <w:kern w:val="2"/>
          <w:sz w:val="32"/>
          <w:szCs w:val="32"/>
          <w:lang w:val="en-US" w:eastAsia="zh-CN" w:bidi="ar-SA"/>
        </w:rPr>
        <w:t>其中公共资源配置155条，行政执法公示56条，重大建设项目16条，执行和落实情况公开51条，“双随机、一公开”监管20条，通知公告29条，其它各类信息5条。</w:t>
      </w:r>
      <w:r>
        <w:rPr>
          <w:rFonts w:hint="default" w:ascii="Times New Roman" w:hAnsi="Times New Roman" w:eastAsia="方正仿宋简体" w:cs="Times New Roman"/>
          <w:b/>
          <w:bCs/>
          <w:color w:val="auto"/>
          <w:sz w:val="32"/>
          <w:szCs w:val="32"/>
          <w:highlight w:val="none"/>
          <w:u w:val="none"/>
        </w:rPr>
        <w:drawing>
          <wp:inline distT="0" distB="0" distL="114300" distR="114300">
            <wp:extent cx="5922645" cy="3292475"/>
            <wp:effectExtent l="5080" t="4445" r="15875" b="17780"/>
            <wp:docPr id="2" name="图表 2" descr="7b0a202020202263686172745265734964223a202232303437353935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68CC9C5B">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楷体简体" w:cs="Times New Roman"/>
          <w:b/>
          <w:bCs/>
          <w:color w:val="auto"/>
          <w:sz w:val="32"/>
          <w:szCs w:val="32"/>
          <w:highlight w:val="none"/>
        </w:rPr>
        <w:t>（二）依申请公开情况</w:t>
      </w:r>
    </w:p>
    <w:p w14:paraId="4CE57EC4">
      <w:pPr>
        <w:spacing w:line="600" w:lineRule="exact"/>
        <w:ind w:firstLine="643" w:firstLineChars="200"/>
        <w:rPr>
          <w:rFonts w:hint="default" w:ascii="方正仿宋简体" w:hAnsi="Calibri" w:eastAsia="方正仿宋简体"/>
          <w:b/>
          <w:color w:val="000000"/>
          <w:kern w:val="2"/>
          <w:sz w:val="32"/>
          <w:szCs w:val="32"/>
          <w:lang w:val="en-US" w:eastAsia="zh-CN"/>
        </w:rPr>
      </w:pPr>
      <w:r>
        <w:rPr>
          <w:rFonts w:hint="default" w:ascii="方正仿宋简体" w:hAnsi="Calibri" w:eastAsia="方正仿宋简体"/>
          <w:b/>
          <w:color w:val="000000"/>
          <w:kern w:val="2"/>
          <w:sz w:val="32"/>
          <w:szCs w:val="32"/>
          <w:lang w:val="en-US" w:eastAsia="zh-CN"/>
        </w:rPr>
        <w:t>202</w:t>
      </w:r>
      <w:r>
        <w:rPr>
          <w:rFonts w:hint="eastAsia" w:ascii="方正仿宋简体" w:hAnsi="Calibri" w:eastAsia="方正仿宋简体"/>
          <w:b/>
          <w:color w:val="000000"/>
          <w:kern w:val="2"/>
          <w:sz w:val="32"/>
          <w:szCs w:val="32"/>
          <w:lang w:val="en-US" w:eastAsia="zh-CN"/>
        </w:rPr>
        <w:t>4</w:t>
      </w:r>
      <w:r>
        <w:rPr>
          <w:rFonts w:hint="default" w:ascii="方正仿宋简体" w:hAnsi="Calibri" w:eastAsia="方正仿宋简体"/>
          <w:b/>
          <w:color w:val="000000"/>
          <w:kern w:val="2"/>
          <w:sz w:val="32"/>
          <w:szCs w:val="32"/>
          <w:lang w:val="en-US" w:eastAsia="zh-CN"/>
        </w:rPr>
        <w:t>年，我局共收到政府信息公开申请</w:t>
      </w:r>
      <w:r>
        <w:rPr>
          <w:rFonts w:hint="eastAsia" w:ascii="方正仿宋简体" w:hAnsi="Calibri" w:eastAsia="方正仿宋简体"/>
          <w:b/>
          <w:color w:val="000000"/>
          <w:kern w:val="2"/>
          <w:sz w:val="32"/>
          <w:szCs w:val="32"/>
          <w:lang w:val="en-US" w:eastAsia="zh-CN"/>
        </w:rPr>
        <w:t>18</w:t>
      </w:r>
      <w:r>
        <w:rPr>
          <w:rFonts w:hint="default" w:ascii="方正仿宋简体" w:hAnsi="Calibri" w:eastAsia="方正仿宋简体"/>
          <w:b/>
          <w:color w:val="000000"/>
          <w:kern w:val="2"/>
          <w:sz w:val="32"/>
          <w:szCs w:val="32"/>
          <w:lang w:val="en-US" w:eastAsia="zh-CN"/>
        </w:rPr>
        <w:t>件，其中网络申请</w:t>
      </w:r>
      <w:r>
        <w:rPr>
          <w:rFonts w:hint="eastAsia" w:ascii="方正仿宋简体" w:hAnsi="Calibri" w:eastAsia="方正仿宋简体"/>
          <w:b/>
          <w:color w:val="000000"/>
          <w:kern w:val="2"/>
          <w:sz w:val="32"/>
          <w:szCs w:val="32"/>
          <w:lang w:val="en-US" w:eastAsia="zh-CN"/>
        </w:rPr>
        <w:t>15</w:t>
      </w:r>
      <w:r>
        <w:rPr>
          <w:rFonts w:hint="default" w:ascii="方正仿宋简体" w:hAnsi="Calibri" w:eastAsia="方正仿宋简体"/>
          <w:b/>
          <w:color w:val="000000"/>
          <w:kern w:val="2"/>
          <w:sz w:val="32"/>
          <w:szCs w:val="32"/>
          <w:lang w:val="en-US" w:eastAsia="zh-CN"/>
        </w:rPr>
        <w:t>件</w:t>
      </w:r>
      <w:r>
        <w:rPr>
          <w:rFonts w:hint="eastAsia" w:ascii="方正仿宋简体" w:hAnsi="Calibri" w:eastAsia="方正仿宋简体"/>
          <w:b/>
          <w:color w:val="000000"/>
          <w:kern w:val="2"/>
          <w:sz w:val="32"/>
          <w:szCs w:val="32"/>
          <w:lang w:val="en-US" w:eastAsia="zh-CN"/>
        </w:rPr>
        <w:t>、</w:t>
      </w:r>
      <w:r>
        <w:rPr>
          <w:rFonts w:hint="default" w:ascii="方正仿宋简体" w:hAnsi="Calibri" w:eastAsia="方正仿宋简体"/>
          <w:b/>
          <w:color w:val="000000"/>
          <w:kern w:val="2"/>
          <w:sz w:val="32"/>
          <w:szCs w:val="32"/>
          <w:lang w:val="en-US" w:eastAsia="zh-CN"/>
        </w:rPr>
        <w:t>信函申请</w:t>
      </w:r>
      <w:r>
        <w:rPr>
          <w:rFonts w:hint="eastAsia" w:ascii="方正仿宋简体" w:hAnsi="Calibri" w:eastAsia="方正仿宋简体"/>
          <w:b/>
          <w:color w:val="000000"/>
          <w:kern w:val="2"/>
          <w:sz w:val="32"/>
          <w:szCs w:val="32"/>
          <w:lang w:val="en-US" w:eastAsia="zh-CN"/>
        </w:rPr>
        <w:t>3</w:t>
      </w:r>
      <w:r>
        <w:rPr>
          <w:rFonts w:hint="default" w:ascii="方正仿宋简体" w:hAnsi="Calibri" w:eastAsia="方正仿宋简体"/>
          <w:b/>
          <w:color w:val="000000"/>
          <w:kern w:val="2"/>
          <w:sz w:val="32"/>
          <w:szCs w:val="32"/>
          <w:lang w:val="en-US" w:eastAsia="zh-CN"/>
        </w:rPr>
        <w:t>件，受理件全部在</w:t>
      </w:r>
      <w:r>
        <w:rPr>
          <w:rFonts w:hint="eastAsia" w:ascii="方正仿宋简体" w:hAnsi="Calibri" w:eastAsia="方正仿宋简体"/>
          <w:b/>
          <w:color w:val="000000"/>
          <w:kern w:val="2"/>
          <w:sz w:val="32"/>
          <w:szCs w:val="32"/>
          <w:lang w:val="en-US" w:eastAsia="zh-CN"/>
        </w:rPr>
        <w:t>20个工作日</w:t>
      </w:r>
      <w:r>
        <w:rPr>
          <w:rFonts w:hint="default" w:ascii="方正仿宋简体" w:hAnsi="Calibri" w:eastAsia="方正仿宋简体"/>
          <w:b/>
          <w:color w:val="000000"/>
          <w:kern w:val="2"/>
          <w:sz w:val="32"/>
          <w:szCs w:val="32"/>
          <w:lang w:val="en-US" w:eastAsia="zh-CN"/>
        </w:rPr>
        <w:t>办理答复。申请内容主要涉及</w:t>
      </w:r>
      <w:r>
        <w:rPr>
          <w:rFonts w:hint="eastAsia" w:ascii="方正仿宋简体" w:hAnsi="Calibri" w:eastAsia="方正仿宋简体"/>
          <w:b/>
          <w:color w:val="000000"/>
          <w:kern w:val="2"/>
          <w:sz w:val="32"/>
          <w:szCs w:val="32"/>
          <w:lang w:val="en-US" w:eastAsia="zh-CN"/>
        </w:rPr>
        <w:t>保障性住房分配</w:t>
      </w:r>
      <w:r>
        <w:rPr>
          <w:rFonts w:hint="default" w:ascii="方正仿宋简体" w:hAnsi="Calibri" w:eastAsia="方正仿宋简体"/>
          <w:b/>
          <w:color w:val="000000"/>
          <w:kern w:val="2"/>
          <w:sz w:val="32"/>
          <w:szCs w:val="32"/>
          <w:lang w:val="en-US" w:eastAsia="zh-CN"/>
        </w:rPr>
        <w:t>、</w:t>
      </w:r>
      <w:r>
        <w:rPr>
          <w:rFonts w:hint="eastAsia" w:ascii="方正仿宋简体" w:hAnsi="Calibri" w:eastAsia="方正仿宋简体"/>
          <w:b/>
          <w:color w:val="000000"/>
          <w:kern w:val="2"/>
          <w:sz w:val="32"/>
          <w:szCs w:val="32"/>
          <w:lang w:val="en-US" w:eastAsia="zh-CN"/>
        </w:rPr>
        <w:t>购房补贴</w:t>
      </w:r>
      <w:r>
        <w:rPr>
          <w:rFonts w:hint="default" w:ascii="方正仿宋简体" w:hAnsi="Calibri" w:eastAsia="方正仿宋简体"/>
          <w:b/>
          <w:color w:val="000000"/>
          <w:kern w:val="2"/>
          <w:sz w:val="32"/>
          <w:szCs w:val="32"/>
          <w:lang w:val="en-US" w:eastAsia="zh-CN"/>
        </w:rPr>
        <w:t>、物业服务等方面，因政府信息公开引发的行政复议、行政诉讼案件</w:t>
      </w:r>
      <w:r>
        <w:rPr>
          <w:rFonts w:hint="eastAsia" w:ascii="方正仿宋简体" w:hAnsi="Calibri" w:eastAsia="方正仿宋简体"/>
          <w:b/>
          <w:color w:val="000000"/>
          <w:kern w:val="2"/>
          <w:sz w:val="32"/>
          <w:szCs w:val="32"/>
          <w:lang w:val="en-US" w:eastAsia="zh-CN"/>
        </w:rPr>
        <w:t>为0，无依申请信件收费情况</w:t>
      </w:r>
      <w:r>
        <w:rPr>
          <w:rFonts w:hint="default" w:ascii="方正仿宋简体" w:hAnsi="Calibri" w:eastAsia="方正仿宋简体"/>
          <w:b/>
          <w:color w:val="000000"/>
          <w:kern w:val="2"/>
          <w:sz w:val="32"/>
          <w:szCs w:val="32"/>
          <w:lang w:val="en-US" w:eastAsia="zh-CN"/>
        </w:rPr>
        <w:t>。</w:t>
      </w:r>
    </w:p>
    <w:p w14:paraId="152A9031">
      <w:pPr>
        <w:spacing w:line="240" w:lineRule="auto"/>
        <w:rPr>
          <w:rFonts w:hint="default" w:ascii="方正仿宋简体" w:hAnsi="Calibri" w:eastAsia="方正仿宋简体"/>
          <w:b/>
          <w:color w:val="000000"/>
          <w:kern w:val="2"/>
          <w:sz w:val="32"/>
          <w:szCs w:val="32"/>
          <w:lang w:val="en-US" w:eastAsia="zh-CN"/>
        </w:rPr>
      </w:pPr>
      <w:bookmarkStart w:id="0" w:name="_GoBack"/>
      <w:bookmarkEnd w:id="0"/>
      <w:r>
        <w:rPr>
          <w:rFonts w:hint="default" w:ascii="方正仿宋简体" w:hAnsi="Calibri" w:eastAsia="方正仿宋简体"/>
          <w:b/>
          <w:color w:val="000000"/>
          <w:kern w:val="2"/>
          <w:sz w:val="32"/>
          <w:szCs w:val="32"/>
          <w:lang w:val="en-US" w:eastAsia="zh-CN"/>
        </w:rPr>
        <w:drawing>
          <wp:inline distT="0" distB="0" distL="114300" distR="114300">
            <wp:extent cx="5755005" cy="3615690"/>
            <wp:effectExtent l="0" t="0" r="17145" b="3810"/>
            <wp:docPr id="1" name="图片 1"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3"/>
                    <pic:cNvPicPr>
                      <a:picLocks noChangeAspect="1"/>
                    </pic:cNvPicPr>
                  </pic:nvPicPr>
                  <pic:blipFill>
                    <a:blip r:embed="rId5"/>
                    <a:stretch>
                      <a:fillRect/>
                    </a:stretch>
                  </pic:blipFill>
                  <pic:spPr>
                    <a:xfrm>
                      <a:off x="0" y="0"/>
                      <a:ext cx="5755005" cy="3615690"/>
                    </a:xfrm>
                    <a:prstGeom prst="rect">
                      <a:avLst/>
                    </a:prstGeom>
                  </pic:spPr>
                </pic:pic>
              </a:graphicData>
            </a:graphic>
          </wp:inline>
        </w:drawing>
      </w:r>
    </w:p>
    <w:p w14:paraId="0DE3BCDD">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楷体简体" w:cs="Times New Roman"/>
          <w:b/>
          <w:bCs/>
          <w:color w:val="auto"/>
          <w:sz w:val="32"/>
          <w:szCs w:val="32"/>
          <w:highlight w:val="none"/>
        </w:rPr>
      </w:pPr>
      <w:r>
        <w:rPr>
          <w:rFonts w:hint="default" w:ascii="Times New Roman" w:hAnsi="Times New Roman" w:eastAsia="方正楷体简体" w:cs="Times New Roman"/>
          <w:b/>
          <w:bCs/>
          <w:color w:val="auto"/>
          <w:sz w:val="32"/>
          <w:szCs w:val="32"/>
          <w:highlight w:val="none"/>
        </w:rPr>
        <w:t>（三）政府信息管理情况</w:t>
      </w:r>
    </w:p>
    <w:p w14:paraId="2A9391AE">
      <w:pPr>
        <w:spacing w:line="600" w:lineRule="exact"/>
        <w:ind w:firstLine="643" w:firstLineChars="200"/>
        <w:rPr>
          <w:rFonts w:hint="eastAsia" w:ascii="方正仿宋简体" w:hAnsi="Calibri" w:eastAsia="方正仿宋简体"/>
          <w:b/>
          <w:color w:val="000000"/>
          <w:kern w:val="2"/>
          <w:sz w:val="32"/>
          <w:szCs w:val="32"/>
          <w:lang w:val="en-US" w:eastAsia="zh-CN"/>
        </w:rPr>
      </w:pPr>
      <w:r>
        <w:rPr>
          <w:rFonts w:hint="eastAsia" w:ascii="方正仿宋简体" w:hAnsi="Calibri" w:eastAsia="方正仿宋简体"/>
          <w:b/>
          <w:color w:val="000000"/>
          <w:kern w:val="2"/>
          <w:sz w:val="32"/>
          <w:szCs w:val="32"/>
          <w:lang w:val="en-US" w:eastAsia="zh-CN"/>
        </w:rPr>
        <w:t>我局指定专人负责信息的发布工作，明确职责、工作任务和工作要求，使政府信息公开工作高效、规范运行。进一步明确了职责、程序、公开方式和时限要求，严格执行保密制度及责任追究制度，严把政务公开审核关，既防止该公开的不公开，又防止不该公开的乱公开，确保无泄密事件发生。</w:t>
      </w:r>
    </w:p>
    <w:p w14:paraId="38C15D8A">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楷体简体" w:cs="Times New Roman"/>
          <w:b/>
          <w:bCs/>
          <w:color w:val="auto"/>
          <w:sz w:val="32"/>
          <w:szCs w:val="32"/>
          <w:highlight w:val="none"/>
        </w:rPr>
        <w:t>（四）政府信息公开平台建设情况</w:t>
      </w:r>
    </w:p>
    <w:p w14:paraId="2861C74C">
      <w:pPr>
        <w:spacing w:line="600" w:lineRule="exact"/>
        <w:ind w:firstLine="643" w:firstLineChars="200"/>
        <w:rPr>
          <w:rFonts w:hint="eastAsia" w:ascii="方正仿宋简体" w:hAnsi="Calibri" w:eastAsia="方正仿宋简体"/>
          <w:b/>
          <w:color w:val="000000"/>
          <w:kern w:val="2"/>
          <w:sz w:val="32"/>
          <w:szCs w:val="32"/>
          <w:lang w:val="en-US" w:eastAsia="zh-CN"/>
        </w:rPr>
      </w:pPr>
      <w:r>
        <w:rPr>
          <w:rFonts w:hint="eastAsia" w:ascii="方正仿宋简体" w:hAnsi="Calibri" w:eastAsia="方正仿宋简体"/>
          <w:b/>
          <w:color w:val="000000"/>
          <w:kern w:val="2"/>
          <w:sz w:val="32"/>
          <w:szCs w:val="32"/>
          <w:lang w:val="en-US" w:eastAsia="zh-CN"/>
        </w:rPr>
        <w:t>根据城乡建设工作职能职责，加强平台信息建设。以门户网站作为我局政府信息公开的主要平台，定期更新各栏目信息，不断提高政府网站管理服务水平。</w:t>
      </w:r>
    </w:p>
    <w:p w14:paraId="4CE52F5F">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楷体简体" w:cs="Times New Roman"/>
          <w:b/>
          <w:bCs/>
          <w:color w:val="auto"/>
          <w:sz w:val="32"/>
          <w:szCs w:val="32"/>
          <w:highlight w:val="none"/>
        </w:rPr>
      </w:pPr>
      <w:r>
        <w:rPr>
          <w:rFonts w:hint="default" w:ascii="Times New Roman" w:hAnsi="Times New Roman" w:eastAsia="方正楷体简体" w:cs="Times New Roman"/>
          <w:b/>
          <w:bCs/>
          <w:color w:val="auto"/>
          <w:sz w:val="32"/>
          <w:szCs w:val="32"/>
          <w:highlight w:val="none"/>
        </w:rPr>
        <w:t>（五）监督保障情况</w:t>
      </w:r>
    </w:p>
    <w:p w14:paraId="68038EC6">
      <w:pPr>
        <w:spacing w:line="600" w:lineRule="exact"/>
        <w:ind w:firstLine="643" w:firstLineChars="200"/>
        <w:rPr>
          <w:rFonts w:hint="eastAsia" w:ascii="方正仿宋简体" w:hAnsi="Calibri" w:eastAsia="方正仿宋简体"/>
          <w:b/>
          <w:color w:val="000000"/>
          <w:kern w:val="2"/>
          <w:sz w:val="32"/>
          <w:szCs w:val="32"/>
          <w:lang w:val="en-US" w:eastAsia="zh-CN"/>
        </w:rPr>
      </w:pPr>
      <w:r>
        <w:rPr>
          <w:rFonts w:hint="eastAsia" w:ascii="方正仿宋简体" w:hAnsi="Calibri" w:eastAsia="方正仿宋简体"/>
          <w:b/>
          <w:color w:val="000000"/>
          <w:kern w:val="2"/>
          <w:sz w:val="32"/>
          <w:szCs w:val="32"/>
          <w:lang w:val="en-US" w:eastAsia="zh-CN"/>
        </w:rPr>
        <w:t>严格落实规范门户网站信息发布审核要求，完善政府信息公开工作相关管理制度，进一步加强政府信息规范化管理。严格落实保密审查制度，加强主动公开。及时梳理更新信息公开目录，规范信息公开内容，建立政府信息公开工作长效机制。</w:t>
      </w:r>
    </w:p>
    <w:p w14:paraId="737BB011">
      <w:pPr>
        <w:spacing w:line="590" w:lineRule="exact"/>
        <w:ind w:right="-100" w:rightChars="-50" w:firstLine="643" w:firstLineChars="200"/>
        <w:rPr>
          <w:rFonts w:hint="default" w:ascii="Times New Roman" w:hAnsi="Times New Roman" w:eastAsia="方正黑体简体"/>
          <w:b/>
          <w:kern w:val="0"/>
          <w:sz w:val="32"/>
          <w:szCs w:val="32"/>
        </w:rPr>
      </w:pPr>
      <w:r>
        <w:rPr>
          <w:rFonts w:hint="default" w:ascii="Times New Roman" w:hAnsi="Times New Roman" w:eastAsia="方正黑体简体"/>
          <w:b/>
          <w:kern w:val="0"/>
          <w:sz w:val="32"/>
          <w:szCs w:val="32"/>
        </w:rPr>
        <w:t>二、主动公开政府信息情况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2435"/>
        <w:gridCol w:w="2133"/>
        <w:gridCol w:w="2216"/>
        <w:gridCol w:w="1989"/>
      </w:tblGrid>
      <w:tr w14:paraId="19DA1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14:paraId="56013051">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黑体简体" w:cs="Times New Roman"/>
                <w:b/>
                <w:bCs/>
                <w:color w:val="auto"/>
                <w:kern w:val="2"/>
                <w:sz w:val="24"/>
                <w:szCs w:val="24"/>
                <w:highlight w:val="none"/>
              </w:rPr>
            </w:pPr>
            <w:r>
              <w:rPr>
                <w:rFonts w:hint="default" w:ascii="Times New Roman" w:hAnsi="Times New Roman" w:eastAsia="方正黑体简体" w:cs="Times New Roman"/>
                <w:b/>
                <w:bCs/>
                <w:color w:val="auto"/>
                <w:kern w:val="2"/>
                <w:sz w:val="24"/>
                <w:szCs w:val="24"/>
                <w:highlight w:val="none"/>
              </w:rPr>
              <w:t>第二十条第（一）项</w:t>
            </w:r>
          </w:p>
        </w:tc>
      </w:tr>
      <w:tr w14:paraId="71050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14:paraId="60006896">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仿宋简体" w:cs="Times New Roman"/>
                <w:b/>
                <w:bCs/>
                <w:color w:val="auto"/>
                <w:kern w:val="2"/>
                <w:sz w:val="24"/>
                <w:szCs w:val="24"/>
                <w:highlight w:val="none"/>
              </w:rPr>
              <w:t>信息内容</w:t>
            </w:r>
          </w:p>
        </w:tc>
        <w:tc>
          <w:tcPr>
            <w:tcW w:w="2133" w:type="dxa"/>
            <w:shd w:val="clear" w:color="auto" w:fill="FFFFFF" w:themeFill="background1"/>
            <w:tcMar>
              <w:left w:w="57" w:type="dxa"/>
              <w:right w:w="57" w:type="dxa"/>
            </w:tcMar>
            <w:vAlign w:val="center"/>
          </w:tcPr>
          <w:p w14:paraId="5D31B183">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仿宋简体" w:cs="Times New Roman"/>
                <w:b/>
                <w:bCs/>
                <w:color w:val="auto"/>
                <w:kern w:val="2"/>
                <w:sz w:val="24"/>
                <w:szCs w:val="24"/>
                <w:highlight w:val="none"/>
              </w:rPr>
              <w:t>本年制发件数</w:t>
            </w:r>
          </w:p>
        </w:tc>
        <w:tc>
          <w:tcPr>
            <w:tcW w:w="2216" w:type="dxa"/>
            <w:shd w:val="clear" w:color="auto" w:fill="FFFFFF" w:themeFill="background1"/>
            <w:tcMar>
              <w:left w:w="57" w:type="dxa"/>
              <w:right w:w="57" w:type="dxa"/>
            </w:tcMar>
            <w:vAlign w:val="center"/>
          </w:tcPr>
          <w:p w14:paraId="49F13787">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仿宋简体" w:cs="Times New Roman"/>
                <w:b/>
                <w:bCs/>
                <w:color w:val="auto"/>
                <w:kern w:val="2"/>
                <w:sz w:val="24"/>
                <w:szCs w:val="24"/>
                <w:highlight w:val="none"/>
              </w:rPr>
              <w:t>本年废止件数</w:t>
            </w:r>
          </w:p>
        </w:tc>
        <w:tc>
          <w:tcPr>
            <w:tcW w:w="1989" w:type="dxa"/>
            <w:shd w:val="clear" w:color="auto" w:fill="FFFFFF" w:themeFill="background1"/>
            <w:tcMar>
              <w:left w:w="57" w:type="dxa"/>
              <w:right w:w="57" w:type="dxa"/>
            </w:tcMar>
            <w:vAlign w:val="center"/>
          </w:tcPr>
          <w:p w14:paraId="205CBD65">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仿宋简体" w:cs="Times New Roman"/>
                <w:b/>
                <w:bCs/>
                <w:color w:val="auto"/>
                <w:kern w:val="2"/>
                <w:sz w:val="24"/>
                <w:szCs w:val="24"/>
                <w:highlight w:val="none"/>
              </w:rPr>
              <w:t>现行有效件数</w:t>
            </w:r>
          </w:p>
        </w:tc>
      </w:tr>
      <w:tr w14:paraId="0B954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14:paraId="437623A9">
            <w:pPr>
              <w:keepNext w:val="0"/>
              <w:keepLines w:val="0"/>
              <w:widowControl/>
              <w:suppressLineNumbers w:val="0"/>
              <w:spacing w:before="0" w:beforeAutospacing="0" w:after="0" w:afterAutospacing="0" w:line="340" w:lineRule="exact"/>
              <w:ind w:left="0" w:right="0"/>
              <w:jc w:val="left"/>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仿宋简体" w:cs="Times New Roman"/>
                <w:b/>
                <w:bCs/>
                <w:color w:val="auto"/>
                <w:kern w:val="2"/>
                <w:sz w:val="24"/>
                <w:szCs w:val="24"/>
                <w:highlight w:val="none"/>
              </w:rPr>
              <w:t>规章</w:t>
            </w:r>
          </w:p>
        </w:tc>
        <w:tc>
          <w:tcPr>
            <w:tcW w:w="2133" w:type="dxa"/>
            <w:shd w:val="clear" w:color="auto" w:fill="FFFFFF" w:themeFill="background1"/>
            <w:tcMar>
              <w:left w:w="57" w:type="dxa"/>
              <w:right w:w="57" w:type="dxa"/>
            </w:tcMar>
            <w:vAlign w:val="center"/>
          </w:tcPr>
          <w:p w14:paraId="6FA1AF47">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lang w:val="en-US" w:eastAsia="zh-CN"/>
              </w:rPr>
            </w:pPr>
            <w:r>
              <w:rPr>
                <w:rFonts w:hint="default" w:ascii="Times New Roman" w:hAnsi="Times New Roman" w:eastAsia="方正仿宋简体" w:cs="Times New Roman"/>
                <w:b/>
                <w:bCs/>
                <w:color w:val="auto"/>
                <w:kern w:val="2"/>
                <w:sz w:val="24"/>
                <w:szCs w:val="24"/>
                <w:highlight w:val="none"/>
                <w:lang w:val="en-US" w:eastAsia="zh-CN"/>
              </w:rPr>
              <w:t>0</w:t>
            </w:r>
          </w:p>
        </w:tc>
        <w:tc>
          <w:tcPr>
            <w:tcW w:w="2216" w:type="dxa"/>
            <w:shd w:val="clear" w:color="auto" w:fill="FFFFFF" w:themeFill="background1"/>
            <w:tcMar>
              <w:left w:w="57" w:type="dxa"/>
              <w:right w:w="57" w:type="dxa"/>
            </w:tcMar>
            <w:vAlign w:val="center"/>
          </w:tcPr>
          <w:p w14:paraId="2004C511">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lang w:val="en-US" w:eastAsia="zh-CN"/>
              </w:rPr>
            </w:pPr>
            <w:r>
              <w:rPr>
                <w:rFonts w:hint="default" w:ascii="Times New Roman" w:hAnsi="Times New Roman" w:eastAsia="方正仿宋简体" w:cs="Times New Roman"/>
                <w:b/>
                <w:bCs/>
                <w:color w:val="auto"/>
                <w:kern w:val="2"/>
                <w:sz w:val="24"/>
                <w:szCs w:val="24"/>
                <w:highlight w:val="none"/>
                <w:lang w:val="en-US" w:eastAsia="zh-CN"/>
              </w:rPr>
              <w:t>0</w:t>
            </w:r>
          </w:p>
        </w:tc>
        <w:tc>
          <w:tcPr>
            <w:tcW w:w="1989" w:type="dxa"/>
            <w:shd w:val="clear" w:color="auto" w:fill="FFFFFF" w:themeFill="background1"/>
            <w:tcMar>
              <w:left w:w="57" w:type="dxa"/>
              <w:right w:w="57" w:type="dxa"/>
            </w:tcMar>
            <w:vAlign w:val="center"/>
          </w:tcPr>
          <w:p w14:paraId="1BB7D7C8">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lang w:val="en-US" w:eastAsia="zh-CN"/>
              </w:rPr>
            </w:pPr>
            <w:r>
              <w:rPr>
                <w:rFonts w:hint="default" w:ascii="Times New Roman" w:hAnsi="Times New Roman" w:eastAsia="方正仿宋简体" w:cs="Times New Roman"/>
                <w:b/>
                <w:bCs/>
                <w:color w:val="auto"/>
                <w:kern w:val="2"/>
                <w:sz w:val="24"/>
                <w:szCs w:val="24"/>
                <w:highlight w:val="none"/>
                <w:lang w:val="en-US" w:eastAsia="zh-CN"/>
              </w:rPr>
              <w:t>0</w:t>
            </w:r>
          </w:p>
        </w:tc>
      </w:tr>
      <w:tr w14:paraId="31EF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14:paraId="5EB885F9">
            <w:pPr>
              <w:keepNext w:val="0"/>
              <w:keepLines w:val="0"/>
              <w:widowControl/>
              <w:suppressLineNumbers w:val="0"/>
              <w:spacing w:before="0" w:beforeAutospacing="0" w:after="0" w:afterAutospacing="0" w:line="340" w:lineRule="exact"/>
              <w:ind w:left="0" w:right="0"/>
              <w:jc w:val="left"/>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仿宋简体" w:cs="Times New Roman"/>
                <w:b/>
                <w:bCs/>
                <w:color w:val="auto"/>
                <w:kern w:val="2"/>
                <w:sz w:val="24"/>
                <w:szCs w:val="24"/>
                <w:highlight w:val="none"/>
              </w:rPr>
              <w:t>行政规范性文件</w:t>
            </w:r>
          </w:p>
        </w:tc>
        <w:tc>
          <w:tcPr>
            <w:tcW w:w="2133" w:type="dxa"/>
            <w:shd w:val="clear" w:color="auto" w:fill="FFFFFF" w:themeFill="background1"/>
            <w:tcMar>
              <w:left w:w="57" w:type="dxa"/>
              <w:right w:w="57" w:type="dxa"/>
            </w:tcMar>
            <w:vAlign w:val="center"/>
          </w:tcPr>
          <w:p w14:paraId="082557DF">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lang w:val="en-US" w:eastAsia="zh-CN"/>
              </w:rPr>
            </w:pPr>
            <w:r>
              <w:rPr>
                <w:rFonts w:hint="default" w:ascii="Times New Roman" w:hAnsi="Times New Roman" w:eastAsia="方正仿宋简体" w:cs="Times New Roman"/>
                <w:b/>
                <w:bCs/>
                <w:color w:val="auto"/>
                <w:kern w:val="2"/>
                <w:sz w:val="24"/>
                <w:szCs w:val="24"/>
                <w:highlight w:val="none"/>
                <w:lang w:val="en-US" w:eastAsia="zh-CN"/>
              </w:rPr>
              <w:t>0</w:t>
            </w:r>
          </w:p>
        </w:tc>
        <w:tc>
          <w:tcPr>
            <w:tcW w:w="2216" w:type="dxa"/>
            <w:shd w:val="clear" w:color="auto" w:fill="FFFFFF" w:themeFill="background1"/>
            <w:tcMar>
              <w:left w:w="57" w:type="dxa"/>
              <w:right w:w="57" w:type="dxa"/>
            </w:tcMar>
            <w:vAlign w:val="center"/>
          </w:tcPr>
          <w:p w14:paraId="23BF4D14">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lang w:val="en-US" w:eastAsia="zh-CN"/>
              </w:rPr>
            </w:pPr>
            <w:r>
              <w:rPr>
                <w:rFonts w:hint="default" w:ascii="Times New Roman" w:hAnsi="Times New Roman" w:eastAsia="方正仿宋简体" w:cs="Times New Roman"/>
                <w:b/>
                <w:bCs/>
                <w:color w:val="auto"/>
                <w:kern w:val="2"/>
                <w:sz w:val="24"/>
                <w:szCs w:val="24"/>
                <w:highlight w:val="none"/>
                <w:lang w:val="en-US" w:eastAsia="zh-CN"/>
              </w:rPr>
              <w:t>0</w:t>
            </w:r>
          </w:p>
        </w:tc>
        <w:tc>
          <w:tcPr>
            <w:tcW w:w="1989" w:type="dxa"/>
            <w:shd w:val="clear" w:color="auto" w:fill="FFFFFF" w:themeFill="background1"/>
            <w:tcMar>
              <w:left w:w="57" w:type="dxa"/>
              <w:right w:w="57" w:type="dxa"/>
            </w:tcMar>
            <w:vAlign w:val="center"/>
          </w:tcPr>
          <w:p w14:paraId="7C9AA520">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lang w:val="en-US" w:eastAsia="zh-CN"/>
              </w:rPr>
            </w:pPr>
            <w:r>
              <w:rPr>
                <w:rFonts w:hint="default" w:ascii="Times New Roman" w:hAnsi="Times New Roman" w:eastAsia="方正仿宋简体" w:cs="Times New Roman"/>
                <w:b/>
                <w:bCs/>
                <w:color w:val="auto"/>
                <w:kern w:val="2"/>
                <w:sz w:val="24"/>
                <w:szCs w:val="24"/>
                <w:highlight w:val="none"/>
                <w:lang w:val="en-US" w:eastAsia="zh-CN"/>
              </w:rPr>
              <w:t>0</w:t>
            </w:r>
          </w:p>
        </w:tc>
      </w:tr>
      <w:tr w14:paraId="00750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14:paraId="4652D1E5">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黑体简体" w:cs="Times New Roman"/>
                <w:b/>
                <w:bCs/>
                <w:color w:val="auto"/>
                <w:kern w:val="2"/>
                <w:sz w:val="24"/>
                <w:szCs w:val="24"/>
                <w:highlight w:val="none"/>
              </w:rPr>
              <w:t>第二十条第（五）项</w:t>
            </w:r>
          </w:p>
        </w:tc>
      </w:tr>
      <w:tr w14:paraId="3A644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14:paraId="76BCF1C9">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仿宋简体" w:cs="Times New Roman"/>
                <w:b/>
                <w:bCs/>
                <w:color w:val="auto"/>
                <w:kern w:val="2"/>
                <w:sz w:val="24"/>
                <w:szCs w:val="24"/>
                <w:highlight w:val="none"/>
              </w:rPr>
              <w:t>信息内容</w:t>
            </w:r>
          </w:p>
        </w:tc>
        <w:tc>
          <w:tcPr>
            <w:tcW w:w="6338" w:type="dxa"/>
            <w:gridSpan w:val="3"/>
            <w:shd w:val="clear" w:color="auto" w:fill="FFFFFF" w:themeFill="background1"/>
            <w:tcMar>
              <w:left w:w="57" w:type="dxa"/>
              <w:right w:w="57" w:type="dxa"/>
            </w:tcMar>
            <w:vAlign w:val="center"/>
          </w:tcPr>
          <w:p w14:paraId="7E7DCC13">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仿宋简体" w:cs="Times New Roman"/>
                <w:b/>
                <w:bCs/>
                <w:color w:val="auto"/>
                <w:kern w:val="2"/>
                <w:sz w:val="24"/>
                <w:szCs w:val="24"/>
                <w:highlight w:val="none"/>
              </w:rPr>
              <w:t>本年处理决定数量</w:t>
            </w:r>
          </w:p>
        </w:tc>
      </w:tr>
      <w:tr w14:paraId="7FF34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14:paraId="28A998FD">
            <w:pPr>
              <w:keepNext w:val="0"/>
              <w:keepLines w:val="0"/>
              <w:widowControl/>
              <w:suppressLineNumbers w:val="0"/>
              <w:spacing w:before="0" w:beforeAutospacing="0" w:after="0" w:afterAutospacing="0" w:line="340" w:lineRule="exact"/>
              <w:ind w:left="0" w:right="0"/>
              <w:jc w:val="left"/>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仿宋简体" w:cs="Times New Roman"/>
                <w:b/>
                <w:bCs/>
                <w:color w:val="auto"/>
                <w:kern w:val="2"/>
                <w:sz w:val="24"/>
                <w:szCs w:val="24"/>
                <w:highlight w:val="none"/>
              </w:rPr>
              <w:t>行政许可</w:t>
            </w:r>
          </w:p>
        </w:tc>
        <w:tc>
          <w:tcPr>
            <w:tcW w:w="6338" w:type="dxa"/>
            <w:gridSpan w:val="3"/>
            <w:shd w:val="clear" w:color="auto" w:fill="FFFFFF" w:themeFill="background1"/>
            <w:tcMar>
              <w:left w:w="57" w:type="dxa"/>
              <w:right w:w="57" w:type="dxa"/>
            </w:tcMar>
            <w:vAlign w:val="center"/>
          </w:tcPr>
          <w:p w14:paraId="11C5A945">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lang w:val="en-US" w:eastAsia="zh-CN"/>
              </w:rPr>
            </w:pPr>
            <w:r>
              <w:rPr>
                <w:rFonts w:hint="eastAsia" w:eastAsia="方正仿宋简体" w:cs="Times New Roman"/>
                <w:b/>
                <w:bCs/>
                <w:color w:val="auto"/>
                <w:kern w:val="2"/>
                <w:sz w:val="24"/>
                <w:szCs w:val="24"/>
                <w:highlight w:val="none"/>
                <w:lang w:val="en-US" w:eastAsia="zh-CN"/>
              </w:rPr>
              <w:t>161</w:t>
            </w:r>
          </w:p>
        </w:tc>
      </w:tr>
      <w:tr w14:paraId="33F5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14:paraId="30C4B130">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黑体简体" w:cs="Times New Roman"/>
                <w:b/>
                <w:bCs/>
                <w:color w:val="auto"/>
                <w:kern w:val="2"/>
                <w:sz w:val="24"/>
                <w:szCs w:val="24"/>
                <w:highlight w:val="none"/>
              </w:rPr>
              <w:t>第二十条第（六）项</w:t>
            </w:r>
          </w:p>
        </w:tc>
      </w:tr>
      <w:tr w14:paraId="6079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14:paraId="0858C504">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仿宋简体" w:cs="Times New Roman"/>
                <w:b/>
                <w:bCs/>
                <w:color w:val="auto"/>
                <w:kern w:val="2"/>
                <w:sz w:val="24"/>
                <w:szCs w:val="24"/>
                <w:highlight w:val="none"/>
              </w:rPr>
              <w:t>信息内容</w:t>
            </w:r>
          </w:p>
        </w:tc>
        <w:tc>
          <w:tcPr>
            <w:tcW w:w="6338" w:type="dxa"/>
            <w:gridSpan w:val="3"/>
            <w:shd w:val="clear" w:color="auto" w:fill="FFFFFF" w:themeFill="background1"/>
            <w:tcMar>
              <w:left w:w="57" w:type="dxa"/>
              <w:right w:w="57" w:type="dxa"/>
            </w:tcMar>
            <w:vAlign w:val="center"/>
          </w:tcPr>
          <w:p w14:paraId="0F2FAC31">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仿宋简体" w:cs="Times New Roman"/>
                <w:b/>
                <w:bCs/>
                <w:color w:val="auto"/>
                <w:kern w:val="2"/>
                <w:sz w:val="24"/>
                <w:szCs w:val="24"/>
                <w:highlight w:val="none"/>
              </w:rPr>
              <w:t>本年处理决定数量</w:t>
            </w:r>
          </w:p>
        </w:tc>
      </w:tr>
      <w:tr w14:paraId="186A4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14:paraId="17FA2928">
            <w:pPr>
              <w:keepNext w:val="0"/>
              <w:keepLines w:val="0"/>
              <w:widowControl/>
              <w:suppressLineNumbers w:val="0"/>
              <w:spacing w:before="0" w:beforeAutospacing="0" w:after="0" w:afterAutospacing="0" w:line="340" w:lineRule="exact"/>
              <w:ind w:left="0" w:right="0"/>
              <w:jc w:val="left"/>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仿宋简体" w:cs="Times New Roman"/>
                <w:b/>
                <w:bCs/>
                <w:color w:val="auto"/>
                <w:kern w:val="2"/>
                <w:sz w:val="24"/>
                <w:szCs w:val="24"/>
                <w:highlight w:val="none"/>
              </w:rPr>
              <w:t>行政处罚</w:t>
            </w:r>
          </w:p>
        </w:tc>
        <w:tc>
          <w:tcPr>
            <w:tcW w:w="6338" w:type="dxa"/>
            <w:gridSpan w:val="3"/>
            <w:shd w:val="clear" w:color="auto" w:fill="FFFFFF" w:themeFill="background1"/>
            <w:tcMar>
              <w:left w:w="57" w:type="dxa"/>
              <w:right w:w="57" w:type="dxa"/>
            </w:tcMar>
            <w:vAlign w:val="center"/>
          </w:tcPr>
          <w:p w14:paraId="0E76FD72">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lang w:val="en-US" w:eastAsia="zh-CN"/>
              </w:rPr>
            </w:pPr>
            <w:r>
              <w:rPr>
                <w:rFonts w:hint="eastAsia" w:eastAsia="方正仿宋简体" w:cs="Times New Roman"/>
                <w:b/>
                <w:bCs/>
                <w:color w:val="auto"/>
                <w:kern w:val="2"/>
                <w:sz w:val="24"/>
                <w:szCs w:val="24"/>
                <w:highlight w:val="none"/>
                <w:lang w:val="en-US" w:eastAsia="zh-CN"/>
              </w:rPr>
              <w:t>1</w:t>
            </w:r>
          </w:p>
        </w:tc>
      </w:tr>
      <w:tr w14:paraId="21304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14:paraId="3D40A844">
            <w:pPr>
              <w:keepNext w:val="0"/>
              <w:keepLines w:val="0"/>
              <w:widowControl/>
              <w:suppressLineNumbers w:val="0"/>
              <w:spacing w:before="0" w:beforeAutospacing="0" w:after="0" w:afterAutospacing="0" w:line="340" w:lineRule="exact"/>
              <w:ind w:left="0" w:right="0"/>
              <w:jc w:val="left"/>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仿宋简体" w:cs="Times New Roman"/>
                <w:b/>
                <w:bCs/>
                <w:color w:val="auto"/>
                <w:kern w:val="2"/>
                <w:sz w:val="24"/>
                <w:szCs w:val="24"/>
                <w:highlight w:val="none"/>
              </w:rPr>
              <w:t>行政强制</w:t>
            </w:r>
          </w:p>
        </w:tc>
        <w:tc>
          <w:tcPr>
            <w:tcW w:w="6338" w:type="dxa"/>
            <w:gridSpan w:val="3"/>
            <w:shd w:val="clear" w:color="auto" w:fill="FFFFFF" w:themeFill="background1"/>
            <w:tcMar>
              <w:left w:w="57" w:type="dxa"/>
              <w:right w:w="57" w:type="dxa"/>
            </w:tcMar>
            <w:vAlign w:val="center"/>
          </w:tcPr>
          <w:p w14:paraId="1CE4F9FF">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lang w:val="en-US" w:eastAsia="zh-CN"/>
              </w:rPr>
            </w:pPr>
            <w:r>
              <w:rPr>
                <w:rFonts w:hint="default" w:ascii="Times New Roman" w:hAnsi="Times New Roman" w:eastAsia="方正仿宋简体" w:cs="Times New Roman"/>
                <w:b/>
                <w:bCs/>
                <w:color w:val="auto"/>
                <w:kern w:val="2"/>
                <w:sz w:val="24"/>
                <w:szCs w:val="24"/>
                <w:highlight w:val="none"/>
                <w:lang w:val="en-US" w:eastAsia="zh-CN"/>
              </w:rPr>
              <w:t>0</w:t>
            </w:r>
          </w:p>
        </w:tc>
      </w:tr>
      <w:tr w14:paraId="58DE2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14:paraId="7ABEF3C3">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黑体简体" w:cs="Times New Roman"/>
                <w:b/>
                <w:bCs/>
                <w:color w:val="auto"/>
                <w:kern w:val="2"/>
                <w:sz w:val="24"/>
                <w:szCs w:val="24"/>
                <w:highlight w:val="none"/>
              </w:rPr>
              <w:t>第二十条第（八）项</w:t>
            </w:r>
          </w:p>
        </w:tc>
      </w:tr>
      <w:tr w14:paraId="031C4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14:paraId="24ED2FF4">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仿宋简体" w:cs="Times New Roman"/>
                <w:b/>
                <w:bCs/>
                <w:color w:val="auto"/>
                <w:kern w:val="2"/>
                <w:sz w:val="24"/>
                <w:szCs w:val="24"/>
                <w:highlight w:val="none"/>
              </w:rPr>
              <w:t>信息内容</w:t>
            </w:r>
          </w:p>
        </w:tc>
        <w:tc>
          <w:tcPr>
            <w:tcW w:w="6338" w:type="dxa"/>
            <w:gridSpan w:val="3"/>
            <w:shd w:val="clear" w:color="auto" w:fill="FFFFFF" w:themeFill="background1"/>
            <w:tcMar>
              <w:left w:w="57" w:type="dxa"/>
              <w:right w:w="57" w:type="dxa"/>
            </w:tcMar>
            <w:vAlign w:val="center"/>
          </w:tcPr>
          <w:p w14:paraId="48670B37">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仿宋简体" w:cs="Times New Roman"/>
                <w:b/>
                <w:bCs/>
                <w:color w:val="auto"/>
                <w:kern w:val="2"/>
                <w:sz w:val="24"/>
                <w:szCs w:val="24"/>
                <w:highlight w:val="none"/>
              </w:rPr>
              <w:t>本年收费金额（单位：万元）</w:t>
            </w:r>
          </w:p>
        </w:tc>
      </w:tr>
      <w:tr w14:paraId="2A2F0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14:paraId="621A6568">
            <w:pPr>
              <w:keepNext w:val="0"/>
              <w:keepLines w:val="0"/>
              <w:widowControl/>
              <w:suppressLineNumbers w:val="0"/>
              <w:spacing w:before="0" w:beforeAutospacing="0" w:after="0" w:afterAutospacing="0" w:line="340" w:lineRule="exact"/>
              <w:ind w:left="0" w:right="0"/>
              <w:jc w:val="left"/>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仿宋简体" w:cs="Times New Roman"/>
                <w:b/>
                <w:bCs/>
                <w:color w:val="auto"/>
                <w:kern w:val="2"/>
                <w:sz w:val="24"/>
                <w:szCs w:val="24"/>
                <w:highlight w:val="none"/>
              </w:rPr>
              <w:t>行政事业性收费</w:t>
            </w:r>
          </w:p>
        </w:tc>
        <w:tc>
          <w:tcPr>
            <w:tcW w:w="6338" w:type="dxa"/>
            <w:gridSpan w:val="3"/>
            <w:shd w:val="clear" w:color="auto" w:fill="FFFFFF" w:themeFill="background1"/>
            <w:tcMar>
              <w:left w:w="57" w:type="dxa"/>
              <w:right w:w="57" w:type="dxa"/>
            </w:tcMar>
            <w:vAlign w:val="center"/>
          </w:tcPr>
          <w:p w14:paraId="3BC79627">
            <w:pPr>
              <w:keepNext w:val="0"/>
              <w:keepLines w:val="0"/>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lang w:val="en-US" w:eastAsia="zh-CN"/>
              </w:rPr>
            </w:pPr>
            <w:r>
              <w:rPr>
                <w:rFonts w:hint="default" w:ascii="Times New Roman" w:hAnsi="Times New Roman" w:eastAsia="方正仿宋简体" w:cs="Times New Roman"/>
                <w:b/>
                <w:bCs/>
                <w:color w:val="auto"/>
                <w:kern w:val="2"/>
                <w:sz w:val="24"/>
                <w:szCs w:val="24"/>
                <w:highlight w:val="none"/>
                <w:lang w:val="en-US" w:eastAsia="zh-CN"/>
              </w:rPr>
              <w:t>336.7</w:t>
            </w:r>
          </w:p>
        </w:tc>
      </w:tr>
    </w:tbl>
    <w:p w14:paraId="499EB6B5">
      <w:pPr>
        <w:spacing w:beforeLines="10" w:afterLines="10" w:line="600" w:lineRule="exact"/>
        <w:ind w:firstLine="643" w:firstLineChars="200"/>
        <w:rPr>
          <w:rFonts w:hint="default" w:ascii="Times New Roman" w:hAnsi="Times New Roman" w:eastAsia="方正黑体简体" w:cs="Times New Roman"/>
          <w:b/>
          <w:bCs/>
          <w:color w:val="auto"/>
          <w:sz w:val="32"/>
          <w:szCs w:val="32"/>
          <w:highlight w:val="none"/>
        </w:rPr>
      </w:pPr>
      <w:r>
        <w:rPr>
          <w:rFonts w:hint="default" w:ascii="Times New Roman" w:hAnsi="Times New Roman" w:eastAsia="方正黑体简体" w:cs="Times New Roman"/>
          <w:b/>
          <w:bCs/>
          <w:color w:val="auto"/>
          <w:sz w:val="32"/>
          <w:szCs w:val="32"/>
          <w:highlight w:val="none"/>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14:paraId="26333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14:paraId="40C63A38">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（本列数据的勾稽关系为：第一项加第二项之和，等于第三项加第四项之和）</w:t>
            </w:r>
          </w:p>
        </w:tc>
        <w:tc>
          <w:tcPr>
            <w:tcW w:w="4229" w:type="dxa"/>
            <w:gridSpan w:val="7"/>
            <w:tcMar>
              <w:left w:w="57" w:type="dxa"/>
              <w:right w:w="57" w:type="dxa"/>
            </w:tcMar>
            <w:vAlign w:val="center"/>
          </w:tcPr>
          <w:p w14:paraId="349B30CC">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申请人情况</w:t>
            </w:r>
          </w:p>
        </w:tc>
      </w:tr>
      <w:tr w14:paraId="0E674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14:paraId="12F21728">
            <w:pPr>
              <w:keepNext w:val="0"/>
              <w:keepLines w:val="0"/>
              <w:suppressLineNumbers w:val="0"/>
              <w:spacing w:before="0" w:beforeAutospacing="0" w:after="0" w:afterAutospacing="0" w:line="300" w:lineRule="exact"/>
              <w:ind w:left="0" w:right="0"/>
              <w:jc w:val="center"/>
              <w:rPr>
                <w:rFonts w:hint="default" w:ascii="Times New Roman" w:hAnsi="Times New Roman" w:eastAsia="方正黑体简体" w:cs="Times New Roman"/>
                <w:b/>
                <w:bCs/>
                <w:color w:val="auto"/>
                <w:kern w:val="2"/>
                <w:sz w:val="21"/>
                <w:szCs w:val="21"/>
                <w:highlight w:val="none"/>
              </w:rPr>
            </w:pPr>
          </w:p>
        </w:tc>
        <w:tc>
          <w:tcPr>
            <w:tcW w:w="791" w:type="dxa"/>
            <w:vMerge w:val="restart"/>
            <w:tcMar>
              <w:left w:w="57" w:type="dxa"/>
              <w:right w:w="57" w:type="dxa"/>
            </w:tcMar>
            <w:vAlign w:val="center"/>
          </w:tcPr>
          <w:p w14:paraId="0E52BCA0">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自然人</w:t>
            </w:r>
          </w:p>
        </w:tc>
        <w:tc>
          <w:tcPr>
            <w:tcW w:w="2917" w:type="dxa"/>
            <w:gridSpan w:val="5"/>
            <w:tcMar>
              <w:left w:w="108" w:type="dxa"/>
              <w:right w:w="108" w:type="dxa"/>
            </w:tcMar>
            <w:vAlign w:val="center"/>
          </w:tcPr>
          <w:p w14:paraId="70FB07A2">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法人或其他组织</w:t>
            </w:r>
          </w:p>
        </w:tc>
        <w:tc>
          <w:tcPr>
            <w:tcW w:w="521" w:type="dxa"/>
            <w:vMerge w:val="restart"/>
            <w:tcMar>
              <w:left w:w="108" w:type="dxa"/>
              <w:right w:w="108" w:type="dxa"/>
            </w:tcMar>
            <w:vAlign w:val="center"/>
          </w:tcPr>
          <w:p w14:paraId="69C89B59">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总计</w:t>
            </w:r>
          </w:p>
        </w:tc>
      </w:tr>
      <w:tr w14:paraId="7415B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14:paraId="18AD5491">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791" w:type="dxa"/>
            <w:vMerge w:val="continue"/>
            <w:tcMar>
              <w:left w:w="57" w:type="dxa"/>
              <w:right w:w="57" w:type="dxa"/>
            </w:tcMar>
            <w:vAlign w:val="center"/>
          </w:tcPr>
          <w:p w14:paraId="5E84C629">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599" w:type="dxa"/>
            <w:tcMar>
              <w:left w:w="108" w:type="dxa"/>
              <w:right w:w="108" w:type="dxa"/>
            </w:tcMar>
            <w:vAlign w:val="center"/>
          </w:tcPr>
          <w:p w14:paraId="18B50175">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商业</w:t>
            </w:r>
          </w:p>
          <w:p w14:paraId="78630A6E">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企业</w:t>
            </w:r>
          </w:p>
        </w:tc>
        <w:tc>
          <w:tcPr>
            <w:tcW w:w="590" w:type="dxa"/>
            <w:tcMar>
              <w:left w:w="108" w:type="dxa"/>
              <w:right w:w="108" w:type="dxa"/>
            </w:tcMar>
            <w:vAlign w:val="center"/>
          </w:tcPr>
          <w:p w14:paraId="5E9530EC">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科研</w:t>
            </w:r>
          </w:p>
          <w:p w14:paraId="1AA804A1">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机构</w:t>
            </w:r>
          </w:p>
        </w:tc>
        <w:tc>
          <w:tcPr>
            <w:tcW w:w="598" w:type="dxa"/>
            <w:tcMar>
              <w:left w:w="108" w:type="dxa"/>
              <w:right w:w="108" w:type="dxa"/>
            </w:tcMar>
            <w:vAlign w:val="center"/>
          </w:tcPr>
          <w:p w14:paraId="6C6AA541">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社会公益组织</w:t>
            </w:r>
          </w:p>
        </w:tc>
        <w:tc>
          <w:tcPr>
            <w:tcW w:w="571" w:type="dxa"/>
            <w:tcMar>
              <w:left w:w="108" w:type="dxa"/>
              <w:right w:w="108" w:type="dxa"/>
            </w:tcMar>
            <w:vAlign w:val="center"/>
          </w:tcPr>
          <w:p w14:paraId="15C30F09">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法律服务机构</w:t>
            </w:r>
          </w:p>
        </w:tc>
        <w:tc>
          <w:tcPr>
            <w:tcW w:w="559" w:type="dxa"/>
            <w:tcMar>
              <w:left w:w="108" w:type="dxa"/>
              <w:right w:w="108" w:type="dxa"/>
            </w:tcMar>
            <w:vAlign w:val="center"/>
          </w:tcPr>
          <w:p w14:paraId="661C5D82">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其他</w:t>
            </w:r>
          </w:p>
        </w:tc>
        <w:tc>
          <w:tcPr>
            <w:tcW w:w="521" w:type="dxa"/>
            <w:vMerge w:val="continue"/>
            <w:tcMar>
              <w:left w:w="108" w:type="dxa"/>
              <w:right w:w="108" w:type="dxa"/>
            </w:tcMar>
            <w:vAlign w:val="center"/>
          </w:tcPr>
          <w:p w14:paraId="395E54F3">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r>
      <w:tr w14:paraId="56EDF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14:paraId="73D94D60">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一、本年新收政府信息公开申请数量</w:t>
            </w:r>
          </w:p>
        </w:tc>
        <w:tc>
          <w:tcPr>
            <w:tcW w:w="791" w:type="dxa"/>
            <w:tcMar>
              <w:left w:w="57" w:type="dxa"/>
              <w:right w:w="57" w:type="dxa"/>
            </w:tcMar>
            <w:vAlign w:val="center"/>
          </w:tcPr>
          <w:p w14:paraId="0686922D">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eastAsia" w:eastAsia="方正仿宋简体" w:cs="Times New Roman"/>
                <w:b/>
                <w:bCs/>
                <w:color w:val="auto"/>
                <w:kern w:val="2"/>
                <w:sz w:val="21"/>
                <w:szCs w:val="21"/>
                <w:highlight w:val="none"/>
                <w:lang w:val="en-US" w:eastAsia="zh-CN"/>
              </w:rPr>
              <w:t>18</w:t>
            </w:r>
          </w:p>
        </w:tc>
        <w:tc>
          <w:tcPr>
            <w:tcW w:w="599" w:type="dxa"/>
            <w:tcMar>
              <w:left w:w="57" w:type="dxa"/>
              <w:right w:w="57" w:type="dxa"/>
            </w:tcMar>
            <w:vAlign w:val="center"/>
          </w:tcPr>
          <w:p w14:paraId="23D6F805">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14:paraId="4339A0AB">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14:paraId="1AFAD66C">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14:paraId="36B00602">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14:paraId="6A7A1726">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tcPr>
          <w:p w14:paraId="1DBFAE48">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eastAsia" w:eastAsia="方正仿宋简体" w:cs="Times New Roman"/>
                <w:b/>
                <w:bCs/>
                <w:color w:val="auto"/>
                <w:kern w:val="2"/>
                <w:sz w:val="21"/>
                <w:szCs w:val="21"/>
                <w:highlight w:val="none"/>
                <w:lang w:val="en-US" w:eastAsia="zh-CN"/>
              </w:rPr>
              <w:t>18</w:t>
            </w:r>
          </w:p>
        </w:tc>
      </w:tr>
      <w:tr w14:paraId="4537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14:paraId="5D042651">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二、上年结转政府信息公开申请数量</w:t>
            </w:r>
          </w:p>
        </w:tc>
        <w:tc>
          <w:tcPr>
            <w:tcW w:w="791" w:type="dxa"/>
            <w:tcMar>
              <w:left w:w="57" w:type="dxa"/>
              <w:right w:w="57" w:type="dxa"/>
            </w:tcMar>
            <w:vAlign w:val="center"/>
          </w:tcPr>
          <w:p w14:paraId="311A7828">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14:paraId="4807C004">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14:paraId="14D2F948">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14:paraId="65AA9246">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14:paraId="3D605D02">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14:paraId="4A1E6516">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tcPr>
          <w:p w14:paraId="48773B45">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r>
      <w:tr w14:paraId="485B7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14:paraId="1DC08E6C">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三、本年度办理结果</w:t>
            </w:r>
          </w:p>
        </w:tc>
        <w:tc>
          <w:tcPr>
            <w:tcW w:w="3820" w:type="dxa"/>
            <w:gridSpan w:val="2"/>
            <w:tcMar>
              <w:left w:w="57" w:type="dxa"/>
              <w:right w:w="57" w:type="dxa"/>
            </w:tcMar>
            <w:vAlign w:val="center"/>
          </w:tcPr>
          <w:p w14:paraId="39872581">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（一）予以公开</w:t>
            </w:r>
          </w:p>
        </w:tc>
        <w:tc>
          <w:tcPr>
            <w:tcW w:w="791" w:type="dxa"/>
            <w:tcMar>
              <w:left w:w="57" w:type="dxa"/>
              <w:right w:w="57" w:type="dxa"/>
            </w:tcMar>
            <w:vAlign w:val="center"/>
          </w:tcPr>
          <w:p w14:paraId="578990A1">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eastAsia" w:eastAsia="方正仿宋简体" w:cs="Times New Roman"/>
                <w:b/>
                <w:bCs/>
                <w:color w:val="auto"/>
                <w:kern w:val="2"/>
                <w:sz w:val="21"/>
                <w:szCs w:val="21"/>
                <w:highlight w:val="none"/>
                <w:lang w:val="en-US" w:eastAsia="zh-CN"/>
              </w:rPr>
              <w:t>12</w:t>
            </w:r>
          </w:p>
        </w:tc>
        <w:tc>
          <w:tcPr>
            <w:tcW w:w="599" w:type="dxa"/>
            <w:tcMar>
              <w:left w:w="57" w:type="dxa"/>
              <w:right w:w="57" w:type="dxa"/>
            </w:tcMar>
            <w:vAlign w:val="center"/>
          </w:tcPr>
          <w:p w14:paraId="06CA525F">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14:paraId="4F7EF193">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14:paraId="420608A7">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14:paraId="264220F1">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14:paraId="498E6F67">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tcPr>
          <w:p w14:paraId="6C7FB97B">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eastAsia" w:eastAsia="方正仿宋简体" w:cs="Times New Roman"/>
                <w:b/>
                <w:bCs/>
                <w:color w:val="auto"/>
                <w:kern w:val="2"/>
                <w:sz w:val="21"/>
                <w:szCs w:val="21"/>
                <w:highlight w:val="none"/>
                <w:lang w:val="en-US" w:eastAsia="zh-CN"/>
              </w:rPr>
              <w:t>12</w:t>
            </w:r>
          </w:p>
        </w:tc>
      </w:tr>
      <w:tr w14:paraId="44ACC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14:paraId="08714246">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3820" w:type="dxa"/>
            <w:gridSpan w:val="2"/>
            <w:tcMar>
              <w:left w:w="57" w:type="dxa"/>
              <w:right w:w="57" w:type="dxa"/>
            </w:tcMar>
            <w:vAlign w:val="center"/>
          </w:tcPr>
          <w:p w14:paraId="53F120A4">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（二）部分公开（区分处理的，只计这一情形，不计其他情形）</w:t>
            </w:r>
          </w:p>
        </w:tc>
        <w:tc>
          <w:tcPr>
            <w:tcW w:w="791" w:type="dxa"/>
            <w:tcMar>
              <w:left w:w="57" w:type="dxa"/>
              <w:right w:w="57" w:type="dxa"/>
            </w:tcMar>
            <w:vAlign w:val="center"/>
          </w:tcPr>
          <w:p w14:paraId="452F804F">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14:paraId="7F37E638">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14:paraId="405C8D12">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14:paraId="631169CC">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14:paraId="07E96E08">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14:paraId="0D96D4A3">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14:paraId="112F1E29">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r>
      <w:tr w14:paraId="67531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394C5715">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restart"/>
            <w:tcMar>
              <w:left w:w="57" w:type="dxa"/>
              <w:right w:w="57" w:type="dxa"/>
            </w:tcMar>
            <w:vAlign w:val="center"/>
          </w:tcPr>
          <w:p w14:paraId="1F6A4DE2">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（三）不予公开</w:t>
            </w:r>
          </w:p>
        </w:tc>
        <w:tc>
          <w:tcPr>
            <w:tcW w:w="2878" w:type="dxa"/>
            <w:tcMar>
              <w:left w:w="57" w:type="dxa"/>
              <w:right w:w="57" w:type="dxa"/>
            </w:tcMar>
          </w:tcPr>
          <w:p w14:paraId="644DC4C5">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1.属于国家秘密</w:t>
            </w:r>
          </w:p>
        </w:tc>
        <w:tc>
          <w:tcPr>
            <w:tcW w:w="791" w:type="dxa"/>
            <w:tcMar>
              <w:left w:w="57" w:type="dxa"/>
              <w:right w:w="57" w:type="dxa"/>
            </w:tcMar>
            <w:vAlign w:val="center"/>
          </w:tcPr>
          <w:p w14:paraId="68960B41">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14:paraId="610F2CB6">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14:paraId="35BDA509">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14:paraId="47FBD613">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14:paraId="04B310BB">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14:paraId="71AA3940">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14:paraId="21D415BF">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r>
      <w:tr w14:paraId="5B869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289AE9E2">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continue"/>
            <w:tcMar>
              <w:left w:w="57" w:type="dxa"/>
              <w:right w:w="57" w:type="dxa"/>
            </w:tcMar>
            <w:vAlign w:val="center"/>
          </w:tcPr>
          <w:p w14:paraId="272DDA30">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2878" w:type="dxa"/>
            <w:tcMar>
              <w:left w:w="57" w:type="dxa"/>
              <w:right w:w="57" w:type="dxa"/>
            </w:tcMar>
          </w:tcPr>
          <w:p w14:paraId="1B159B86">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2.其他法律行政法规禁止公开</w:t>
            </w:r>
          </w:p>
        </w:tc>
        <w:tc>
          <w:tcPr>
            <w:tcW w:w="791" w:type="dxa"/>
            <w:tcMar>
              <w:left w:w="57" w:type="dxa"/>
              <w:right w:w="57" w:type="dxa"/>
            </w:tcMar>
            <w:vAlign w:val="center"/>
          </w:tcPr>
          <w:p w14:paraId="0144354D">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14:paraId="1AACC165">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14:paraId="72B54194">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14:paraId="0ACBEDEB">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14:paraId="3EC060B2">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14:paraId="2A78A9DC">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14:paraId="3FAB4016">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r>
      <w:tr w14:paraId="3714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3791D032">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continue"/>
            <w:tcMar>
              <w:left w:w="57" w:type="dxa"/>
              <w:right w:w="57" w:type="dxa"/>
            </w:tcMar>
            <w:vAlign w:val="center"/>
          </w:tcPr>
          <w:p w14:paraId="6B1E4F3E">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2878" w:type="dxa"/>
            <w:tcMar>
              <w:left w:w="57" w:type="dxa"/>
              <w:right w:w="57" w:type="dxa"/>
            </w:tcMar>
          </w:tcPr>
          <w:p w14:paraId="7B70965F">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3.危及“三安全一稳定”</w:t>
            </w:r>
          </w:p>
        </w:tc>
        <w:tc>
          <w:tcPr>
            <w:tcW w:w="791" w:type="dxa"/>
            <w:tcMar>
              <w:left w:w="57" w:type="dxa"/>
              <w:right w:w="57" w:type="dxa"/>
            </w:tcMar>
            <w:vAlign w:val="center"/>
          </w:tcPr>
          <w:p w14:paraId="2326910F">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14:paraId="2026F4FF">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14:paraId="7AF9891E">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14:paraId="10C4EB31">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14:paraId="17C5CDF8">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14:paraId="14CB4EBF">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14:paraId="68E4B281">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r>
      <w:tr w14:paraId="5BF0E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6288EAB8">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continue"/>
            <w:tcMar>
              <w:left w:w="57" w:type="dxa"/>
              <w:right w:w="57" w:type="dxa"/>
            </w:tcMar>
            <w:vAlign w:val="center"/>
          </w:tcPr>
          <w:p w14:paraId="38FA1615">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2878" w:type="dxa"/>
            <w:tcMar>
              <w:left w:w="57" w:type="dxa"/>
              <w:right w:w="57" w:type="dxa"/>
            </w:tcMar>
          </w:tcPr>
          <w:p w14:paraId="201A9FA2">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4.保护第三方合法权益</w:t>
            </w:r>
          </w:p>
        </w:tc>
        <w:tc>
          <w:tcPr>
            <w:tcW w:w="791" w:type="dxa"/>
            <w:tcMar>
              <w:left w:w="57" w:type="dxa"/>
              <w:right w:w="57" w:type="dxa"/>
            </w:tcMar>
            <w:vAlign w:val="center"/>
          </w:tcPr>
          <w:p w14:paraId="544B0A76">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14:paraId="3B711534">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14:paraId="15DCDF5D">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14:paraId="30885219">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14:paraId="4EABD6A9">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14:paraId="5CF9FB59">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14:paraId="62B3F1E2">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r>
      <w:tr w14:paraId="78FA2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30B57E71">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continue"/>
            <w:tcMar>
              <w:left w:w="57" w:type="dxa"/>
              <w:right w:w="57" w:type="dxa"/>
            </w:tcMar>
            <w:vAlign w:val="center"/>
          </w:tcPr>
          <w:p w14:paraId="57700F30">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2878" w:type="dxa"/>
            <w:tcMar>
              <w:left w:w="57" w:type="dxa"/>
              <w:right w:w="57" w:type="dxa"/>
            </w:tcMar>
          </w:tcPr>
          <w:p w14:paraId="3CF4285B">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5.属于三类内部事务信息</w:t>
            </w:r>
          </w:p>
        </w:tc>
        <w:tc>
          <w:tcPr>
            <w:tcW w:w="791" w:type="dxa"/>
            <w:tcMar>
              <w:left w:w="57" w:type="dxa"/>
              <w:right w:w="57" w:type="dxa"/>
            </w:tcMar>
            <w:vAlign w:val="center"/>
          </w:tcPr>
          <w:p w14:paraId="06EEBA71">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14:paraId="7BDA5449">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14:paraId="4BFE0C33">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14:paraId="4009EA38">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14:paraId="0684E6D7">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14:paraId="746004AC">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14:paraId="6AAC7BFC">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r>
      <w:tr w14:paraId="31EE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74DA02D6">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continue"/>
            <w:tcMar>
              <w:left w:w="57" w:type="dxa"/>
              <w:right w:w="57" w:type="dxa"/>
            </w:tcMar>
            <w:vAlign w:val="center"/>
          </w:tcPr>
          <w:p w14:paraId="06AC7611">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2878" w:type="dxa"/>
            <w:tcMar>
              <w:left w:w="57" w:type="dxa"/>
              <w:right w:w="57" w:type="dxa"/>
            </w:tcMar>
          </w:tcPr>
          <w:p w14:paraId="2A538655">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6.属于四类过程性信息</w:t>
            </w:r>
          </w:p>
        </w:tc>
        <w:tc>
          <w:tcPr>
            <w:tcW w:w="791" w:type="dxa"/>
            <w:tcMar>
              <w:left w:w="57" w:type="dxa"/>
              <w:right w:w="57" w:type="dxa"/>
            </w:tcMar>
            <w:vAlign w:val="center"/>
          </w:tcPr>
          <w:p w14:paraId="1B5A2F88">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14:paraId="55144D41">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14:paraId="1E1EA13B">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14:paraId="0A5542B8">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14:paraId="787657B8">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14:paraId="5A8659FA">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14:paraId="33BB2002">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r>
      <w:tr w14:paraId="29B4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5129EBBE">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continue"/>
            <w:tcMar>
              <w:left w:w="57" w:type="dxa"/>
              <w:right w:w="57" w:type="dxa"/>
            </w:tcMar>
            <w:vAlign w:val="center"/>
          </w:tcPr>
          <w:p w14:paraId="2255F5F3">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2878" w:type="dxa"/>
            <w:tcMar>
              <w:left w:w="57" w:type="dxa"/>
              <w:right w:w="57" w:type="dxa"/>
            </w:tcMar>
          </w:tcPr>
          <w:p w14:paraId="051530D4">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7.属于行政执法案卷</w:t>
            </w:r>
          </w:p>
        </w:tc>
        <w:tc>
          <w:tcPr>
            <w:tcW w:w="791" w:type="dxa"/>
            <w:tcMar>
              <w:left w:w="57" w:type="dxa"/>
              <w:right w:w="57" w:type="dxa"/>
            </w:tcMar>
            <w:vAlign w:val="center"/>
          </w:tcPr>
          <w:p w14:paraId="43BE9C39">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14:paraId="1DD6B484">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14:paraId="7A12D656">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14:paraId="349D8EA1">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14:paraId="38D2DFAD">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14:paraId="770FEBA3">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14:paraId="7479F462">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r>
      <w:tr w14:paraId="6F498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67D231CB">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continue"/>
            <w:tcMar>
              <w:left w:w="57" w:type="dxa"/>
              <w:right w:w="57" w:type="dxa"/>
            </w:tcMar>
            <w:vAlign w:val="center"/>
          </w:tcPr>
          <w:p w14:paraId="6FAF1AB7">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2878" w:type="dxa"/>
            <w:tcMar>
              <w:left w:w="57" w:type="dxa"/>
              <w:right w:w="57" w:type="dxa"/>
            </w:tcMar>
          </w:tcPr>
          <w:p w14:paraId="49996CF9">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8.属于行政查询事项</w:t>
            </w:r>
          </w:p>
        </w:tc>
        <w:tc>
          <w:tcPr>
            <w:tcW w:w="791" w:type="dxa"/>
            <w:tcMar>
              <w:left w:w="57" w:type="dxa"/>
              <w:right w:w="57" w:type="dxa"/>
            </w:tcMar>
            <w:vAlign w:val="center"/>
          </w:tcPr>
          <w:p w14:paraId="75C975AE">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14:paraId="57E33117">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14:paraId="02A39EF6">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14:paraId="2F1AA2AF">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14:paraId="4D531EA4">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14:paraId="76F40163">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14:paraId="64E77201">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r>
      <w:tr w14:paraId="0DDB7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5ED57A10">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restart"/>
            <w:tcMar>
              <w:left w:w="57" w:type="dxa"/>
              <w:right w:w="57" w:type="dxa"/>
            </w:tcMar>
            <w:vAlign w:val="center"/>
          </w:tcPr>
          <w:p w14:paraId="7D0A2ABB">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（四）无法提供</w:t>
            </w:r>
          </w:p>
        </w:tc>
        <w:tc>
          <w:tcPr>
            <w:tcW w:w="2878" w:type="dxa"/>
            <w:tcMar>
              <w:left w:w="57" w:type="dxa"/>
              <w:right w:w="57" w:type="dxa"/>
            </w:tcMar>
          </w:tcPr>
          <w:p w14:paraId="5C711343">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1.本机关不掌握相关政府信息</w:t>
            </w:r>
          </w:p>
        </w:tc>
        <w:tc>
          <w:tcPr>
            <w:tcW w:w="791" w:type="dxa"/>
            <w:tcMar>
              <w:left w:w="57" w:type="dxa"/>
              <w:right w:w="57" w:type="dxa"/>
            </w:tcMar>
            <w:vAlign w:val="center"/>
          </w:tcPr>
          <w:p w14:paraId="12BE9FC7">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6</w:t>
            </w:r>
          </w:p>
        </w:tc>
        <w:tc>
          <w:tcPr>
            <w:tcW w:w="599" w:type="dxa"/>
            <w:tcMar>
              <w:left w:w="57" w:type="dxa"/>
              <w:right w:w="57" w:type="dxa"/>
            </w:tcMar>
            <w:vAlign w:val="center"/>
          </w:tcPr>
          <w:p w14:paraId="0AF450E0">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14:paraId="484C20B4">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14:paraId="18DF9299">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14:paraId="43A30803">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14:paraId="2C42E5F7">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14:paraId="350C5D6B">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6</w:t>
            </w:r>
          </w:p>
        </w:tc>
      </w:tr>
      <w:tr w14:paraId="1C92F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10DCCAC1">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continue"/>
            <w:tcMar>
              <w:left w:w="57" w:type="dxa"/>
              <w:right w:w="57" w:type="dxa"/>
            </w:tcMar>
            <w:vAlign w:val="center"/>
          </w:tcPr>
          <w:p w14:paraId="6CDB5986">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2878" w:type="dxa"/>
            <w:tcMar>
              <w:left w:w="57" w:type="dxa"/>
              <w:right w:w="57" w:type="dxa"/>
            </w:tcMar>
          </w:tcPr>
          <w:p w14:paraId="7D744409">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2.没有现成信息需要另行制作</w:t>
            </w:r>
          </w:p>
        </w:tc>
        <w:tc>
          <w:tcPr>
            <w:tcW w:w="791" w:type="dxa"/>
            <w:tcMar>
              <w:left w:w="57" w:type="dxa"/>
              <w:right w:w="57" w:type="dxa"/>
            </w:tcMar>
            <w:vAlign w:val="center"/>
          </w:tcPr>
          <w:p w14:paraId="4417CD66">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14:paraId="2B9766F2">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14:paraId="477D5DF6">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14:paraId="263D6B56">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14:paraId="543745ED">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14:paraId="5B062E7F">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14:paraId="14F7A826">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r>
      <w:tr w14:paraId="44B07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3479F2F9">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continue"/>
            <w:tcMar>
              <w:left w:w="57" w:type="dxa"/>
              <w:right w:w="57" w:type="dxa"/>
            </w:tcMar>
            <w:vAlign w:val="center"/>
          </w:tcPr>
          <w:p w14:paraId="60BEF37F">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2878" w:type="dxa"/>
            <w:tcMar>
              <w:left w:w="57" w:type="dxa"/>
              <w:right w:w="57" w:type="dxa"/>
            </w:tcMar>
          </w:tcPr>
          <w:p w14:paraId="795D9B44">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3.补正后申请内容仍不明确</w:t>
            </w:r>
          </w:p>
        </w:tc>
        <w:tc>
          <w:tcPr>
            <w:tcW w:w="791" w:type="dxa"/>
            <w:tcMar>
              <w:left w:w="57" w:type="dxa"/>
              <w:right w:w="57" w:type="dxa"/>
            </w:tcMar>
            <w:vAlign w:val="center"/>
          </w:tcPr>
          <w:p w14:paraId="353589AC">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14:paraId="08623E60">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14:paraId="0057E876">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14:paraId="23F14577">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14:paraId="48C52063">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14:paraId="557CF12F">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14:paraId="2D1C4055">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r>
      <w:tr w14:paraId="594B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14:paraId="46296FF0">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restart"/>
            <w:tcMar>
              <w:left w:w="57" w:type="dxa"/>
              <w:right w:w="57" w:type="dxa"/>
            </w:tcMar>
            <w:vAlign w:val="center"/>
          </w:tcPr>
          <w:p w14:paraId="4981B5F3">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（五）不予处理</w:t>
            </w:r>
          </w:p>
        </w:tc>
        <w:tc>
          <w:tcPr>
            <w:tcW w:w="2878" w:type="dxa"/>
            <w:tcMar>
              <w:left w:w="57" w:type="dxa"/>
              <w:right w:w="57" w:type="dxa"/>
            </w:tcMar>
          </w:tcPr>
          <w:p w14:paraId="79A155B0">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1.信访举报投诉类申请</w:t>
            </w:r>
          </w:p>
        </w:tc>
        <w:tc>
          <w:tcPr>
            <w:tcW w:w="791" w:type="dxa"/>
            <w:tcMar>
              <w:left w:w="57" w:type="dxa"/>
              <w:right w:w="57" w:type="dxa"/>
            </w:tcMar>
            <w:vAlign w:val="center"/>
          </w:tcPr>
          <w:p w14:paraId="54DB9907">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14:paraId="4CF9B881">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14:paraId="34C7F0BE">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14:paraId="32DBFB84">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14:paraId="3E20001C">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14:paraId="79BA3234">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14:paraId="0F14F27D">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r>
      <w:tr w14:paraId="68F3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262BDB26">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continue"/>
            <w:tcMar>
              <w:left w:w="57" w:type="dxa"/>
              <w:right w:w="57" w:type="dxa"/>
            </w:tcMar>
            <w:vAlign w:val="center"/>
          </w:tcPr>
          <w:p w14:paraId="2CAA1810">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2878" w:type="dxa"/>
            <w:tcMar>
              <w:left w:w="57" w:type="dxa"/>
              <w:right w:w="57" w:type="dxa"/>
            </w:tcMar>
          </w:tcPr>
          <w:p w14:paraId="4C4E4872">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2.重复申请</w:t>
            </w:r>
          </w:p>
        </w:tc>
        <w:tc>
          <w:tcPr>
            <w:tcW w:w="791" w:type="dxa"/>
            <w:tcMar>
              <w:left w:w="57" w:type="dxa"/>
              <w:right w:w="57" w:type="dxa"/>
            </w:tcMar>
            <w:vAlign w:val="center"/>
          </w:tcPr>
          <w:p w14:paraId="67F6005D">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14:paraId="25C5292E">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14:paraId="2335A611">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14:paraId="7F5B2DE8">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14:paraId="316C25C4">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14:paraId="25C98137">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14:paraId="035F7766">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r>
      <w:tr w14:paraId="1D49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60BC9848">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continue"/>
            <w:tcMar>
              <w:left w:w="57" w:type="dxa"/>
              <w:right w:w="57" w:type="dxa"/>
            </w:tcMar>
            <w:vAlign w:val="center"/>
          </w:tcPr>
          <w:p w14:paraId="36B405DC">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2878" w:type="dxa"/>
            <w:tcMar>
              <w:left w:w="57" w:type="dxa"/>
              <w:right w:w="57" w:type="dxa"/>
            </w:tcMar>
          </w:tcPr>
          <w:p w14:paraId="5D917505">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3.要求提供公开出版物</w:t>
            </w:r>
          </w:p>
        </w:tc>
        <w:tc>
          <w:tcPr>
            <w:tcW w:w="791" w:type="dxa"/>
            <w:tcMar>
              <w:left w:w="57" w:type="dxa"/>
              <w:right w:w="57" w:type="dxa"/>
            </w:tcMar>
            <w:vAlign w:val="center"/>
          </w:tcPr>
          <w:p w14:paraId="61CE237E">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14:paraId="791F8A2D">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14:paraId="530174E6">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14:paraId="5A7FF625">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14:paraId="0E7F91C9">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14:paraId="5F3B5CFF">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14:paraId="6F11FCF4">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r>
      <w:tr w14:paraId="1E9C8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6E88D200">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continue"/>
            <w:tcMar>
              <w:left w:w="57" w:type="dxa"/>
              <w:right w:w="57" w:type="dxa"/>
            </w:tcMar>
            <w:vAlign w:val="center"/>
          </w:tcPr>
          <w:p w14:paraId="5F5205A5">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2878" w:type="dxa"/>
            <w:tcMar>
              <w:left w:w="57" w:type="dxa"/>
              <w:right w:w="57" w:type="dxa"/>
            </w:tcMar>
          </w:tcPr>
          <w:p w14:paraId="54E4593D">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4.无正当理由大量反复申请</w:t>
            </w:r>
          </w:p>
        </w:tc>
        <w:tc>
          <w:tcPr>
            <w:tcW w:w="791" w:type="dxa"/>
            <w:tcMar>
              <w:left w:w="57" w:type="dxa"/>
              <w:right w:w="57" w:type="dxa"/>
            </w:tcMar>
            <w:vAlign w:val="center"/>
          </w:tcPr>
          <w:p w14:paraId="18D7F5E2">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14:paraId="3C692DCB">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14:paraId="607AD4EE">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14:paraId="25D83B44">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14:paraId="3D5CACBE">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14:paraId="24DE8C27">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14:paraId="5226E88E">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r>
      <w:tr w14:paraId="3B26E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14:paraId="5AA3679C">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continue"/>
            <w:tcMar>
              <w:left w:w="57" w:type="dxa"/>
              <w:right w:w="57" w:type="dxa"/>
            </w:tcMar>
            <w:vAlign w:val="center"/>
          </w:tcPr>
          <w:p w14:paraId="10DF4023">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2878" w:type="dxa"/>
            <w:tcMar>
              <w:left w:w="57" w:type="dxa"/>
              <w:right w:w="57" w:type="dxa"/>
            </w:tcMar>
            <w:vAlign w:val="center"/>
          </w:tcPr>
          <w:p w14:paraId="5A80B7F7">
            <w:pPr>
              <w:keepNext w:val="0"/>
              <w:keepLines w:val="0"/>
              <w:widowControl/>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5.要求行政机关确认或重新出具已获取信息</w:t>
            </w:r>
          </w:p>
        </w:tc>
        <w:tc>
          <w:tcPr>
            <w:tcW w:w="791" w:type="dxa"/>
            <w:tcMar>
              <w:left w:w="57" w:type="dxa"/>
              <w:right w:w="57" w:type="dxa"/>
            </w:tcMar>
            <w:vAlign w:val="center"/>
          </w:tcPr>
          <w:p w14:paraId="55390F5E">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14:paraId="2DD50D12">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14:paraId="0DB1D0CF">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14:paraId="78522638">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14:paraId="6F0D4979">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14:paraId="34B122B0">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14:paraId="39525F2C">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r>
      <w:tr w14:paraId="4F1F3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7A884CBB">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restart"/>
            <w:tcMar>
              <w:left w:w="57" w:type="dxa"/>
              <w:right w:w="57" w:type="dxa"/>
            </w:tcMar>
            <w:vAlign w:val="center"/>
          </w:tcPr>
          <w:p w14:paraId="38684B0C">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（六）其他处理</w:t>
            </w:r>
          </w:p>
        </w:tc>
        <w:tc>
          <w:tcPr>
            <w:tcW w:w="2878" w:type="dxa"/>
            <w:tcMar>
              <w:left w:w="57" w:type="dxa"/>
              <w:right w:w="57" w:type="dxa"/>
            </w:tcMar>
            <w:vAlign w:val="center"/>
          </w:tcPr>
          <w:p w14:paraId="7569F73B">
            <w:pPr>
              <w:keepNext w:val="0"/>
              <w:keepLines w:val="0"/>
              <w:widowControl/>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1.申请人无正当理由逾期不补正、行政机关不再处理其政府信息公开申请</w:t>
            </w:r>
          </w:p>
        </w:tc>
        <w:tc>
          <w:tcPr>
            <w:tcW w:w="791" w:type="dxa"/>
            <w:tcMar>
              <w:left w:w="57" w:type="dxa"/>
              <w:right w:w="57" w:type="dxa"/>
            </w:tcMar>
            <w:vAlign w:val="center"/>
          </w:tcPr>
          <w:p w14:paraId="46D6EE01">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14:paraId="1079AD8C">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14:paraId="238390D5">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14:paraId="70EC94CA">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14:paraId="6096A5FC">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14:paraId="17306648">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14:paraId="2757E026">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r>
      <w:tr w14:paraId="7AD80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1FA46892">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continue"/>
            <w:tcMar>
              <w:left w:w="57" w:type="dxa"/>
              <w:right w:w="57" w:type="dxa"/>
            </w:tcMar>
            <w:vAlign w:val="center"/>
          </w:tcPr>
          <w:p w14:paraId="643B4292">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2878" w:type="dxa"/>
            <w:tcMar>
              <w:left w:w="57" w:type="dxa"/>
              <w:right w:w="57" w:type="dxa"/>
            </w:tcMar>
            <w:vAlign w:val="center"/>
          </w:tcPr>
          <w:p w14:paraId="2F5848DE">
            <w:pPr>
              <w:keepNext w:val="0"/>
              <w:keepLines w:val="0"/>
              <w:widowControl/>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2.申请人逾期未按收费通知要求缴纳费用、行政机关不再处理其政府信息公开申请</w:t>
            </w:r>
          </w:p>
        </w:tc>
        <w:tc>
          <w:tcPr>
            <w:tcW w:w="791" w:type="dxa"/>
            <w:tcMar>
              <w:left w:w="57" w:type="dxa"/>
              <w:right w:w="57" w:type="dxa"/>
            </w:tcMar>
            <w:vAlign w:val="center"/>
          </w:tcPr>
          <w:p w14:paraId="568E6C6C">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14:paraId="302C766E">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14:paraId="0BE264F9">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14:paraId="08C84069">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14:paraId="140A85D7">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14:paraId="5B800D1D">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14:paraId="545F53D0">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r>
      <w:tr w14:paraId="48A77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65D08180">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continue"/>
            <w:tcMar>
              <w:left w:w="57" w:type="dxa"/>
              <w:right w:w="57" w:type="dxa"/>
            </w:tcMar>
            <w:vAlign w:val="center"/>
          </w:tcPr>
          <w:p w14:paraId="12D83684">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2878" w:type="dxa"/>
            <w:tcMar>
              <w:left w:w="57" w:type="dxa"/>
              <w:right w:w="57" w:type="dxa"/>
            </w:tcMar>
            <w:vAlign w:val="center"/>
          </w:tcPr>
          <w:p w14:paraId="12049042">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3.其他</w:t>
            </w:r>
          </w:p>
        </w:tc>
        <w:tc>
          <w:tcPr>
            <w:tcW w:w="791" w:type="dxa"/>
            <w:tcMar>
              <w:left w:w="57" w:type="dxa"/>
              <w:right w:w="57" w:type="dxa"/>
            </w:tcMar>
            <w:vAlign w:val="center"/>
          </w:tcPr>
          <w:p w14:paraId="6BDCF4B5">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14:paraId="2F14FAE5">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14:paraId="213B897E">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14:paraId="11BDB14E">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14:paraId="1D49A2B0">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14:paraId="1784BE07">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14:paraId="12889391">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r>
      <w:tr w14:paraId="397C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24B00DE7">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3820" w:type="dxa"/>
            <w:gridSpan w:val="2"/>
            <w:tcMar>
              <w:left w:w="57" w:type="dxa"/>
              <w:right w:w="57" w:type="dxa"/>
            </w:tcMar>
            <w:vAlign w:val="center"/>
          </w:tcPr>
          <w:p w14:paraId="72EE3016">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（七）总计</w:t>
            </w:r>
          </w:p>
        </w:tc>
        <w:tc>
          <w:tcPr>
            <w:tcW w:w="791" w:type="dxa"/>
            <w:tcMar>
              <w:left w:w="57" w:type="dxa"/>
              <w:right w:w="57" w:type="dxa"/>
            </w:tcMar>
            <w:vAlign w:val="center"/>
          </w:tcPr>
          <w:p w14:paraId="70446E47">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lang w:val="en-US"/>
              </w:rPr>
            </w:pPr>
            <w:r>
              <w:rPr>
                <w:rFonts w:hint="eastAsia" w:eastAsia="方正仿宋简体" w:cs="Times New Roman"/>
                <w:b/>
                <w:bCs/>
                <w:color w:val="auto"/>
                <w:kern w:val="2"/>
                <w:sz w:val="21"/>
                <w:szCs w:val="21"/>
                <w:highlight w:val="none"/>
                <w:lang w:val="en-US" w:eastAsia="zh-CN"/>
              </w:rPr>
              <w:t>18</w:t>
            </w:r>
          </w:p>
        </w:tc>
        <w:tc>
          <w:tcPr>
            <w:tcW w:w="599" w:type="dxa"/>
            <w:tcMar>
              <w:left w:w="57" w:type="dxa"/>
              <w:right w:w="57" w:type="dxa"/>
            </w:tcMar>
            <w:vAlign w:val="center"/>
          </w:tcPr>
          <w:p w14:paraId="689D0381">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14:paraId="2C1A03A6">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14:paraId="1EEB64FF">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14:paraId="09A1C4E4">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14:paraId="5E3F77C5">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14:paraId="355AA87F">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lang w:val="en-US"/>
              </w:rPr>
            </w:pPr>
            <w:r>
              <w:rPr>
                <w:rFonts w:hint="eastAsia" w:eastAsia="方正仿宋简体" w:cs="Times New Roman"/>
                <w:b/>
                <w:bCs/>
                <w:color w:val="auto"/>
                <w:kern w:val="2"/>
                <w:sz w:val="21"/>
                <w:szCs w:val="21"/>
                <w:highlight w:val="none"/>
                <w:lang w:val="en-US" w:eastAsia="zh-CN"/>
              </w:rPr>
              <w:t>18</w:t>
            </w:r>
          </w:p>
        </w:tc>
      </w:tr>
      <w:tr w14:paraId="38AD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14:paraId="74D2061E">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四、结转下年度继续办理</w:t>
            </w:r>
          </w:p>
        </w:tc>
        <w:tc>
          <w:tcPr>
            <w:tcW w:w="791" w:type="dxa"/>
            <w:tcMar>
              <w:left w:w="57" w:type="dxa"/>
              <w:right w:w="57" w:type="dxa"/>
            </w:tcMar>
            <w:vAlign w:val="center"/>
          </w:tcPr>
          <w:p w14:paraId="1B348CBE">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lang w:val="en-US" w:eastAsia="zh-CN" w:bidi="ar-SA"/>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14:paraId="1C514E81">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lang w:val="en-US" w:eastAsia="zh-CN" w:bidi="ar-SA"/>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14:paraId="1A42C88B">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lang w:val="en-US" w:eastAsia="zh-CN" w:bidi="ar-SA"/>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14:paraId="4392B324">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lang w:val="en-US" w:eastAsia="zh-CN" w:bidi="ar-SA"/>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14:paraId="0D68EF7E">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lang w:val="en-US" w:eastAsia="zh-CN" w:bidi="ar-SA"/>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14:paraId="60F5B91C">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lang w:val="en-US" w:eastAsia="zh-CN" w:bidi="ar-SA"/>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14:paraId="3C99BAF5">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lang w:val="en-US" w:eastAsia="zh-CN" w:bidi="ar-SA"/>
              </w:rPr>
            </w:pPr>
            <w:r>
              <w:rPr>
                <w:rFonts w:hint="default" w:ascii="Times New Roman" w:hAnsi="Times New Roman" w:eastAsia="方正仿宋简体" w:cs="Times New Roman"/>
                <w:b/>
                <w:bCs/>
                <w:color w:val="auto"/>
                <w:kern w:val="2"/>
                <w:sz w:val="21"/>
                <w:szCs w:val="21"/>
                <w:highlight w:val="none"/>
                <w:lang w:val="en-US" w:eastAsia="zh-CN"/>
              </w:rPr>
              <w:t>0</w:t>
            </w:r>
          </w:p>
        </w:tc>
      </w:tr>
    </w:tbl>
    <w:p w14:paraId="7D0A55BA">
      <w:pPr>
        <w:spacing w:line="590" w:lineRule="exact"/>
        <w:ind w:right="-100" w:rightChars="-50" w:firstLine="643" w:firstLineChars="200"/>
        <w:rPr>
          <w:rFonts w:hint="default" w:ascii="Times New Roman" w:hAnsi="Times New Roman" w:eastAsia="方正黑体简体" w:cs="Times New Roman"/>
          <w:b/>
          <w:bCs/>
          <w:color w:val="auto"/>
          <w:sz w:val="32"/>
          <w:szCs w:val="32"/>
          <w:highlight w:val="none"/>
        </w:rPr>
      </w:pPr>
      <w:r>
        <w:rPr>
          <w:rFonts w:hint="default" w:ascii="Times New Roman" w:hAnsi="Times New Roman" w:eastAsia="方正黑体简体" w:cs="Times New Roman"/>
          <w:b/>
          <w:bCs/>
          <w:color w:val="auto"/>
          <w:sz w:val="32"/>
          <w:szCs w:val="32"/>
          <w:highlight w:val="none"/>
        </w:rPr>
        <w:t>四、政府信息公开行政复议、行政诉讼情况</w:t>
      </w:r>
    </w:p>
    <w:tbl>
      <w:tblPr>
        <w:tblStyle w:val="3"/>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14:paraId="16668A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95B973A">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DE291F7">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行政诉讼</w:t>
            </w:r>
          </w:p>
        </w:tc>
      </w:tr>
      <w:tr w14:paraId="1A2002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6F00F3C2">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6B726C1E">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结果</w:t>
            </w:r>
          </w:p>
          <w:p w14:paraId="2D5CC95D">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4963D01">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lang w:eastAsia="zh-CN"/>
              </w:rPr>
            </w:pPr>
            <w:r>
              <w:rPr>
                <w:rFonts w:hint="default" w:ascii="Times New Roman" w:hAnsi="Times New Roman" w:eastAsia="方正黑体简体" w:cs="Times New Roman"/>
                <w:b/>
                <w:bCs/>
                <w:color w:val="auto"/>
                <w:kern w:val="2"/>
                <w:sz w:val="21"/>
                <w:szCs w:val="21"/>
                <w:highlight w:val="none"/>
              </w:rPr>
              <w:t>其他</w:t>
            </w:r>
          </w:p>
          <w:p w14:paraId="516B52C0">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7A26602">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lang w:eastAsia="zh-CN"/>
              </w:rPr>
            </w:pPr>
            <w:r>
              <w:rPr>
                <w:rFonts w:hint="default" w:ascii="Times New Roman" w:hAnsi="Times New Roman" w:eastAsia="方正黑体简体" w:cs="Times New Roman"/>
                <w:b/>
                <w:bCs/>
                <w:color w:val="auto"/>
                <w:kern w:val="2"/>
                <w:sz w:val="21"/>
                <w:szCs w:val="21"/>
                <w:highlight w:val="none"/>
              </w:rPr>
              <w:t>尚未</w:t>
            </w:r>
          </w:p>
          <w:p w14:paraId="2C672B59">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FE44286">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73048E5">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6EFB88B">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复议后起诉</w:t>
            </w:r>
          </w:p>
        </w:tc>
      </w:tr>
      <w:tr w14:paraId="0D8A8B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477B507C">
            <w:pPr>
              <w:keepNext w:val="0"/>
              <w:keepLines w:val="0"/>
              <w:suppressLineNumbers w:val="0"/>
              <w:spacing w:before="0" w:beforeAutospacing="0" w:after="0" w:afterAutospacing="0" w:line="340" w:lineRule="exact"/>
              <w:ind w:left="-40" w:leftChars="-20" w:right="-40" w:rightChars="-20"/>
              <w:rPr>
                <w:rFonts w:hint="default" w:ascii="Times New Roman" w:hAnsi="Times New Roman" w:eastAsia="方正黑体简体" w:cs="Times New Roman"/>
                <w:b/>
                <w:bCs/>
                <w:color w:val="auto"/>
                <w:kern w:val="2"/>
                <w:sz w:val="21"/>
                <w:szCs w:val="21"/>
                <w:highlight w:val="none"/>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42179A6E">
            <w:pPr>
              <w:keepNext w:val="0"/>
              <w:keepLines w:val="0"/>
              <w:suppressLineNumbers w:val="0"/>
              <w:spacing w:before="0" w:beforeAutospacing="0" w:after="0" w:afterAutospacing="0" w:line="340" w:lineRule="exact"/>
              <w:ind w:left="-40" w:leftChars="-20" w:right="-40" w:rightChars="-20"/>
              <w:rPr>
                <w:rFonts w:hint="default" w:ascii="Times New Roman" w:hAnsi="Times New Roman" w:eastAsia="方正黑体简体" w:cs="Times New Roman"/>
                <w:b/>
                <w:bCs/>
                <w:color w:val="auto"/>
                <w:kern w:val="2"/>
                <w:sz w:val="21"/>
                <w:szCs w:val="21"/>
                <w:highlight w:val="none"/>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66D0C96">
            <w:pPr>
              <w:keepNext w:val="0"/>
              <w:keepLines w:val="0"/>
              <w:suppressLineNumbers w:val="0"/>
              <w:spacing w:before="0" w:beforeAutospacing="0" w:after="0" w:afterAutospacing="0" w:line="340" w:lineRule="exact"/>
              <w:ind w:left="-40" w:leftChars="-20" w:right="-40" w:rightChars="-20"/>
              <w:rPr>
                <w:rFonts w:hint="default" w:ascii="Times New Roman" w:hAnsi="Times New Roman" w:eastAsia="方正黑体简体" w:cs="Times New Roman"/>
                <w:b/>
                <w:bCs/>
                <w:color w:val="auto"/>
                <w:kern w:val="2"/>
                <w:sz w:val="21"/>
                <w:szCs w:val="21"/>
                <w:highlight w:val="none"/>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B407EE6">
            <w:pPr>
              <w:keepNext w:val="0"/>
              <w:keepLines w:val="0"/>
              <w:suppressLineNumbers w:val="0"/>
              <w:spacing w:before="0" w:beforeAutospacing="0" w:after="0" w:afterAutospacing="0" w:line="340" w:lineRule="exact"/>
              <w:ind w:left="-40" w:leftChars="-20" w:right="-40" w:rightChars="-20"/>
              <w:rPr>
                <w:rFonts w:hint="default" w:ascii="Times New Roman" w:hAnsi="Times New Roman" w:eastAsia="方正黑体简体" w:cs="Times New Roman"/>
                <w:b/>
                <w:bCs/>
                <w:color w:val="auto"/>
                <w:kern w:val="2"/>
                <w:sz w:val="21"/>
                <w:szCs w:val="21"/>
                <w:highlight w:val="none"/>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34877BD">
            <w:pPr>
              <w:keepNext w:val="0"/>
              <w:keepLines w:val="0"/>
              <w:suppressLineNumbers w:val="0"/>
              <w:spacing w:before="0" w:beforeAutospacing="0" w:after="0" w:afterAutospacing="0" w:line="340" w:lineRule="exact"/>
              <w:ind w:left="-40" w:leftChars="-20" w:right="-40" w:rightChars="-20"/>
              <w:rPr>
                <w:rFonts w:hint="default" w:ascii="Times New Roman" w:hAnsi="Times New Roman" w:eastAsia="方正黑体简体" w:cs="Times New Roman"/>
                <w:b/>
                <w:bCs/>
                <w:color w:val="auto"/>
                <w:kern w:val="2"/>
                <w:sz w:val="21"/>
                <w:szCs w:val="21"/>
                <w:highlight w:val="none"/>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0EBA0FDD">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lang w:eastAsia="zh-CN"/>
              </w:rPr>
            </w:pPr>
            <w:r>
              <w:rPr>
                <w:rFonts w:hint="default" w:ascii="Times New Roman" w:hAnsi="Times New Roman" w:eastAsia="方正黑体简体" w:cs="Times New Roman"/>
                <w:b/>
                <w:bCs/>
                <w:color w:val="auto"/>
                <w:kern w:val="2"/>
                <w:sz w:val="21"/>
                <w:szCs w:val="21"/>
                <w:highlight w:val="none"/>
              </w:rPr>
              <w:t>结果</w:t>
            </w:r>
          </w:p>
          <w:p w14:paraId="6C783801">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31A050F1">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lang w:eastAsia="zh-CN"/>
              </w:rPr>
            </w:pPr>
            <w:r>
              <w:rPr>
                <w:rFonts w:hint="default" w:ascii="Times New Roman" w:hAnsi="Times New Roman" w:eastAsia="方正黑体简体" w:cs="Times New Roman"/>
                <w:b/>
                <w:bCs/>
                <w:color w:val="auto"/>
                <w:kern w:val="2"/>
                <w:sz w:val="21"/>
                <w:szCs w:val="21"/>
                <w:highlight w:val="none"/>
              </w:rPr>
              <w:t>结果</w:t>
            </w:r>
          </w:p>
          <w:p w14:paraId="70CA1A98">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317797D">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lang w:eastAsia="zh-CN"/>
              </w:rPr>
            </w:pPr>
            <w:r>
              <w:rPr>
                <w:rFonts w:hint="default" w:ascii="Times New Roman" w:hAnsi="Times New Roman" w:eastAsia="方正黑体简体" w:cs="Times New Roman"/>
                <w:b/>
                <w:bCs/>
                <w:color w:val="auto"/>
                <w:kern w:val="2"/>
                <w:sz w:val="21"/>
                <w:szCs w:val="21"/>
                <w:highlight w:val="none"/>
              </w:rPr>
              <w:t>其他</w:t>
            </w:r>
          </w:p>
          <w:p w14:paraId="1C43DF88">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499E8AB">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lang w:eastAsia="zh-CN"/>
              </w:rPr>
            </w:pPr>
            <w:r>
              <w:rPr>
                <w:rFonts w:hint="default" w:ascii="Times New Roman" w:hAnsi="Times New Roman" w:eastAsia="方正黑体简体" w:cs="Times New Roman"/>
                <w:b/>
                <w:bCs/>
                <w:color w:val="auto"/>
                <w:kern w:val="2"/>
                <w:sz w:val="21"/>
                <w:szCs w:val="21"/>
                <w:highlight w:val="none"/>
              </w:rPr>
              <w:t>尚未</w:t>
            </w:r>
          </w:p>
          <w:p w14:paraId="4D17C8D3">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D609350">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AAF775B">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lang w:eastAsia="zh-CN"/>
              </w:rPr>
            </w:pPr>
            <w:r>
              <w:rPr>
                <w:rFonts w:hint="default" w:ascii="Times New Roman" w:hAnsi="Times New Roman" w:eastAsia="方正黑体简体" w:cs="Times New Roman"/>
                <w:b/>
                <w:bCs/>
                <w:color w:val="auto"/>
                <w:kern w:val="2"/>
                <w:sz w:val="21"/>
                <w:szCs w:val="21"/>
                <w:highlight w:val="none"/>
              </w:rPr>
              <w:t>结果</w:t>
            </w:r>
          </w:p>
          <w:p w14:paraId="5B8734A3">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0511C8D">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lang w:eastAsia="zh-CN"/>
              </w:rPr>
            </w:pPr>
            <w:r>
              <w:rPr>
                <w:rFonts w:hint="default" w:ascii="Times New Roman" w:hAnsi="Times New Roman" w:eastAsia="方正黑体简体" w:cs="Times New Roman"/>
                <w:b/>
                <w:bCs/>
                <w:color w:val="auto"/>
                <w:kern w:val="2"/>
                <w:sz w:val="21"/>
                <w:szCs w:val="21"/>
                <w:highlight w:val="none"/>
              </w:rPr>
              <w:t>结果</w:t>
            </w:r>
          </w:p>
          <w:p w14:paraId="2D8BDFC2">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E76C202">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lang w:eastAsia="zh-CN"/>
              </w:rPr>
            </w:pPr>
            <w:r>
              <w:rPr>
                <w:rFonts w:hint="default" w:ascii="Times New Roman" w:hAnsi="Times New Roman" w:eastAsia="方正黑体简体" w:cs="Times New Roman"/>
                <w:b/>
                <w:bCs/>
                <w:color w:val="auto"/>
                <w:kern w:val="2"/>
                <w:sz w:val="21"/>
                <w:szCs w:val="21"/>
                <w:highlight w:val="none"/>
              </w:rPr>
              <w:t>其他</w:t>
            </w:r>
          </w:p>
          <w:p w14:paraId="4487B12E">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3634A32">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lang w:eastAsia="zh-CN"/>
              </w:rPr>
            </w:pPr>
            <w:r>
              <w:rPr>
                <w:rFonts w:hint="default" w:ascii="Times New Roman" w:hAnsi="Times New Roman" w:eastAsia="方正黑体简体" w:cs="Times New Roman"/>
                <w:b/>
                <w:bCs/>
                <w:color w:val="auto"/>
                <w:kern w:val="2"/>
                <w:sz w:val="21"/>
                <w:szCs w:val="21"/>
                <w:highlight w:val="none"/>
              </w:rPr>
              <w:t>尚未</w:t>
            </w:r>
          </w:p>
          <w:p w14:paraId="30C691F1">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9F575A7">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总计</w:t>
            </w:r>
          </w:p>
        </w:tc>
      </w:tr>
      <w:tr w14:paraId="1DB8A5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14:paraId="09E4A3B8">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lang w:val="en-US" w:eastAsia="zh-CN"/>
              </w:rPr>
            </w:pPr>
            <w:r>
              <w:rPr>
                <w:rFonts w:hint="default" w:ascii="Times New Roman" w:hAnsi="Times New Roman" w:eastAsia="方正黑体简体" w:cs="Times New Roman"/>
                <w:b/>
                <w:bCs/>
                <w:color w:val="auto"/>
                <w:kern w:val="2"/>
                <w:sz w:val="21"/>
                <w:szCs w:val="21"/>
                <w:highlight w:val="none"/>
                <w:lang w:val="en-US" w:eastAsia="zh-CN"/>
              </w:rPr>
              <w:t>0</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14:paraId="2B2F7DA3">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lang w:val="en-US" w:eastAsia="zh-CN"/>
              </w:rPr>
              <w:t>0</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14:paraId="799FC3BD">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lang w:val="en-US" w:eastAsia="zh-CN"/>
              </w:rPr>
              <w:t>0</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14:paraId="134853D4">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lang w:val="en-US" w:eastAsia="zh-CN"/>
              </w:rPr>
              <w:t>0</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14:paraId="658C437D">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6A45A8F7">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328525D9">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550FC7D5">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lang w:val="en-US" w:eastAsia="zh-CN"/>
              </w:rPr>
              <w:t>0</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14:paraId="27022FCF">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lang w:val="en-US" w:eastAsia="zh-CN"/>
              </w:rPr>
              <w:t>0</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14:paraId="14DF1E33">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0D53F3DD">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03A92294">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209BDC33">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lang w:val="en-US" w:eastAsia="zh-CN"/>
              </w:rPr>
              <w:t>0</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14:paraId="7E5E4DC8">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lang w:val="en-US" w:eastAsia="zh-CN"/>
              </w:rPr>
              <w:t>0</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14:paraId="14C92105">
            <w:pPr>
              <w:keepNext w:val="0"/>
              <w:keepLines w:val="0"/>
              <w:suppressLineNumbers w:val="0"/>
              <w:spacing w:before="0" w:beforeAutospacing="0" w:after="0" w:afterAutospacing="0" w:line="340" w:lineRule="exact"/>
              <w:ind w:left="-40" w:leftChars="-20" w:right="-40" w:rightChars="-20"/>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lang w:val="en-US" w:eastAsia="zh-CN"/>
              </w:rPr>
              <w:t>0</w:t>
            </w:r>
          </w:p>
        </w:tc>
      </w:tr>
    </w:tbl>
    <w:p w14:paraId="5B2E524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黑体简体" w:cs="Times New Roman"/>
          <w:b/>
          <w:bCs/>
          <w:color w:val="auto"/>
          <w:sz w:val="32"/>
          <w:szCs w:val="32"/>
          <w:highlight w:val="none"/>
        </w:rPr>
      </w:pPr>
      <w:r>
        <w:rPr>
          <w:rFonts w:hint="default" w:ascii="Times New Roman" w:hAnsi="Times New Roman" w:eastAsia="方正黑体简体" w:cs="Times New Roman"/>
          <w:b/>
          <w:bCs/>
          <w:color w:val="auto"/>
          <w:sz w:val="32"/>
          <w:szCs w:val="32"/>
          <w:highlight w:val="none"/>
        </w:rPr>
        <w:t>存在的主要问题及改进情况</w:t>
      </w:r>
    </w:p>
    <w:p w14:paraId="52EC93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rPr>
          <w:rFonts w:hint="default" w:ascii="方正仿宋简体" w:hAnsi="Calibri" w:eastAsia="方正仿宋简体"/>
          <w:b/>
          <w:color w:val="000000"/>
          <w:kern w:val="2"/>
          <w:sz w:val="32"/>
          <w:szCs w:val="32"/>
          <w:lang w:val="en-US" w:eastAsia="zh-CN"/>
        </w:rPr>
      </w:pPr>
      <w:r>
        <w:rPr>
          <w:rFonts w:hint="eastAsia" w:ascii="方正仿宋简体" w:hAnsi="Calibri" w:eastAsia="方正仿宋简体"/>
          <w:b/>
          <w:color w:val="000000"/>
          <w:kern w:val="2"/>
          <w:sz w:val="32"/>
          <w:szCs w:val="32"/>
          <w:lang w:val="en-US" w:eastAsia="zh-CN"/>
        </w:rPr>
        <w:t>我局对去年政务公开工作中发现的问题进行了优化提升，通过加强人员培训，网站负责人员明晰了公开的界限，提高了公开信息的准确性。同时，认真研究政策的出台背景和目的，从群众角度出发，多形式对政策进行解读，使得政策更贴近人民所思所想。但本年度仍有个别问题有待改进，其中主要体现在发现公开的信息存在错别字，把关不够细致严谨的问题。针对上述问题，我局将进一步规范信息公开工作，强化信息公开管理，加强信息公开人员的学习和培训，努力提高信息公开质量。</w:t>
      </w:r>
    </w:p>
    <w:p w14:paraId="4C7964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黑体简体" w:cs="Times New Roman"/>
          <w:b/>
          <w:bCs/>
          <w:color w:val="auto"/>
          <w:sz w:val="32"/>
          <w:szCs w:val="32"/>
          <w:highlight w:val="none"/>
        </w:rPr>
      </w:pPr>
      <w:r>
        <w:rPr>
          <w:rFonts w:hint="default" w:ascii="Times New Roman" w:hAnsi="Times New Roman" w:eastAsia="方正黑体简体" w:cs="Times New Roman"/>
          <w:b/>
          <w:bCs/>
          <w:color w:val="auto"/>
          <w:sz w:val="32"/>
          <w:szCs w:val="32"/>
          <w:highlight w:val="none"/>
        </w:rPr>
        <w:t>六、其他需要报告的事项</w:t>
      </w:r>
    </w:p>
    <w:p w14:paraId="32692090">
      <w:pPr>
        <w:spacing w:line="600" w:lineRule="exact"/>
        <w:ind w:firstLine="643" w:firstLineChars="200"/>
        <w:rPr>
          <w:rFonts w:hint="default" w:ascii="方正仿宋简体" w:hAnsi="Calibri" w:eastAsia="方正仿宋简体"/>
          <w:b/>
          <w:color w:val="000000"/>
          <w:kern w:val="2"/>
          <w:sz w:val="32"/>
          <w:szCs w:val="32"/>
          <w:lang w:val="en-US" w:eastAsia="zh-CN"/>
        </w:rPr>
      </w:pPr>
      <w:r>
        <w:rPr>
          <w:rFonts w:hint="eastAsia" w:ascii="方正仿宋简体" w:hAnsi="Calibri" w:eastAsia="方正仿宋简体"/>
          <w:b/>
          <w:color w:val="000000"/>
          <w:kern w:val="2"/>
          <w:sz w:val="32"/>
          <w:szCs w:val="32"/>
          <w:lang w:val="en-US" w:eastAsia="zh-CN"/>
        </w:rPr>
        <w:t>（一）</w:t>
      </w:r>
      <w:r>
        <w:rPr>
          <w:rFonts w:hint="default" w:ascii="方正仿宋简体" w:hAnsi="Calibri" w:eastAsia="方正仿宋简体"/>
          <w:b/>
          <w:color w:val="000000"/>
          <w:kern w:val="2"/>
          <w:sz w:val="32"/>
          <w:szCs w:val="32"/>
          <w:lang w:val="en-US" w:eastAsia="zh-CN"/>
        </w:rPr>
        <w:t>依据《政府信息公开信息处理费管理办法》收取信息处理费的情况需在此专门报告</w:t>
      </w:r>
      <w:r>
        <w:rPr>
          <w:rFonts w:hint="eastAsia" w:ascii="方正仿宋简体" w:hAnsi="Calibri" w:eastAsia="方正仿宋简体"/>
          <w:b/>
          <w:color w:val="000000"/>
          <w:kern w:val="2"/>
          <w:sz w:val="32"/>
          <w:szCs w:val="32"/>
          <w:lang w:val="en-US" w:eastAsia="zh-CN"/>
        </w:rPr>
        <w:t>：</w:t>
      </w:r>
    </w:p>
    <w:p w14:paraId="2AD7FB78">
      <w:pPr>
        <w:spacing w:line="600" w:lineRule="exact"/>
        <w:ind w:firstLine="643" w:firstLineChars="200"/>
        <w:rPr>
          <w:rFonts w:hint="default" w:ascii="方正仿宋简体" w:hAnsi="Calibri" w:eastAsia="方正仿宋简体"/>
          <w:b/>
          <w:color w:val="000000"/>
          <w:kern w:val="2"/>
          <w:sz w:val="32"/>
          <w:szCs w:val="32"/>
          <w:lang w:val="en-US" w:eastAsia="zh-CN"/>
        </w:rPr>
      </w:pPr>
      <w:r>
        <w:rPr>
          <w:rFonts w:hint="default" w:ascii="方正仿宋简体" w:hAnsi="Calibri" w:eastAsia="方正仿宋简体"/>
          <w:b/>
          <w:color w:val="000000"/>
          <w:kern w:val="2"/>
          <w:sz w:val="32"/>
          <w:szCs w:val="32"/>
          <w:lang w:val="en-US" w:eastAsia="zh-CN"/>
        </w:rPr>
        <w:t>本年度无收取信息处理费情况。</w:t>
      </w:r>
    </w:p>
    <w:p w14:paraId="08821EDA">
      <w:pPr>
        <w:spacing w:line="600" w:lineRule="exact"/>
        <w:ind w:firstLine="643" w:firstLineChars="200"/>
        <w:rPr>
          <w:rFonts w:hint="eastAsia" w:ascii="方正仿宋简体" w:hAnsi="Calibri" w:eastAsia="方正仿宋简体"/>
          <w:b/>
          <w:color w:val="000000"/>
          <w:kern w:val="2"/>
          <w:sz w:val="32"/>
          <w:szCs w:val="32"/>
          <w:lang w:val="en-US" w:eastAsia="zh-CN"/>
        </w:rPr>
      </w:pPr>
      <w:r>
        <w:rPr>
          <w:rFonts w:hint="eastAsia" w:ascii="方正仿宋简体" w:hAnsi="Calibri" w:eastAsia="方正仿宋简体"/>
          <w:b/>
          <w:color w:val="000000"/>
          <w:kern w:val="2"/>
          <w:sz w:val="32"/>
          <w:szCs w:val="32"/>
          <w:lang w:val="en-US" w:eastAsia="zh-CN"/>
        </w:rPr>
        <w:t>（二）</w:t>
      </w:r>
      <w:r>
        <w:rPr>
          <w:rFonts w:hint="default" w:ascii="方正仿宋简体" w:hAnsi="Calibri" w:eastAsia="方正仿宋简体"/>
          <w:b/>
          <w:color w:val="000000"/>
          <w:kern w:val="2"/>
          <w:sz w:val="32"/>
          <w:szCs w:val="32"/>
          <w:lang w:val="en-US" w:eastAsia="zh-CN"/>
        </w:rPr>
        <w:t>本行政机关落实上级年度政务公开工作要点情况</w:t>
      </w:r>
      <w:r>
        <w:rPr>
          <w:rFonts w:hint="eastAsia" w:ascii="方正仿宋简体" w:hAnsi="Calibri" w:eastAsia="方正仿宋简体"/>
          <w:b/>
          <w:color w:val="000000"/>
          <w:kern w:val="2"/>
          <w:sz w:val="32"/>
          <w:szCs w:val="32"/>
          <w:lang w:val="en-US" w:eastAsia="zh-CN"/>
        </w:rPr>
        <w:t>：</w:t>
      </w:r>
      <w:r>
        <w:rPr>
          <w:rFonts w:hint="default" w:ascii="方正仿宋简体" w:hAnsi="Calibri" w:eastAsia="方正仿宋简体"/>
          <w:b/>
          <w:color w:val="000000"/>
          <w:kern w:val="2"/>
          <w:sz w:val="32"/>
          <w:szCs w:val="32"/>
          <w:lang w:val="en-US" w:eastAsia="zh-CN"/>
        </w:rPr>
        <w:t>2024</w:t>
      </w:r>
      <w:r>
        <w:rPr>
          <w:rFonts w:hint="eastAsia" w:ascii="方正仿宋简体" w:hAnsi="Calibri" w:eastAsia="方正仿宋简体"/>
          <w:b/>
          <w:color w:val="000000"/>
          <w:kern w:val="2"/>
          <w:sz w:val="32"/>
          <w:szCs w:val="32"/>
          <w:lang w:val="en-US" w:eastAsia="zh-CN"/>
        </w:rPr>
        <w:t>年，区城乡建设和交通局认真贯彻落实《中华人民共和国政府信息公开条例》，围绕住建领域工作及社会关切，加大主动公开力度，不断完善公开机制，严格落实政务信息公开发布、审批制度，确保了本年度政务公开工作的有序开展。</w:t>
      </w:r>
    </w:p>
    <w:p w14:paraId="195ECF2C">
      <w:pPr>
        <w:spacing w:line="600" w:lineRule="exact"/>
        <w:ind w:firstLine="643" w:firstLineChars="200"/>
        <w:rPr>
          <w:rFonts w:hint="eastAsia" w:ascii="方正仿宋简体" w:hAnsi="Calibri" w:eastAsia="方正仿宋简体"/>
          <w:b/>
          <w:color w:val="000000"/>
          <w:kern w:val="2"/>
          <w:sz w:val="32"/>
          <w:szCs w:val="32"/>
          <w:lang w:val="en-US" w:eastAsia="zh-CN"/>
        </w:rPr>
      </w:pPr>
      <w:r>
        <w:rPr>
          <w:rFonts w:hint="eastAsia" w:ascii="仿宋_GB2312" w:eastAsia="仿宋_GB2312"/>
          <w:b/>
          <w:bCs w:val="0"/>
          <w:color w:val="auto"/>
          <w:sz w:val="32"/>
          <w:szCs w:val="32"/>
          <w:lang w:eastAsia="zh-CN"/>
        </w:rPr>
        <w:t>（三）</w:t>
      </w:r>
      <w:r>
        <w:rPr>
          <w:rFonts w:ascii="仿宋_GB2312" w:eastAsia="仿宋_GB2312"/>
          <w:b/>
          <w:bCs w:val="0"/>
          <w:color w:val="auto"/>
          <w:sz w:val="32"/>
          <w:szCs w:val="32"/>
        </w:rPr>
        <w:t>本行政机关人大代表建议和政协提案办理结果公开情况</w:t>
      </w:r>
      <w:r>
        <w:rPr>
          <w:rFonts w:hint="eastAsia" w:ascii="方正仿宋简体" w:hAnsi="Calibri" w:eastAsia="方正仿宋简体"/>
          <w:b/>
          <w:color w:val="000000"/>
          <w:kern w:val="2"/>
          <w:sz w:val="32"/>
          <w:szCs w:val="32"/>
          <w:lang w:val="en-US" w:eastAsia="zh-CN"/>
        </w:rPr>
        <w:t>：</w:t>
      </w:r>
    </w:p>
    <w:p w14:paraId="7EE37610">
      <w:pPr>
        <w:spacing w:line="600" w:lineRule="exact"/>
        <w:ind w:firstLine="643" w:firstLineChars="200"/>
        <w:rPr>
          <w:rFonts w:hint="eastAsia" w:ascii="方正仿宋简体" w:hAnsi="Calibri" w:eastAsia="方正仿宋简体"/>
          <w:b/>
          <w:color w:val="000000"/>
          <w:kern w:val="2"/>
          <w:sz w:val="32"/>
          <w:szCs w:val="32"/>
          <w:lang w:val="en-US" w:eastAsia="zh-CN"/>
        </w:rPr>
      </w:pPr>
      <w:r>
        <w:rPr>
          <w:rFonts w:hint="eastAsia" w:ascii="方正仿宋简体" w:hAnsi="Calibri" w:eastAsia="方正仿宋简体"/>
          <w:b/>
          <w:color w:val="000000"/>
          <w:kern w:val="2"/>
          <w:sz w:val="32"/>
          <w:szCs w:val="32"/>
          <w:lang w:val="en-US" w:eastAsia="zh-CN"/>
        </w:rPr>
        <w:t>2024年我部门未收到人大代表建议和政协提案。</w:t>
      </w:r>
    </w:p>
    <w:p w14:paraId="5BCB3CD3">
      <w:pPr>
        <w:spacing w:line="600" w:lineRule="exact"/>
        <w:ind w:firstLine="643" w:firstLineChars="200"/>
        <w:rPr>
          <w:rFonts w:hint="eastAsia" w:ascii="方正仿宋简体" w:hAnsi="Calibri" w:eastAsia="方正仿宋简体"/>
          <w:b/>
          <w:color w:val="000000"/>
          <w:kern w:val="2"/>
          <w:sz w:val="32"/>
          <w:szCs w:val="32"/>
          <w:lang w:val="en-US" w:eastAsia="zh-CN"/>
        </w:rPr>
      </w:pPr>
      <w:r>
        <w:rPr>
          <w:rFonts w:hint="eastAsia" w:ascii="方正仿宋简体" w:hAnsi="Calibri" w:eastAsia="方正仿宋简体"/>
          <w:b/>
          <w:color w:val="000000"/>
          <w:kern w:val="2"/>
          <w:sz w:val="32"/>
          <w:szCs w:val="32"/>
          <w:lang w:val="en-US" w:eastAsia="zh-CN"/>
        </w:rPr>
        <w:t>（四）其他有关文件专门要求通过政府信息公开工作年度报告予以报告的事项：无。</w:t>
      </w:r>
    </w:p>
    <w:p w14:paraId="55E71C57">
      <w:pPr>
        <w:ind w:firstLine="643" w:firstLineChars="200"/>
        <w:rPr>
          <w:rFonts w:hint="eastAsia" w:ascii="方正仿宋简体" w:hAnsi="方正仿宋简体" w:eastAsia="方正仿宋简体" w:cs="方正仿宋简体"/>
          <w:b/>
          <w:bCs/>
          <w:strike/>
          <w:dstrike w:val="0"/>
          <w:color w:val="auto"/>
          <w:sz w:val="32"/>
          <w:szCs w:val="32"/>
          <w:highlight w:val="none"/>
          <w:lang w:val="en-US" w:eastAsia="zh-CN"/>
        </w:rPr>
      </w:pPr>
    </w:p>
    <w:sectPr>
      <w:pgSz w:w="11906" w:h="16838"/>
      <w:pgMar w:top="2041" w:right="1417" w:bottom="153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1" w:fontKey="{3C7FF077-63CE-4B4B-BBFE-B35782B073BD}"/>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embedRegular r:id="rId2" w:fontKey="{3F67BA6D-CA40-4639-B09D-11AC27B13483}"/>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25ED2"/>
    <w:multiLevelType w:val="singleLevel"/>
    <w:tmpl w:val="86E25ED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5YmY2MWM3NjU1NDRmYzJjMzQ1MjdjMTMyOGJlOTUifQ=="/>
  </w:docVars>
  <w:rsids>
    <w:rsidRoot w:val="00000000"/>
    <w:rsid w:val="00711423"/>
    <w:rsid w:val="00DF50B9"/>
    <w:rsid w:val="038054DE"/>
    <w:rsid w:val="09E92ED1"/>
    <w:rsid w:val="0CB72EDB"/>
    <w:rsid w:val="0F393EEB"/>
    <w:rsid w:val="121A05A5"/>
    <w:rsid w:val="15707694"/>
    <w:rsid w:val="15854A78"/>
    <w:rsid w:val="15F5131D"/>
    <w:rsid w:val="186D36CC"/>
    <w:rsid w:val="192A38F9"/>
    <w:rsid w:val="1ADB0FA1"/>
    <w:rsid w:val="1B412329"/>
    <w:rsid w:val="1E42071C"/>
    <w:rsid w:val="2A7210B0"/>
    <w:rsid w:val="34A91F63"/>
    <w:rsid w:val="34DD74E5"/>
    <w:rsid w:val="35645510"/>
    <w:rsid w:val="37C15FA5"/>
    <w:rsid w:val="3A9546D0"/>
    <w:rsid w:val="3BB42684"/>
    <w:rsid w:val="3C88303B"/>
    <w:rsid w:val="40903C1F"/>
    <w:rsid w:val="4229056E"/>
    <w:rsid w:val="436E32E8"/>
    <w:rsid w:val="47631ACB"/>
    <w:rsid w:val="486C55E1"/>
    <w:rsid w:val="487024F5"/>
    <w:rsid w:val="4A531933"/>
    <w:rsid w:val="4ACD7944"/>
    <w:rsid w:val="4F324BCD"/>
    <w:rsid w:val="500B42F7"/>
    <w:rsid w:val="565076BF"/>
    <w:rsid w:val="57B33FC4"/>
    <w:rsid w:val="58414096"/>
    <w:rsid w:val="58EA6187"/>
    <w:rsid w:val="5DDB2620"/>
    <w:rsid w:val="612D4112"/>
    <w:rsid w:val="61945001"/>
    <w:rsid w:val="66B85BF8"/>
    <w:rsid w:val="6AD32204"/>
    <w:rsid w:val="6BBB5955"/>
    <w:rsid w:val="6E154501"/>
    <w:rsid w:val="6FDA7244"/>
    <w:rsid w:val="74987F0D"/>
    <w:rsid w:val="75A97E3E"/>
    <w:rsid w:val="76081FDF"/>
    <w:rsid w:val="7699358F"/>
    <w:rsid w:val="76EC2FDC"/>
    <w:rsid w:val="787F5DA7"/>
    <w:rsid w:val="7EBA492E"/>
    <w:rsid w:val="7F233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explosion val="0"/>
            <c:spPr>
              <a:solidFill>
                <a:schemeClr val="accent5"/>
              </a:solidFill>
              <a:ln>
                <a:solidFill>
                  <a:schemeClr val="bg1"/>
                </a:solidFill>
              </a:ln>
              <a:effectLst/>
            </c:spPr>
          </c:dPt>
          <c:dPt>
            <c:idx val="5"/>
            <c:bubble3D val="0"/>
            <c:explosion val="0"/>
            <c:spPr>
              <a:solidFill>
                <a:schemeClr val="accent6"/>
              </a:solidFill>
              <a:ln>
                <a:solidFill>
                  <a:schemeClr val="bg1"/>
                </a:solidFill>
              </a:ln>
              <a:effectLst/>
            </c:spPr>
          </c:dPt>
          <c:dPt>
            <c:idx val="6"/>
            <c:bubble3D val="0"/>
            <c:explosion val="0"/>
            <c:spPr>
              <a:solidFill>
                <a:schemeClr val="accent1">
                  <a:lumMod val="60000"/>
                </a:schemeClr>
              </a:solidFill>
              <a:ln>
                <a:solidFill>
                  <a:schemeClr val="bg1"/>
                </a:solidFill>
              </a:ln>
              <a:effectLst/>
            </c:spPr>
          </c:dPt>
          <c:dLbls>
            <c:dLbl>
              <c:idx val="0"/>
              <c:layout>
                <c:manualLayout>
                  <c:x val="-0.0385976198134448"/>
                  <c:y val="-0.12439729990356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144741074300418"/>
                  <c:y val="-0.0260366441658631"/>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257317465422966"/>
                  <c:y val="-0.00578592092574735"/>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0144741074300418"/>
                  <c:y val="0.0202507232401157"/>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024123512383403"/>
                  <c:y val="0.0607521697203472"/>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5"/>
              <c:layout>
                <c:manualLayout>
                  <c:x val="-0.020907044065616"/>
                  <c:y val="0.0347155255544841"/>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6"/>
              <c:layout>
                <c:manualLayout>
                  <c:x val="0.0048247024766806"/>
                  <c:y val="0.00289296046287367"/>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numFmt formatCode="General" sourceLinked="0"/>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ln cmpd="dbl">
                      <a:noFill/>
                    </a:l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1"/>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公共资源配置</c:v>
                </c:pt>
                <c:pt idx="1">
                  <c:v>行政执法公示</c:v>
                </c:pt>
                <c:pt idx="2">
                  <c:v>重大建设项目</c:v>
                </c:pt>
                <c:pt idx="3">
                  <c:v>执行和落实情况公开</c:v>
                </c:pt>
                <c:pt idx="4">
                  <c:v>“双随机、一公开”监管</c:v>
                </c:pt>
                <c:pt idx="5">
                  <c:v>通知公告</c:v>
                </c:pt>
                <c:pt idx="6">
                  <c:v>其它各类信息</c:v>
                </c:pt>
              </c:strCache>
            </c:strRef>
          </c:cat>
          <c:val>
            <c:numRef>
              <c:f>Sheet1!$B$2:$B$8</c:f>
              <c:numCache>
                <c:formatCode>General</c:formatCode>
                <c:ptCount val="7"/>
                <c:pt idx="0">
                  <c:v>47</c:v>
                </c:pt>
                <c:pt idx="1">
                  <c:v>17</c:v>
                </c:pt>
                <c:pt idx="2">
                  <c:v>5</c:v>
                </c:pt>
                <c:pt idx="3">
                  <c:v>15</c:v>
                </c:pt>
                <c:pt idx="4">
                  <c:v>6</c:v>
                </c:pt>
                <c:pt idx="5">
                  <c:v>9</c:v>
                </c:pt>
                <c:pt idx="6">
                  <c:v>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60801972767235"/>
          <c:y val="0.298649951783992"/>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1dda7f0a-49ba-4c57-80d9-3edd626bd298}"/>
      </c:ext>
    </c:extLst>
  </c:chart>
  <c:spPr>
    <a:solidFill>
      <a:schemeClr val="bg1"/>
    </a:solidFill>
    <a:ln w="6350" cap="flat" cmpd="sng" algn="ctr">
      <a:solidFill>
        <a:schemeClr val="tx1">
          <a:lumMod val="50000"/>
          <a:lumOff val="50000"/>
          <a:alpha val="25000"/>
        </a:schemeClr>
      </a:solidFill>
      <a:round/>
    </a:ln>
    <a:effectLst/>
  </c:spPr>
  <c:txPr>
    <a:bodyPr/>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6</Pages>
  <Words>2395</Words>
  <Characters>2503</Characters>
  <Lines>0</Lines>
  <Paragraphs>0</Paragraphs>
  <TotalTime>0</TotalTime>
  <ScaleCrop>false</ScaleCrop>
  <LinksUpToDate>false</LinksUpToDate>
  <CharactersWithSpaces>2503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2022-01-10T01:36:00Z</dcterms:created>
  <dc:creator>DELL</dc:creator>
  <cp:lastModifiedBy>糖炒栗子 ້໌ᮨ</cp:lastModifiedBy>
  <cp:lastPrinted>2024-01-25T09:19:00Z</cp:lastPrinted>
  <dcterms:modified xsi:type="dcterms:W3CDTF">2025-01-23T08:10:15Z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90A9B6CD93444BF09F6912659D621261_13</vt:lpwstr>
  </property>
  <property fmtid="{D5CDD505-2E9C-101B-9397-08002B2CF9AE}" pid="4" name="KSOTemplateDocerSaveRecord">
    <vt:lpwstr>eyJoZGlkIjoiZjYwNTBlYjNmNzUyNmFhNDZlNTJhOTFjOWM3OWY2ODYiLCJ1c2VySWQiOiIxMTQ4NjcwNDAzIn0=</vt:lpwstr>
  </property>
</Properties>
</file>