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A49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pPr>
    </w:p>
    <w:p w14:paraId="32E244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t>济宁高新区综合行政执法局202</w:t>
      </w:r>
      <w:r>
        <w:rPr>
          <w:rFonts w:hint="eastAsia" w:ascii="Times New Roman" w:hAnsi="Times New Roman" w:eastAsia="方正小标宋简体" w:cs="Times New Roman"/>
          <w:b/>
          <w:bCs/>
          <w:i w:val="0"/>
          <w:iCs w:val="0"/>
          <w:caps w:val="0"/>
          <w:color w:val="000000" w:themeColor="text1"/>
          <w:spacing w:val="0"/>
          <w:sz w:val="44"/>
          <w:szCs w:val="44"/>
          <w:lang w:val="en-US" w:eastAsia="zh-CN"/>
          <w14:textFill>
            <w14:solidFill>
              <w14:schemeClr w14:val="tx1"/>
            </w14:solidFill>
          </w14:textFill>
        </w:rPr>
        <w:t>5</w:t>
      </w:r>
      <w:r>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t>年</w:t>
      </w:r>
      <w:r>
        <w:rPr>
          <w:rFonts w:hint="default" w:ascii="Times New Roman" w:hAnsi="Times New Roman" w:eastAsia="方正小标宋简体" w:cs="Times New Roman"/>
          <w:b/>
          <w:bCs/>
          <w:i w:val="0"/>
          <w:iCs w:val="0"/>
          <w:caps w:val="0"/>
          <w:color w:val="000000" w:themeColor="text1"/>
          <w:spacing w:val="0"/>
          <w:sz w:val="44"/>
          <w:szCs w:val="44"/>
          <w:lang w:val="en-US" w:eastAsia="zh-CN"/>
          <w14:textFill>
            <w14:solidFill>
              <w14:schemeClr w14:val="tx1"/>
            </w14:solidFill>
          </w14:textFill>
        </w:rPr>
        <w:t>政府</w:t>
      </w:r>
      <w:r>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t>信息公开工作年度报告</w:t>
      </w:r>
    </w:p>
    <w:p w14:paraId="085E5B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黑体简体" w:cs="Times New Roman"/>
          <w:b/>
          <w:bCs/>
          <w:i w:val="0"/>
          <w:iCs w:val="0"/>
          <w:caps w:val="0"/>
          <w:color w:val="000000" w:themeColor="text1"/>
          <w:spacing w:val="0"/>
          <w:sz w:val="44"/>
          <w:szCs w:val="44"/>
          <w:lang w:eastAsia="zh-CN"/>
          <w14:textFill>
            <w14:solidFill>
              <w14:schemeClr w14:val="tx1"/>
            </w14:solidFill>
          </w14:textFill>
        </w:rPr>
      </w:pPr>
    </w:p>
    <w:p w14:paraId="3E903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Fonts w:hint="default" w:ascii="Times New Roman" w:hAnsi="Times New Roman" w:eastAsia="方正仿宋简体" w:cs="Times New Roman"/>
          <w:b/>
          <w:bCs/>
          <w:sz w:val="32"/>
          <w:szCs w:val="32"/>
        </w:rPr>
        <w:t>本报告由济宁</w:t>
      </w:r>
      <w:r>
        <w:rPr>
          <w:rFonts w:hint="eastAsia" w:ascii="Times New Roman" w:hAnsi="Times New Roman" w:eastAsia="方正仿宋简体" w:cs="Times New Roman"/>
          <w:b/>
          <w:bCs/>
          <w:sz w:val="32"/>
          <w:szCs w:val="32"/>
          <w:lang w:eastAsia="zh-CN"/>
        </w:rPr>
        <w:t>高新区综合行政执法局</w:t>
      </w:r>
      <w:bookmarkStart w:id="0" w:name="_GoBack"/>
      <w:bookmarkEnd w:id="0"/>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按照《中华人民共和国政府信息公开条例》</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以下简称《条例》）和《中华人民共和国政府信息公开工作年度报告格式》（国办公开办函</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〔2021〕30号</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）要求编制。</w:t>
      </w:r>
    </w:p>
    <w:p w14:paraId="3100D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eastAsia="方正仿宋简体" w:cs="Times New Roman"/>
          <w:b/>
          <w:bCs/>
          <w:sz w:val="32"/>
          <w:szCs w:val="32"/>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12C609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highlight w:val="none"/>
          <w:lang w:val="en-US" w:eastAsia="zh-CN" w:bidi="ar-SA"/>
        </w:rPr>
        <w:t>本报告所列数据的统计期限自2025年1月1日起至2025年12月31日止。本报告电子版可在“济宁国家高新技术产业开发区”管委会门户网站（http://www.jnhn.gov.cn）查阅或下载。</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如对本报告有疑问，可联系济宁高新区综合行政执法局（地址：济宁高新区海川路9号D5-3，联系电话：0537-3255301）。</w:t>
      </w:r>
    </w:p>
    <w:p w14:paraId="6BBB1A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rPr>
      </w:pPr>
      <w:r>
        <w:rPr>
          <w:rStyle w:val="5"/>
          <w:rFonts w:hint="default" w:ascii="Times New Roman" w:hAnsi="Times New Roman" w:eastAsia="方正黑体简体" w:cs="Times New Roman"/>
          <w:b/>
          <w:bCs/>
          <w:i w:val="0"/>
          <w:iCs w:val="0"/>
          <w:caps w:val="0"/>
          <w:color w:val="333333"/>
          <w:spacing w:val="0"/>
          <w:sz w:val="32"/>
          <w:szCs w:val="32"/>
        </w:rPr>
        <w:t>一、总体情况</w:t>
      </w:r>
    </w:p>
    <w:p w14:paraId="3418E9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2025年，济宁高新区综合行政执法局深入贯彻习近平新时代中国特色社会主义思想，紧扣全区“争一流、争第一、争唯一”总基调，秉持“以人民为中心”的发展思想，将政府信息公开工作与城市精细化管理、综合行政执法核心业务深度融合，严格落实《条例》要求，全面提升公开工作规范化、标准化水平，切实保障群众知情权、参与权、表达权和监督权。</w:t>
      </w:r>
    </w:p>
    <w:p w14:paraId="2081A3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Times New Roman" w:hAnsi="Times New Roman" w:eastAsia="方正楷体简体" w:cs="Times New Roman"/>
          <w:b/>
          <w:bCs/>
          <w:i w:val="0"/>
          <w:iCs w:val="0"/>
          <w:caps w:val="0"/>
          <w:color w:val="333333"/>
          <w:spacing w:val="0"/>
          <w:sz w:val="32"/>
          <w:szCs w:val="32"/>
        </w:rPr>
      </w:pPr>
      <w:r>
        <w:rPr>
          <w:rStyle w:val="5"/>
          <w:rFonts w:hint="default" w:ascii="Times New Roman" w:hAnsi="Times New Roman" w:eastAsia="方正楷体简体" w:cs="Times New Roman"/>
          <w:b/>
          <w:bCs/>
          <w:i w:val="0"/>
          <w:iCs w:val="0"/>
          <w:caps w:val="0"/>
          <w:color w:val="333333"/>
          <w:spacing w:val="0"/>
          <w:sz w:val="32"/>
          <w:szCs w:val="32"/>
        </w:rPr>
        <w:t>（一）主动公开情况</w:t>
      </w:r>
    </w:p>
    <w:p w14:paraId="293F17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80645</wp:posOffset>
            </wp:positionH>
            <wp:positionV relativeFrom="paragraph">
              <wp:posOffset>2240280</wp:posOffset>
            </wp:positionV>
            <wp:extent cx="5372735" cy="2808605"/>
            <wp:effectExtent l="4445" t="4445" r="13970" b="635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2025年济宁高新区综合行政执法局在济宁高新区管委会门户网站主动发布会议公开、双随机一公开、行政执法公示、公示公告共22条。在各级各类媒体上刊播新闻报道16篇，其中国家级、省级媒体刊发新闻报道2篇，市级媒体刊发1篇，区级媒体刊发13篇，全面反映我区城市管理工作做法和动态。</w:t>
      </w:r>
    </w:p>
    <w:p w14:paraId="094CBC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Times New Roman" w:hAnsi="Times New Roman" w:eastAsia="方正楷体简体" w:cs="Times New Roman"/>
          <w:b/>
          <w:bCs/>
          <w:i w:val="0"/>
          <w:iCs w:val="0"/>
          <w:caps w:val="0"/>
          <w:color w:val="333333"/>
          <w:spacing w:val="0"/>
          <w:sz w:val="32"/>
          <w:szCs w:val="32"/>
        </w:rPr>
      </w:pPr>
      <w:r>
        <w:rPr>
          <w:rStyle w:val="5"/>
          <w:rFonts w:hint="default" w:ascii="Times New Roman" w:hAnsi="Times New Roman" w:eastAsia="方正楷体简体" w:cs="Times New Roman"/>
          <w:b/>
          <w:bCs/>
          <w:i w:val="0"/>
          <w:iCs w:val="0"/>
          <w:caps w:val="0"/>
          <w:color w:val="333333"/>
          <w:spacing w:val="0"/>
          <w:sz w:val="32"/>
          <w:szCs w:val="32"/>
        </w:rPr>
        <w:t>（二）依申请公开情况</w:t>
      </w:r>
    </w:p>
    <w:p w14:paraId="5E8A0F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2025年我局有1起依申请公开申请，申请获取的信息内容</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涉及小区物业验收问题，本机关已于规定时间给予申请人答复。</w:t>
      </w:r>
    </w:p>
    <w:p w14:paraId="589D5F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Times New Roman" w:hAnsi="Times New Roman" w:eastAsia="方正楷体简体" w:cs="Times New Roman"/>
          <w:b/>
          <w:bCs/>
          <w:i w:val="0"/>
          <w:iCs w:val="0"/>
          <w:caps w:val="0"/>
          <w:color w:val="333333"/>
          <w:spacing w:val="0"/>
          <w:sz w:val="32"/>
          <w:szCs w:val="32"/>
        </w:rPr>
      </w:pPr>
      <w:r>
        <w:rPr>
          <w:rStyle w:val="5"/>
          <w:rFonts w:hint="default" w:ascii="Times New Roman" w:hAnsi="Times New Roman" w:eastAsia="方正楷体简体" w:cs="Times New Roman"/>
          <w:b/>
          <w:bCs/>
          <w:i w:val="0"/>
          <w:iCs w:val="0"/>
          <w:caps w:val="0"/>
          <w:color w:val="333333"/>
          <w:spacing w:val="0"/>
          <w:sz w:val="32"/>
          <w:szCs w:val="32"/>
        </w:rPr>
        <w:drawing>
          <wp:anchor distT="0" distB="0" distL="114300" distR="114300" simplePos="0" relativeHeight="251660288" behindDoc="0" locked="0" layoutInCell="1" allowOverlap="1">
            <wp:simplePos x="0" y="0"/>
            <wp:positionH relativeFrom="column">
              <wp:posOffset>271145</wp:posOffset>
            </wp:positionH>
            <wp:positionV relativeFrom="paragraph">
              <wp:posOffset>175260</wp:posOffset>
            </wp:positionV>
            <wp:extent cx="4826000" cy="2743200"/>
            <wp:effectExtent l="4445" t="4445" r="8255" b="1460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Style w:val="5"/>
          <w:rFonts w:hint="default" w:ascii="Times New Roman" w:hAnsi="Times New Roman" w:eastAsia="方正楷体简体" w:cs="Times New Roman"/>
          <w:b/>
          <w:bCs/>
          <w:i w:val="0"/>
          <w:iCs w:val="0"/>
          <w:caps w:val="0"/>
          <w:color w:val="333333"/>
          <w:spacing w:val="0"/>
          <w:sz w:val="32"/>
          <w:szCs w:val="32"/>
        </w:rPr>
        <w:t>（三）政府信息管理情况</w:t>
      </w:r>
    </w:p>
    <w:p w14:paraId="0D3B90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一是强化组织领导，严格按照“一岗双责”的要求，由单位主要负责人指定办公室负责信息公开的具体事务，安排推进、指导和监督信息公开工作。二是完善制度建设，打造预先审查制度，确保信息的公开符合相关规定，打造健全政府信息发布的保密审查机制，严格规范审查流程和责任人，打造主动公开制度，对于应公开的事项要及时主动公布。</w:t>
      </w:r>
    </w:p>
    <w:p w14:paraId="5D352F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Times New Roman" w:hAnsi="Times New Roman" w:eastAsia="方正楷体简体" w:cs="Times New Roman"/>
          <w:b/>
          <w:bCs/>
          <w:i w:val="0"/>
          <w:iCs w:val="0"/>
          <w:caps w:val="0"/>
          <w:color w:val="333333"/>
          <w:spacing w:val="0"/>
          <w:sz w:val="32"/>
          <w:szCs w:val="32"/>
        </w:rPr>
      </w:pPr>
      <w:r>
        <w:rPr>
          <w:rStyle w:val="5"/>
          <w:rFonts w:hint="default" w:ascii="Times New Roman" w:hAnsi="Times New Roman" w:eastAsia="方正楷体简体" w:cs="Times New Roman"/>
          <w:b/>
          <w:bCs/>
          <w:i w:val="0"/>
          <w:iCs w:val="0"/>
          <w:caps w:val="0"/>
          <w:color w:val="333333"/>
          <w:spacing w:val="0"/>
          <w:sz w:val="32"/>
          <w:szCs w:val="32"/>
        </w:rPr>
        <w:t>（四）政府信息公开平台建设情况</w:t>
      </w:r>
    </w:p>
    <w:p w14:paraId="00CA79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安排专人定期更新管委会网站行政执法公示专栏和双随机一公开专栏，将行政执法情况和双随机一公开情况及时、准确地向社会公众发布，接受公众监督。充分利用各类平台收集并依法回复各类信访事项。2025年济宁高新区综合行政执法局共受理12345政务服务热线转办事项7838件(次)，其中《市长信箱》74件、闪电新闻27件，人民网7件。其他类型7730件，截至12月31日，应办结5182件，实际办结5182件。全局平均办结率为100%。另外受理领导信箱事项21条，网络问政382件，办结率100%。</w:t>
      </w:r>
    </w:p>
    <w:p w14:paraId="4E6EFE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2"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r>
        <w:rPr>
          <w:rFonts w:hint="default" w:ascii="Times New Roman" w:hAnsi="Times New Roman" w:cs="Times New Roman"/>
          <w:b/>
          <w:bCs/>
        </w:rPr>
        <w:drawing>
          <wp:anchor distT="0" distB="0" distL="114300" distR="114300" simplePos="0" relativeHeight="251661312" behindDoc="0" locked="0" layoutInCell="1" allowOverlap="1">
            <wp:simplePos x="0" y="0"/>
            <wp:positionH relativeFrom="column">
              <wp:posOffset>280670</wp:posOffset>
            </wp:positionH>
            <wp:positionV relativeFrom="paragraph">
              <wp:posOffset>287020</wp:posOffset>
            </wp:positionV>
            <wp:extent cx="4826000" cy="2743200"/>
            <wp:effectExtent l="4445" t="4445" r="8255" b="1460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1563FF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0AD708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0942CE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77A97C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65E4B4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3930F0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5FB434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rPr>
      </w:pPr>
    </w:p>
    <w:p w14:paraId="23B6C9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仿宋简体" w:cs="Times New Roman"/>
          <w:b/>
          <w:bCs/>
          <w:i w:val="0"/>
          <w:iCs w:val="0"/>
          <w:caps w:val="0"/>
          <w:color w:val="333333"/>
          <w:spacing w:val="0"/>
          <w:sz w:val="32"/>
          <w:szCs w:val="32"/>
        </w:rPr>
      </w:pPr>
    </w:p>
    <w:p w14:paraId="1F9759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Times New Roman" w:hAnsi="Times New Roman" w:eastAsia="方正楷体简体" w:cs="Times New Roman"/>
          <w:b/>
          <w:bCs/>
          <w:i w:val="0"/>
          <w:iCs w:val="0"/>
          <w:caps w:val="0"/>
          <w:color w:val="333333"/>
          <w:spacing w:val="0"/>
          <w:sz w:val="32"/>
          <w:szCs w:val="32"/>
        </w:rPr>
      </w:pPr>
      <w:r>
        <w:rPr>
          <w:rStyle w:val="5"/>
          <w:rFonts w:hint="default" w:ascii="Times New Roman" w:hAnsi="Times New Roman" w:eastAsia="方正楷体简体" w:cs="Times New Roman"/>
          <w:b/>
          <w:bCs/>
          <w:i w:val="0"/>
          <w:iCs w:val="0"/>
          <w:caps w:val="0"/>
          <w:color w:val="333333"/>
          <w:spacing w:val="0"/>
          <w:sz w:val="32"/>
          <w:szCs w:val="32"/>
        </w:rPr>
        <w:t>（五）监督保障情况</w:t>
      </w:r>
    </w:p>
    <w:p w14:paraId="214F0D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严格信息发布管理，认真做好公开审查，确保信息发布准确权威。坚持把发布的每条信息都作为审核重点，定期进行梳理，及时开展信息自查，逐一对照改进完善，进一步健全监督和保障措施，坚决排除问题隐患，认真研究工作信息公开中的共性问题，确保信息公开工作有人抓、有人管，推进公开工作的制度化、规范化。</w:t>
      </w:r>
    </w:p>
    <w:p w14:paraId="533DC6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r>
        <w:rPr>
          <w:rFonts w:hint="default" w:ascii="Times New Roman" w:hAnsi="Times New Roman" w:eastAsia="方正黑体简体" w:cs="Times New Roman"/>
          <w:b/>
          <w:bCs/>
          <w:i w:val="0"/>
          <w:iCs w:val="0"/>
          <w:caps w:val="0"/>
          <w:color w:val="333333"/>
          <w:spacing w:val="0"/>
          <w:sz w:val="32"/>
          <w:szCs w:val="32"/>
          <w:lang w:val="en-US" w:eastAsia="zh-CN"/>
        </w:rPr>
        <w:t>二、主动公开政府信息情况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14:paraId="06E6415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97082C3">
            <w:pPr>
              <w:widowControl/>
              <w:jc w:val="center"/>
              <w:rPr>
                <w:rFonts w:hint="default" w:ascii="Times New Roman" w:hAnsi="Times New Roman" w:eastAsia="黑体" w:cs="Times New Roman"/>
                <w:b/>
                <w:bCs/>
                <w:color w:val="000000"/>
                <w:kern w:val="0"/>
                <w:szCs w:val="21"/>
              </w:rPr>
            </w:pPr>
            <w:r>
              <w:rPr>
                <w:rFonts w:hint="default" w:ascii="Times New Roman" w:hAnsi="Times New Roman" w:eastAsia="黑体" w:cs="Times New Roman"/>
                <w:b/>
                <w:bCs/>
                <w:color w:val="000000"/>
                <w:kern w:val="0"/>
                <w:szCs w:val="21"/>
              </w:rPr>
              <w:t>第二十条第（一）项</w:t>
            </w:r>
          </w:p>
        </w:tc>
      </w:tr>
      <w:tr w14:paraId="2A0E6C9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36B9960">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17348C3">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25A824C7">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6F302EEE">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现行有效件数</w:t>
            </w:r>
          </w:p>
        </w:tc>
      </w:tr>
      <w:tr w14:paraId="3D5A560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44FDDB">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0A1CFE87">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1D07DF0">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75762C3C">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r>
      <w:tr w14:paraId="62BE350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20F0437">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06FAEB2C">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0A6FD1B">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8E837B3">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r>
      <w:tr w14:paraId="23A349B9">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987A9D0">
            <w:pPr>
              <w:widowControl/>
              <w:jc w:val="center"/>
              <w:rPr>
                <w:rFonts w:hint="default" w:ascii="Times New Roman" w:hAnsi="Times New Roman" w:eastAsia="黑体" w:cs="Times New Roman"/>
                <w:b/>
                <w:bCs/>
                <w:color w:val="000000"/>
                <w:kern w:val="0"/>
                <w:szCs w:val="21"/>
              </w:rPr>
            </w:pPr>
            <w:r>
              <w:rPr>
                <w:rFonts w:hint="default" w:ascii="Times New Roman" w:hAnsi="Times New Roman" w:eastAsia="黑体" w:cs="Times New Roman"/>
                <w:b/>
                <w:bCs/>
                <w:color w:val="000000"/>
                <w:kern w:val="0"/>
                <w:szCs w:val="21"/>
              </w:rPr>
              <w:t>第二十条第（五）项</w:t>
            </w:r>
          </w:p>
        </w:tc>
      </w:tr>
      <w:tr w14:paraId="6196ECA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AF92576">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0D2D583">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本年处理决定数量</w:t>
            </w:r>
          </w:p>
        </w:tc>
      </w:tr>
      <w:tr w14:paraId="30EECBD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FCDA73D">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5F63D3C">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87</w:t>
            </w:r>
          </w:p>
        </w:tc>
      </w:tr>
      <w:tr w14:paraId="454D31D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4AF4FE2">
            <w:pPr>
              <w:widowControl/>
              <w:jc w:val="center"/>
              <w:rPr>
                <w:rFonts w:hint="default" w:ascii="Times New Roman" w:hAnsi="Times New Roman" w:eastAsia="黑体" w:cs="Times New Roman"/>
                <w:b/>
                <w:bCs/>
                <w:color w:val="000000"/>
                <w:kern w:val="0"/>
                <w:szCs w:val="21"/>
              </w:rPr>
            </w:pPr>
            <w:r>
              <w:rPr>
                <w:rFonts w:hint="default" w:ascii="Times New Roman" w:hAnsi="Times New Roman" w:eastAsia="黑体" w:cs="Times New Roman"/>
                <w:b/>
                <w:bCs/>
                <w:color w:val="000000"/>
                <w:kern w:val="0"/>
                <w:szCs w:val="21"/>
              </w:rPr>
              <w:t>第二十条第（六）项</w:t>
            </w:r>
          </w:p>
        </w:tc>
      </w:tr>
      <w:tr w14:paraId="2B2793D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0299B21">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23CE1F9">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本年处理决定数量</w:t>
            </w:r>
          </w:p>
        </w:tc>
      </w:tr>
      <w:tr w14:paraId="51A88B7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7A53225">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2B22FAC5">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80</w:t>
            </w:r>
          </w:p>
        </w:tc>
      </w:tr>
      <w:tr w14:paraId="4BEFCC8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E33996C">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6C3AD33F">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r>
      <w:tr w14:paraId="11B67682">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1A51D83">
            <w:pPr>
              <w:widowControl/>
              <w:jc w:val="center"/>
              <w:rPr>
                <w:rFonts w:hint="default" w:ascii="Times New Roman" w:hAnsi="Times New Roman" w:eastAsia="黑体" w:cs="Times New Roman"/>
                <w:b/>
                <w:bCs/>
                <w:color w:val="000000"/>
                <w:kern w:val="0"/>
                <w:szCs w:val="21"/>
              </w:rPr>
            </w:pPr>
            <w:r>
              <w:rPr>
                <w:rFonts w:hint="default" w:ascii="Times New Roman" w:hAnsi="Times New Roman" w:eastAsia="黑体" w:cs="Times New Roman"/>
                <w:b/>
                <w:bCs/>
                <w:color w:val="000000"/>
                <w:kern w:val="0"/>
                <w:szCs w:val="21"/>
              </w:rPr>
              <w:t>第二十条第（八）项</w:t>
            </w:r>
          </w:p>
        </w:tc>
      </w:tr>
      <w:tr w14:paraId="7C643957">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7DFA99B">
            <w:pPr>
              <w:widowControl/>
              <w:jc w:val="both"/>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12152F8">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本年收费金额（单位：万元）</w:t>
            </w:r>
          </w:p>
        </w:tc>
      </w:tr>
      <w:tr w14:paraId="0AE65F0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ADD31CC">
            <w:pPr>
              <w:widowControl/>
              <w:jc w:val="left"/>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0347BBC2">
            <w:pPr>
              <w:widowControl/>
              <w:jc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0</w:t>
            </w:r>
          </w:p>
        </w:tc>
      </w:tr>
    </w:tbl>
    <w:p w14:paraId="21ED45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微软雅黑" w:cs="Times New Roman"/>
          <w:b/>
          <w:bCs/>
          <w:i w:val="0"/>
          <w:iCs w:val="0"/>
          <w:caps w:val="0"/>
          <w:color w:val="333333"/>
          <w:spacing w:val="0"/>
          <w:sz w:val="13"/>
          <w:szCs w:val="13"/>
        </w:rPr>
      </w:pPr>
    </w:p>
    <w:p w14:paraId="38E71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r>
        <w:rPr>
          <w:rFonts w:hint="default" w:ascii="Times New Roman" w:hAnsi="Times New Roman" w:eastAsia="方正黑体简体" w:cs="Times New Roman"/>
          <w:b/>
          <w:bCs/>
          <w:i w:val="0"/>
          <w:iCs w:val="0"/>
          <w:caps w:val="0"/>
          <w:color w:val="333333"/>
          <w:spacing w:val="0"/>
          <w:sz w:val="32"/>
          <w:szCs w:val="32"/>
          <w:lang w:val="en-US" w:eastAsia="zh-CN"/>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437F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6A353D6A">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19CE56B">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申请人情况</w:t>
            </w:r>
          </w:p>
        </w:tc>
      </w:tr>
      <w:tr w14:paraId="22B9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6B06456">
            <w:pPr>
              <w:spacing w:line="300" w:lineRule="exact"/>
              <w:jc w:val="center"/>
              <w:rPr>
                <w:rFonts w:hint="default" w:ascii="Times New Roman" w:hAnsi="Times New Roman" w:eastAsia="方正黑体简体" w:cs="Times New Roman"/>
                <w:b/>
                <w:bCs/>
                <w:sz w:val="21"/>
                <w:szCs w:val="21"/>
              </w:rPr>
            </w:pPr>
          </w:p>
        </w:tc>
        <w:tc>
          <w:tcPr>
            <w:tcW w:w="791" w:type="dxa"/>
            <w:vMerge w:val="restart"/>
            <w:noWrap w:val="0"/>
            <w:tcMar>
              <w:left w:w="57" w:type="dxa"/>
              <w:right w:w="57" w:type="dxa"/>
            </w:tcMar>
            <w:vAlign w:val="center"/>
          </w:tcPr>
          <w:p w14:paraId="30202980">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自然人</w:t>
            </w:r>
          </w:p>
        </w:tc>
        <w:tc>
          <w:tcPr>
            <w:tcW w:w="2917" w:type="dxa"/>
            <w:gridSpan w:val="5"/>
            <w:noWrap w:val="0"/>
            <w:tcMar>
              <w:left w:w="108" w:type="dxa"/>
              <w:right w:w="108" w:type="dxa"/>
            </w:tcMar>
            <w:vAlign w:val="center"/>
          </w:tcPr>
          <w:p w14:paraId="07BE8F24">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法人或其他组织</w:t>
            </w:r>
          </w:p>
        </w:tc>
        <w:tc>
          <w:tcPr>
            <w:tcW w:w="521" w:type="dxa"/>
            <w:vMerge w:val="restart"/>
            <w:noWrap w:val="0"/>
            <w:tcMar>
              <w:left w:w="108" w:type="dxa"/>
              <w:right w:w="108" w:type="dxa"/>
            </w:tcMar>
            <w:vAlign w:val="center"/>
          </w:tcPr>
          <w:p w14:paraId="2B9BF98E">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总计</w:t>
            </w:r>
          </w:p>
        </w:tc>
      </w:tr>
      <w:tr w14:paraId="76AF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66C12081">
            <w:pPr>
              <w:spacing w:line="300" w:lineRule="exact"/>
              <w:rPr>
                <w:rFonts w:hint="default" w:ascii="Times New Roman" w:hAnsi="Times New Roman" w:eastAsia="方正仿宋简体" w:cs="Times New Roman"/>
                <w:b/>
                <w:bCs/>
                <w:sz w:val="21"/>
                <w:szCs w:val="21"/>
              </w:rPr>
            </w:pPr>
          </w:p>
        </w:tc>
        <w:tc>
          <w:tcPr>
            <w:tcW w:w="791" w:type="dxa"/>
            <w:vMerge w:val="continue"/>
            <w:noWrap w:val="0"/>
            <w:tcMar>
              <w:left w:w="57" w:type="dxa"/>
              <w:right w:w="57" w:type="dxa"/>
            </w:tcMar>
            <w:vAlign w:val="center"/>
          </w:tcPr>
          <w:p w14:paraId="2553A2A3">
            <w:pPr>
              <w:spacing w:line="300" w:lineRule="exact"/>
              <w:rPr>
                <w:rFonts w:hint="default" w:ascii="Times New Roman" w:hAnsi="Times New Roman" w:eastAsia="方正仿宋简体" w:cs="Times New Roman"/>
                <w:b/>
                <w:bCs/>
                <w:sz w:val="21"/>
                <w:szCs w:val="21"/>
              </w:rPr>
            </w:pPr>
          </w:p>
        </w:tc>
        <w:tc>
          <w:tcPr>
            <w:tcW w:w="599" w:type="dxa"/>
            <w:noWrap w:val="0"/>
            <w:tcMar>
              <w:left w:w="108" w:type="dxa"/>
              <w:right w:w="108" w:type="dxa"/>
            </w:tcMar>
            <w:vAlign w:val="center"/>
          </w:tcPr>
          <w:p w14:paraId="1255BA7E">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商业</w:t>
            </w:r>
          </w:p>
          <w:p w14:paraId="0FF6E8B9">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企业</w:t>
            </w:r>
          </w:p>
        </w:tc>
        <w:tc>
          <w:tcPr>
            <w:tcW w:w="590" w:type="dxa"/>
            <w:noWrap w:val="0"/>
            <w:tcMar>
              <w:left w:w="108" w:type="dxa"/>
              <w:right w:w="108" w:type="dxa"/>
            </w:tcMar>
            <w:vAlign w:val="center"/>
          </w:tcPr>
          <w:p w14:paraId="728E1A7D">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科研</w:t>
            </w:r>
          </w:p>
          <w:p w14:paraId="71CBB8BA">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机构</w:t>
            </w:r>
          </w:p>
        </w:tc>
        <w:tc>
          <w:tcPr>
            <w:tcW w:w="598" w:type="dxa"/>
            <w:noWrap w:val="0"/>
            <w:tcMar>
              <w:left w:w="108" w:type="dxa"/>
              <w:right w:w="108" w:type="dxa"/>
            </w:tcMar>
            <w:vAlign w:val="center"/>
          </w:tcPr>
          <w:p w14:paraId="664A78C5">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社会公益组织</w:t>
            </w:r>
          </w:p>
        </w:tc>
        <w:tc>
          <w:tcPr>
            <w:tcW w:w="571" w:type="dxa"/>
            <w:noWrap w:val="0"/>
            <w:tcMar>
              <w:left w:w="108" w:type="dxa"/>
              <w:right w:w="108" w:type="dxa"/>
            </w:tcMar>
            <w:vAlign w:val="center"/>
          </w:tcPr>
          <w:p w14:paraId="2B45563B">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法律服务机构</w:t>
            </w:r>
          </w:p>
        </w:tc>
        <w:tc>
          <w:tcPr>
            <w:tcW w:w="559" w:type="dxa"/>
            <w:noWrap w:val="0"/>
            <w:tcMar>
              <w:left w:w="108" w:type="dxa"/>
              <w:right w:w="108" w:type="dxa"/>
            </w:tcMar>
            <w:vAlign w:val="center"/>
          </w:tcPr>
          <w:p w14:paraId="4518737D">
            <w:pPr>
              <w:widowControl/>
              <w:spacing w:line="300" w:lineRule="exact"/>
              <w:jc w:val="center"/>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bidi="ar"/>
              </w:rPr>
              <w:t>其他</w:t>
            </w:r>
          </w:p>
        </w:tc>
        <w:tc>
          <w:tcPr>
            <w:tcW w:w="521" w:type="dxa"/>
            <w:vMerge w:val="continue"/>
            <w:noWrap w:val="0"/>
            <w:tcMar>
              <w:left w:w="108" w:type="dxa"/>
              <w:right w:w="108" w:type="dxa"/>
            </w:tcMar>
            <w:vAlign w:val="center"/>
          </w:tcPr>
          <w:p w14:paraId="2FF27D59">
            <w:pPr>
              <w:spacing w:line="300" w:lineRule="exact"/>
              <w:rPr>
                <w:rFonts w:hint="default" w:ascii="Times New Roman" w:hAnsi="Times New Roman" w:eastAsia="方正仿宋简体" w:cs="Times New Roman"/>
                <w:b/>
                <w:bCs/>
                <w:sz w:val="21"/>
                <w:szCs w:val="21"/>
              </w:rPr>
            </w:pPr>
          </w:p>
        </w:tc>
      </w:tr>
      <w:tr w14:paraId="7051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17E7FCAF">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一、本年新收政府信息公开申请数量</w:t>
            </w:r>
          </w:p>
        </w:tc>
        <w:tc>
          <w:tcPr>
            <w:tcW w:w="791" w:type="dxa"/>
            <w:noWrap w:val="0"/>
            <w:tcMar>
              <w:left w:w="57" w:type="dxa"/>
              <w:right w:w="57" w:type="dxa"/>
            </w:tcMar>
            <w:vAlign w:val="center"/>
          </w:tcPr>
          <w:p w14:paraId="64CDB738">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bidi="ar"/>
              </w:rPr>
              <w:t>1</w:t>
            </w:r>
          </w:p>
        </w:tc>
        <w:tc>
          <w:tcPr>
            <w:tcW w:w="599" w:type="dxa"/>
            <w:noWrap w:val="0"/>
            <w:tcMar>
              <w:left w:w="57" w:type="dxa"/>
              <w:right w:w="57" w:type="dxa"/>
            </w:tcMar>
            <w:vAlign w:val="center"/>
          </w:tcPr>
          <w:p w14:paraId="101C9CA7">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90" w:type="dxa"/>
            <w:noWrap w:val="0"/>
            <w:tcMar>
              <w:left w:w="57" w:type="dxa"/>
              <w:right w:w="57" w:type="dxa"/>
            </w:tcMar>
            <w:vAlign w:val="center"/>
          </w:tcPr>
          <w:p w14:paraId="0A6FA760">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98" w:type="dxa"/>
            <w:noWrap w:val="0"/>
            <w:tcMar>
              <w:left w:w="57" w:type="dxa"/>
              <w:right w:w="57" w:type="dxa"/>
            </w:tcMar>
            <w:vAlign w:val="center"/>
          </w:tcPr>
          <w:p w14:paraId="2D94310A">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71" w:type="dxa"/>
            <w:noWrap w:val="0"/>
            <w:tcMar>
              <w:left w:w="57" w:type="dxa"/>
              <w:right w:w="57" w:type="dxa"/>
            </w:tcMar>
            <w:vAlign w:val="center"/>
          </w:tcPr>
          <w:p w14:paraId="770C763B">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59" w:type="dxa"/>
            <w:noWrap w:val="0"/>
            <w:tcMar>
              <w:left w:w="57" w:type="dxa"/>
              <w:right w:w="57" w:type="dxa"/>
            </w:tcMar>
            <w:vAlign w:val="center"/>
          </w:tcPr>
          <w:p w14:paraId="14C8B7C7">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center"/>
          </w:tcPr>
          <w:p w14:paraId="4E20705C">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1</w:t>
            </w:r>
          </w:p>
        </w:tc>
      </w:tr>
      <w:tr w14:paraId="5524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72CF7749">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二、上年结转政府信息公开申请数量</w:t>
            </w:r>
          </w:p>
        </w:tc>
        <w:tc>
          <w:tcPr>
            <w:tcW w:w="791" w:type="dxa"/>
            <w:noWrap w:val="0"/>
            <w:tcMar>
              <w:left w:w="57" w:type="dxa"/>
              <w:right w:w="57" w:type="dxa"/>
            </w:tcMar>
            <w:vAlign w:val="center"/>
          </w:tcPr>
          <w:p w14:paraId="1C738D44">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5137ED8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0" w:type="dxa"/>
            <w:noWrap w:val="0"/>
            <w:tcMar>
              <w:left w:w="57" w:type="dxa"/>
              <w:right w:w="57" w:type="dxa"/>
            </w:tcMar>
            <w:vAlign w:val="center"/>
          </w:tcPr>
          <w:p w14:paraId="420C10C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8" w:type="dxa"/>
            <w:noWrap w:val="0"/>
            <w:tcMar>
              <w:left w:w="57" w:type="dxa"/>
              <w:right w:w="57" w:type="dxa"/>
            </w:tcMar>
            <w:vAlign w:val="center"/>
          </w:tcPr>
          <w:p w14:paraId="5554B3D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71" w:type="dxa"/>
            <w:noWrap w:val="0"/>
            <w:tcMar>
              <w:left w:w="57" w:type="dxa"/>
              <w:right w:w="57" w:type="dxa"/>
            </w:tcMar>
            <w:vAlign w:val="center"/>
          </w:tcPr>
          <w:p w14:paraId="3F3AF61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59" w:type="dxa"/>
            <w:noWrap w:val="0"/>
            <w:tcMar>
              <w:left w:w="57" w:type="dxa"/>
              <w:right w:w="57" w:type="dxa"/>
            </w:tcMar>
            <w:vAlign w:val="center"/>
          </w:tcPr>
          <w:p w14:paraId="441F38F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center"/>
          </w:tcPr>
          <w:p w14:paraId="020FE47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r>
      <w:tr w14:paraId="1267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A5D5807">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三、本年度办理结果</w:t>
            </w:r>
          </w:p>
        </w:tc>
        <w:tc>
          <w:tcPr>
            <w:tcW w:w="3820" w:type="dxa"/>
            <w:gridSpan w:val="2"/>
            <w:noWrap w:val="0"/>
            <w:tcMar>
              <w:left w:w="57" w:type="dxa"/>
              <w:right w:w="57" w:type="dxa"/>
            </w:tcMar>
            <w:vAlign w:val="center"/>
          </w:tcPr>
          <w:p w14:paraId="3DA36BB3">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（一）予以公开</w:t>
            </w:r>
          </w:p>
        </w:tc>
        <w:tc>
          <w:tcPr>
            <w:tcW w:w="791" w:type="dxa"/>
            <w:noWrap w:val="0"/>
            <w:tcMar>
              <w:left w:w="57" w:type="dxa"/>
              <w:right w:w="57" w:type="dxa"/>
            </w:tcMar>
            <w:vAlign w:val="center"/>
          </w:tcPr>
          <w:p w14:paraId="708FBDEA">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eastAsia="zh-CN" w:bidi="ar"/>
              </w:rPr>
              <w:t>0</w:t>
            </w:r>
          </w:p>
        </w:tc>
        <w:tc>
          <w:tcPr>
            <w:tcW w:w="599" w:type="dxa"/>
            <w:noWrap w:val="0"/>
            <w:tcMar>
              <w:left w:w="57" w:type="dxa"/>
              <w:right w:w="57" w:type="dxa"/>
            </w:tcMar>
            <w:vAlign w:val="center"/>
          </w:tcPr>
          <w:p w14:paraId="6090BD2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7FB042F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6A2FCD0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B4CCB5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8D26A5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4C73EE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61CE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16126937">
            <w:pPr>
              <w:spacing w:line="300" w:lineRule="exact"/>
              <w:rPr>
                <w:rFonts w:hint="default" w:ascii="Times New Roman" w:hAnsi="Times New Roman" w:eastAsia="方正仿宋简体" w:cs="Times New Roman"/>
                <w:b/>
                <w:bCs/>
                <w:sz w:val="21"/>
                <w:szCs w:val="21"/>
              </w:rPr>
            </w:pPr>
          </w:p>
        </w:tc>
        <w:tc>
          <w:tcPr>
            <w:tcW w:w="3820" w:type="dxa"/>
            <w:gridSpan w:val="2"/>
            <w:noWrap w:val="0"/>
            <w:tcMar>
              <w:left w:w="57" w:type="dxa"/>
              <w:right w:w="57" w:type="dxa"/>
            </w:tcMar>
            <w:vAlign w:val="center"/>
          </w:tcPr>
          <w:p w14:paraId="429A0D54">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（二）部分公开（区分处理的，只计这一情形，不计其他情形）</w:t>
            </w:r>
          </w:p>
        </w:tc>
        <w:tc>
          <w:tcPr>
            <w:tcW w:w="791" w:type="dxa"/>
            <w:noWrap w:val="0"/>
            <w:tcMar>
              <w:left w:w="57" w:type="dxa"/>
              <w:right w:w="57" w:type="dxa"/>
            </w:tcMar>
            <w:vAlign w:val="center"/>
          </w:tcPr>
          <w:p w14:paraId="4A8D50D9">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62B1E01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795CA7B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2A93576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175E44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22D11BA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5A0BF0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1685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76727F9">
            <w:pPr>
              <w:spacing w:line="300" w:lineRule="exact"/>
              <w:rPr>
                <w:rFonts w:hint="default" w:ascii="Times New Roman" w:hAnsi="Times New Roman" w:eastAsia="方正仿宋简体" w:cs="Times New Roman"/>
                <w:b/>
                <w:bCs/>
                <w:sz w:val="21"/>
                <w:szCs w:val="21"/>
              </w:rPr>
            </w:pPr>
          </w:p>
        </w:tc>
        <w:tc>
          <w:tcPr>
            <w:tcW w:w="942" w:type="dxa"/>
            <w:vMerge w:val="restart"/>
            <w:noWrap w:val="0"/>
            <w:tcMar>
              <w:left w:w="57" w:type="dxa"/>
              <w:right w:w="57" w:type="dxa"/>
            </w:tcMar>
            <w:vAlign w:val="center"/>
          </w:tcPr>
          <w:p w14:paraId="3C20905F">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（三）不予公开</w:t>
            </w:r>
          </w:p>
        </w:tc>
        <w:tc>
          <w:tcPr>
            <w:tcW w:w="2878" w:type="dxa"/>
            <w:noWrap w:val="0"/>
            <w:tcMar>
              <w:left w:w="57" w:type="dxa"/>
              <w:right w:w="57" w:type="dxa"/>
            </w:tcMar>
            <w:vAlign w:val="top"/>
          </w:tcPr>
          <w:p w14:paraId="3910BC63">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1.属于国家秘密</w:t>
            </w:r>
          </w:p>
        </w:tc>
        <w:tc>
          <w:tcPr>
            <w:tcW w:w="791" w:type="dxa"/>
            <w:noWrap w:val="0"/>
            <w:tcMar>
              <w:left w:w="57" w:type="dxa"/>
              <w:right w:w="57" w:type="dxa"/>
            </w:tcMar>
            <w:vAlign w:val="center"/>
          </w:tcPr>
          <w:p w14:paraId="7D98853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495D3A0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6D2B2D6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1DD8A4F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75FE86B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27187AD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43CA53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10CB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2569527">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767B54A3">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64B333B0">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2.其他法律行政法规禁止公开</w:t>
            </w:r>
          </w:p>
        </w:tc>
        <w:tc>
          <w:tcPr>
            <w:tcW w:w="791" w:type="dxa"/>
            <w:noWrap w:val="0"/>
            <w:tcMar>
              <w:left w:w="57" w:type="dxa"/>
              <w:right w:w="57" w:type="dxa"/>
            </w:tcMar>
            <w:vAlign w:val="center"/>
          </w:tcPr>
          <w:p w14:paraId="33864ED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062A376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39EB7A0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6DDA629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13F0910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7BAF274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0A7946B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6FEA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048AA3">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7C8A153F">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4E9C8141">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3.危及“三安全一稳定”</w:t>
            </w:r>
          </w:p>
        </w:tc>
        <w:tc>
          <w:tcPr>
            <w:tcW w:w="791" w:type="dxa"/>
            <w:noWrap w:val="0"/>
            <w:tcMar>
              <w:left w:w="57" w:type="dxa"/>
              <w:right w:w="57" w:type="dxa"/>
            </w:tcMar>
            <w:vAlign w:val="center"/>
          </w:tcPr>
          <w:p w14:paraId="14B6381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5BEE29C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0D90E94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46D99B5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76BFD1C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57C6C4F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788CF5C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12CF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4FC09D2">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0BAA1707">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431258F7">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4.保护第三方合法权益</w:t>
            </w:r>
          </w:p>
        </w:tc>
        <w:tc>
          <w:tcPr>
            <w:tcW w:w="791" w:type="dxa"/>
            <w:noWrap w:val="0"/>
            <w:tcMar>
              <w:left w:w="57" w:type="dxa"/>
              <w:right w:w="57" w:type="dxa"/>
            </w:tcMar>
            <w:vAlign w:val="center"/>
          </w:tcPr>
          <w:p w14:paraId="1E016F1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27C4A96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706481C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04F4AF6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0C37D6E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1E5B75D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64C25EA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541A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F53618">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04C670AB">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0A6734C8">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5.属于三类内部事务信息</w:t>
            </w:r>
          </w:p>
        </w:tc>
        <w:tc>
          <w:tcPr>
            <w:tcW w:w="791" w:type="dxa"/>
            <w:noWrap w:val="0"/>
            <w:tcMar>
              <w:left w:w="57" w:type="dxa"/>
              <w:right w:w="57" w:type="dxa"/>
            </w:tcMar>
            <w:vAlign w:val="center"/>
          </w:tcPr>
          <w:p w14:paraId="6E5E991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1F12B32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6D7D8EC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56BB4E7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99E008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10D209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9F6502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0651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4231AFD">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78D9E2B6">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511BCE99">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6.属于四类过程性信息</w:t>
            </w:r>
          </w:p>
        </w:tc>
        <w:tc>
          <w:tcPr>
            <w:tcW w:w="791" w:type="dxa"/>
            <w:noWrap w:val="0"/>
            <w:tcMar>
              <w:left w:w="57" w:type="dxa"/>
              <w:right w:w="57" w:type="dxa"/>
            </w:tcMar>
            <w:vAlign w:val="center"/>
          </w:tcPr>
          <w:p w14:paraId="2463884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77A24C9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084504E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0ABCD98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C54AA3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9872B7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43190FC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3A89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3348595">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3ECC2A99">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51F1B227">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7.属于行政执法案卷</w:t>
            </w:r>
          </w:p>
        </w:tc>
        <w:tc>
          <w:tcPr>
            <w:tcW w:w="791" w:type="dxa"/>
            <w:noWrap w:val="0"/>
            <w:tcMar>
              <w:left w:w="57" w:type="dxa"/>
              <w:right w:w="57" w:type="dxa"/>
            </w:tcMar>
            <w:vAlign w:val="center"/>
          </w:tcPr>
          <w:p w14:paraId="0BB7037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3A754C6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49B1A25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4C76EDE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488D8FF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721E64B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437547C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3C54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C550303">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5C5E00BA">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6539EF60">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8.属于行政查询事项</w:t>
            </w:r>
          </w:p>
        </w:tc>
        <w:tc>
          <w:tcPr>
            <w:tcW w:w="791" w:type="dxa"/>
            <w:noWrap w:val="0"/>
            <w:tcMar>
              <w:left w:w="57" w:type="dxa"/>
              <w:right w:w="57" w:type="dxa"/>
            </w:tcMar>
            <w:vAlign w:val="center"/>
          </w:tcPr>
          <w:p w14:paraId="7B36B5E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2EDACA8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50005DD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36D7DF0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145FDD2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28CBC9D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4D5B734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0BF7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9316BF4">
            <w:pPr>
              <w:spacing w:line="300" w:lineRule="exact"/>
              <w:rPr>
                <w:rFonts w:hint="default" w:ascii="Times New Roman" w:hAnsi="Times New Roman" w:eastAsia="方正仿宋简体" w:cs="Times New Roman"/>
                <w:b/>
                <w:bCs/>
                <w:sz w:val="21"/>
                <w:szCs w:val="21"/>
              </w:rPr>
            </w:pPr>
          </w:p>
        </w:tc>
        <w:tc>
          <w:tcPr>
            <w:tcW w:w="942" w:type="dxa"/>
            <w:vMerge w:val="restart"/>
            <w:noWrap w:val="0"/>
            <w:tcMar>
              <w:left w:w="57" w:type="dxa"/>
              <w:right w:w="57" w:type="dxa"/>
            </w:tcMar>
            <w:vAlign w:val="center"/>
          </w:tcPr>
          <w:p w14:paraId="7053A89D">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（四）无法提供</w:t>
            </w:r>
          </w:p>
        </w:tc>
        <w:tc>
          <w:tcPr>
            <w:tcW w:w="2878" w:type="dxa"/>
            <w:noWrap w:val="0"/>
            <w:tcMar>
              <w:left w:w="57" w:type="dxa"/>
              <w:right w:w="57" w:type="dxa"/>
            </w:tcMar>
            <w:vAlign w:val="top"/>
          </w:tcPr>
          <w:p w14:paraId="32F9E042">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1.本机关不掌握相关政府信息</w:t>
            </w:r>
          </w:p>
        </w:tc>
        <w:tc>
          <w:tcPr>
            <w:tcW w:w="791" w:type="dxa"/>
            <w:noWrap w:val="0"/>
            <w:tcMar>
              <w:left w:w="57" w:type="dxa"/>
              <w:right w:w="57" w:type="dxa"/>
            </w:tcMar>
            <w:vAlign w:val="center"/>
          </w:tcPr>
          <w:p w14:paraId="4634D89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eastAsia" w:ascii="Times New Roman" w:hAnsi="Times New Roman" w:eastAsia="方正仿宋简体" w:cs="Times New Roman"/>
                <w:b/>
                <w:bCs/>
                <w:kern w:val="2"/>
                <w:sz w:val="21"/>
                <w:szCs w:val="21"/>
                <w:lang w:val="en-US" w:eastAsia="zh-CN" w:bidi="ar-SA"/>
              </w:rPr>
              <w:t>1</w:t>
            </w:r>
          </w:p>
        </w:tc>
        <w:tc>
          <w:tcPr>
            <w:tcW w:w="599" w:type="dxa"/>
            <w:noWrap w:val="0"/>
            <w:tcMar>
              <w:left w:w="57" w:type="dxa"/>
              <w:right w:w="57" w:type="dxa"/>
            </w:tcMar>
            <w:vAlign w:val="center"/>
          </w:tcPr>
          <w:p w14:paraId="7385346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1D8980F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2CBB6A1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4E4F52E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1EFC812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3288CB6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eastAsia" w:ascii="Times New Roman" w:hAnsi="Times New Roman" w:eastAsia="方正仿宋简体" w:cs="Times New Roman"/>
                <w:b/>
                <w:bCs/>
                <w:kern w:val="2"/>
                <w:sz w:val="21"/>
                <w:szCs w:val="21"/>
                <w:lang w:val="en-US" w:eastAsia="zh-CN" w:bidi="ar-SA"/>
              </w:rPr>
              <w:t>1</w:t>
            </w:r>
          </w:p>
        </w:tc>
      </w:tr>
      <w:tr w14:paraId="50B2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925228D">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322C10A8">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7CB1523C">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2.没有现成信息需要另行制作</w:t>
            </w:r>
          </w:p>
        </w:tc>
        <w:tc>
          <w:tcPr>
            <w:tcW w:w="791" w:type="dxa"/>
            <w:noWrap w:val="0"/>
            <w:tcMar>
              <w:left w:w="57" w:type="dxa"/>
              <w:right w:w="57" w:type="dxa"/>
            </w:tcMar>
            <w:vAlign w:val="center"/>
          </w:tcPr>
          <w:p w14:paraId="4188A02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3E832F6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74C8526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6975663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46917F6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686770E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0BE35B2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4055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83917E7">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0E2B6299">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533171FF">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3.补正后申请内容仍不明确</w:t>
            </w:r>
          </w:p>
        </w:tc>
        <w:tc>
          <w:tcPr>
            <w:tcW w:w="791" w:type="dxa"/>
            <w:noWrap w:val="0"/>
            <w:tcMar>
              <w:left w:w="57" w:type="dxa"/>
              <w:right w:w="57" w:type="dxa"/>
            </w:tcMar>
            <w:vAlign w:val="center"/>
          </w:tcPr>
          <w:p w14:paraId="3C34BD3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577EB58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231410C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5993ED9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3066CA5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5DD23B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EDDDCA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5019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9B51E38">
            <w:pPr>
              <w:spacing w:line="300" w:lineRule="exact"/>
              <w:rPr>
                <w:rFonts w:hint="default" w:ascii="Times New Roman" w:hAnsi="Times New Roman" w:eastAsia="方正仿宋简体" w:cs="Times New Roman"/>
                <w:b/>
                <w:bCs/>
                <w:sz w:val="21"/>
                <w:szCs w:val="21"/>
              </w:rPr>
            </w:pPr>
          </w:p>
        </w:tc>
        <w:tc>
          <w:tcPr>
            <w:tcW w:w="942" w:type="dxa"/>
            <w:vMerge w:val="restart"/>
            <w:noWrap w:val="0"/>
            <w:tcMar>
              <w:left w:w="57" w:type="dxa"/>
              <w:right w:w="57" w:type="dxa"/>
            </w:tcMar>
            <w:vAlign w:val="center"/>
          </w:tcPr>
          <w:p w14:paraId="02EAC06F">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（五）不予处理</w:t>
            </w:r>
          </w:p>
        </w:tc>
        <w:tc>
          <w:tcPr>
            <w:tcW w:w="2878" w:type="dxa"/>
            <w:noWrap w:val="0"/>
            <w:tcMar>
              <w:left w:w="57" w:type="dxa"/>
              <w:right w:w="57" w:type="dxa"/>
            </w:tcMar>
            <w:vAlign w:val="top"/>
          </w:tcPr>
          <w:p w14:paraId="2882A4DF">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1.信访举报投诉类申请</w:t>
            </w:r>
          </w:p>
        </w:tc>
        <w:tc>
          <w:tcPr>
            <w:tcW w:w="791" w:type="dxa"/>
            <w:noWrap w:val="0"/>
            <w:tcMar>
              <w:left w:w="57" w:type="dxa"/>
              <w:right w:w="57" w:type="dxa"/>
            </w:tcMar>
            <w:vAlign w:val="center"/>
          </w:tcPr>
          <w:p w14:paraId="2BF3A52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4280505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59A3D63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3A8855D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42CA8A7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3A3C98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19239B6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190C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8EDE474">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674A2516">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2FC82F11">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2.重复申请</w:t>
            </w:r>
          </w:p>
        </w:tc>
        <w:tc>
          <w:tcPr>
            <w:tcW w:w="791" w:type="dxa"/>
            <w:noWrap w:val="0"/>
            <w:tcMar>
              <w:left w:w="57" w:type="dxa"/>
              <w:right w:w="57" w:type="dxa"/>
            </w:tcMar>
            <w:vAlign w:val="center"/>
          </w:tcPr>
          <w:p w14:paraId="4A5DB6A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7C30BE4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57BC75E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556682A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397859C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1546796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2C5C793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669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E7EF214">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5ACC6273">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2748618E">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3.要求提供公开出版物</w:t>
            </w:r>
          </w:p>
        </w:tc>
        <w:tc>
          <w:tcPr>
            <w:tcW w:w="791" w:type="dxa"/>
            <w:noWrap w:val="0"/>
            <w:tcMar>
              <w:left w:w="57" w:type="dxa"/>
              <w:right w:w="57" w:type="dxa"/>
            </w:tcMar>
            <w:vAlign w:val="center"/>
          </w:tcPr>
          <w:p w14:paraId="25FBF25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275C3CD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4782754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14AAD88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1DD691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166E55B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2A0988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7CE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616B461">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49FA90C0">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top"/>
          </w:tcPr>
          <w:p w14:paraId="020207F9">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4.无正当理由大量反复申请</w:t>
            </w:r>
          </w:p>
        </w:tc>
        <w:tc>
          <w:tcPr>
            <w:tcW w:w="791" w:type="dxa"/>
            <w:noWrap w:val="0"/>
            <w:tcMar>
              <w:left w:w="57" w:type="dxa"/>
              <w:right w:w="57" w:type="dxa"/>
            </w:tcMar>
            <w:vAlign w:val="center"/>
          </w:tcPr>
          <w:p w14:paraId="5CBA51B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15A03EC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3E3C8DC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0C1AF41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738E401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7012B48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49A0514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5D02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455257DA">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6919A98C">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center"/>
          </w:tcPr>
          <w:p w14:paraId="576279B0">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5.要求行政机关确认或重新出具已获取信息</w:t>
            </w:r>
          </w:p>
        </w:tc>
        <w:tc>
          <w:tcPr>
            <w:tcW w:w="791" w:type="dxa"/>
            <w:noWrap w:val="0"/>
            <w:tcMar>
              <w:left w:w="57" w:type="dxa"/>
              <w:right w:w="57" w:type="dxa"/>
            </w:tcMar>
            <w:vAlign w:val="center"/>
          </w:tcPr>
          <w:p w14:paraId="377FDF9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764A815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1424896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27638DC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7DF8135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3852F25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527C6A8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2BAC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60CD33F">
            <w:pPr>
              <w:spacing w:line="300" w:lineRule="exact"/>
              <w:rPr>
                <w:rFonts w:hint="default" w:ascii="Times New Roman" w:hAnsi="Times New Roman" w:eastAsia="方正仿宋简体" w:cs="Times New Roman"/>
                <w:b/>
                <w:bCs/>
                <w:sz w:val="21"/>
                <w:szCs w:val="21"/>
              </w:rPr>
            </w:pPr>
          </w:p>
        </w:tc>
        <w:tc>
          <w:tcPr>
            <w:tcW w:w="942" w:type="dxa"/>
            <w:vMerge w:val="restart"/>
            <w:noWrap w:val="0"/>
            <w:tcMar>
              <w:left w:w="57" w:type="dxa"/>
              <w:right w:w="57" w:type="dxa"/>
            </w:tcMar>
            <w:vAlign w:val="center"/>
          </w:tcPr>
          <w:p w14:paraId="3AE71C55">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（六）其他处理</w:t>
            </w:r>
          </w:p>
        </w:tc>
        <w:tc>
          <w:tcPr>
            <w:tcW w:w="2878" w:type="dxa"/>
            <w:noWrap w:val="0"/>
            <w:tcMar>
              <w:left w:w="57" w:type="dxa"/>
              <w:right w:w="57" w:type="dxa"/>
            </w:tcMar>
            <w:vAlign w:val="center"/>
          </w:tcPr>
          <w:p w14:paraId="7BF46F03">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25F265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513E937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5ADAC21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05D3384B">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2F391BC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D4E177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27EA819E">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35F8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0E76A62">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7EA52D40">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center"/>
          </w:tcPr>
          <w:p w14:paraId="1ECCDEFC">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0F8CDA78">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2B3176F6">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4E3B3CE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7730BF3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5D5BFF07">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03BA3EF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3D88D5B2">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566A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CEC0F69">
            <w:pPr>
              <w:spacing w:line="300" w:lineRule="exact"/>
              <w:rPr>
                <w:rFonts w:hint="default" w:ascii="Times New Roman" w:hAnsi="Times New Roman" w:eastAsia="方正仿宋简体" w:cs="Times New Roman"/>
                <w:b/>
                <w:bCs/>
                <w:sz w:val="21"/>
                <w:szCs w:val="21"/>
              </w:rPr>
            </w:pPr>
          </w:p>
        </w:tc>
        <w:tc>
          <w:tcPr>
            <w:tcW w:w="942" w:type="dxa"/>
            <w:vMerge w:val="continue"/>
            <w:noWrap w:val="0"/>
            <w:tcMar>
              <w:left w:w="57" w:type="dxa"/>
              <w:right w:w="57" w:type="dxa"/>
            </w:tcMar>
            <w:vAlign w:val="center"/>
          </w:tcPr>
          <w:p w14:paraId="5C76C5AE">
            <w:pPr>
              <w:spacing w:line="300" w:lineRule="exact"/>
              <w:rPr>
                <w:rFonts w:hint="default" w:ascii="Times New Roman" w:hAnsi="Times New Roman" w:eastAsia="方正仿宋简体" w:cs="Times New Roman"/>
                <w:b/>
                <w:bCs/>
                <w:sz w:val="21"/>
                <w:szCs w:val="21"/>
              </w:rPr>
            </w:pPr>
          </w:p>
        </w:tc>
        <w:tc>
          <w:tcPr>
            <w:tcW w:w="2878" w:type="dxa"/>
            <w:noWrap w:val="0"/>
            <w:tcMar>
              <w:left w:w="57" w:type="dxa"/>
              <w:right w:w="57" w:type="dxa"/>
            </w:tcMar>
            <w:vAlign w:val="center"/>
          </w:tcPr>
          <w:p w14:paraId="476474B2">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3.其他</w:t>
            </w:r>
          </w:p>
        </w:tc>
        <w:tc>
          <w:tcPr>
            <w:tcW w:w="791" w:type="dxa"/>
            <w:noWrap w:val="0"/>
            <w:tcMar>
              <w:left w:w="57" w:type="dxa"/>
              <w:right w:w="57" w:type="dxa"/>
            </w:tcMar>
            <w:vAlign w:val="center"/>
          </w:tcPr>
          <w:p w14:paraId="3EE0CB6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3B4FA0A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16218DE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4B23046C">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5D8A6AF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60425BA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7E7AF38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r w14:paraId="677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39AF074">
            <w:pPr>
              <w:spacing w:line="300" w:lineRule="exact"/>
              <w:rPr>
                <w:rFonts w:hint="default" w:ascii="Times New Roman" w:hAnsi="Times New Roman" w:eastAsia="方正仿宋简体" w:cs="Times New Roman"/>
                <w:b/>
                <w:bCs/>
                <w:sz w:val="21"/>
                <w:szCs w:val="21"/>
              </w:rPr>
            </w:pPr>
          </w:p>
        </w:tc>
        <w:tc>
          <w:tcPr>
            <w:tcW w:w="3820" w:type="dxa"/>
            <w:gridSpan w:val="2"/>
            <w:noWrap w:val="0"/>
            <w:tcMar>
              <w:left w:w="57" w:type="dxa"/>
              <w:right w:w="57" w:type="dxa"/>
            </w:tcMar>
            <w:vAlign w:val="center"/>
          </w:tcPr>
          <w:p w14:paraId="6397890E">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（七）总计</w:t>
            </w:r>
          </w:p>
        </w:tc>
        <w:tc>
          <w:tcPr>
            <w:tcW w:w="791" w:type="dxa"/>
            <w:noWrap w:val="0"/>
            <w:tcMar>
              <w:left w:w="57" w:type="dxa"/>
              <w:right w:w="57" w:type="dxa"/>
            </w:tcMar>
            <w:vAlign w:val="center"/>
          </w:tcPr>
          <w:p w14:paraId="7EEED806">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1</w:t>
            </w:r>
          </w:p>
        </w:tc>
        <w:tc>
          <w:tcPr>
            <w:tcW w:w="599" w:type="dxa"/>
            <w:noWrap w:val="0"/>
            <w:tcMar>
              <w:left w:w="57" w:type="dxa"/>
              <w:right w:w="57" w:type="dxa"/>
            </w:tcMar>
            <w:vAlign w:val="center"/>
          </w:tcPr>
          <w:p w14:paraId="41DA951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3B1F4580">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640F208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032549D9">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3580B90D">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70DD3A9A">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1</w:t>
            </w:r>
          </w:p>
        </w:tc>
      </w:tr>
      <w:tr w14:paraId="5E7B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3716EF4">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四、结转下年度继续办理</w:t>
            </w:r>
          </w:p>
        </w:tc>
        <w:tc>
          <w:tcPr>
            <w:tcW w:w="791" w:type="dxa"/>
            <w:noWrap w:val="0"/>
            <w:tcMar>
              <w:left w:w="57" w:type="dxa"/>
              <w:right w:w="57" w:type="dxa"/>
            </w:tcMar>
            <w:vAlign w:val="center"/>
          </w:tcPr>
          <w:p w14:paraId="1C104682">
            <w:pPr>
              <w:widowControl/>
              <w:spacing w:line="300" w:lineRule="exact"/>
              <w:jc w:val="center"/>
              <w:rPr>
                <w:rFonts w:hint="default" w:ascii="Times New Roman" w:hAnsi="Times New Roman" w:eastAsia="方正仿宋简体" w:cs="Times New Roman"/>
                <w:b/>
                <w:bCs/>
                <w:sz w:val="21"/>
                <w:szCs w:val="21"/>
                <w:lang w:val="en-US"/>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14:paraId="534FCA13">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0" w:type="dxa"/>
            <w:noWrap w:val="0"/>
            <w:tcMar>
              <w:left w:w="57" w:type="dxa"/>
              <w:right w:w="57" w:type="dxa"/>
            </w:tcMar>
            <w:vAlign w:val="center"/>
          </w:tcPr>
          <w:p w14:paraId="573AB434">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8" w:type="dxa"/>
            <w:noWrap w:val="0"/>
            <w:tcMar>
              <w:left w:w="57" w:type="dxa"/>
              <w:right w:w="57" w:type="dxa"/>
            </w:tcMar>
            <w:vAlign w:val="center"/>
          </w:tcPr>
          <w:p w14:paraId="13B87365">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71" w:type="dxa"/>
            <w:noWrap w:val="0"/>
            <w:tcMar>
              <w:left w:w="57" w:type="dxa"/>
              <w:right w:w="57" w:type="dxa"/>
            </w:tcMar>
            <w:vAlign w:val="center"/>
          </w:tcPr>
          <w:p w14:paraId="13E9A71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9" w:type="dxa"/>
            <w:noWrap w:val="0"/>
            <w:tcMar>
              <w:left w:w="57" w:type="dxa"/>
              <w:right w:w="57" w:type="dxa"/>
            </w:tcMar>
            <w:vAlign w:val="center"/>
          </w:tcPr>
          <w:p w14:paraId="6A988911">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21" w:type="dxa"/>
            <w:noWrap w:val="0"/>
            <w:tcMar>
              <w:left w:w="57" w:type="dxa"/>
              <w:right w:w="57" w:type="dxa"/>
            </w:tcMar>
            <w:vAlign w:val="center"/>
          </w:tcPr>
          <w:p w14:paraId="6304125F">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r>
    </w:tbl>
    <w:p w14:paraId="5D6AB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微软雅黑" w:cs="Times New Roman"/>
          <w:b/>
          <w:bCs/>
          <w:i w:val="0"/>
          <w:iCs w:val="0"/>
          <w:caps w:val="0"/>
          <w:color w:val="333333"/>
          <w:spacing w:val="0"/>
          <w:sz w:val="13"/>
          <w:szCs w:val="13"/>
        </w:rPr>
      </w:pPr>
    </w:p>
    <w:p w14:paraId="79C555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r>
        <w:rPr>
          <w:rFonts w:hint="default" w:ascii="Times New Roman" w:hAnsi="Times New Roman" w:eastAsia="方正黑体简体" w:cs="Times New Roman"/>
          <w:b/>
          <w:bCs/>
          <w:i w:val="0"/>
          <w:iCs w:val="0"/>
          <w:caps w:val="0"/>
          <w:color w:val="333333"/>
          <w:spacing w:val="0"/>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D29B5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163CD5">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475B02B2">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行政诉讼</w:t>
            </w:r>
          </w:p>
        </w:tc>
      </w:tr>
      <w:tr w14:paraId="38CDAB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B233C47">
            <w:pPr>
              <w:widowControl/>
              <w:ind w:left="-149" w:leftChars="-71" w:right="-170" w:rightChars="-81"/>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结果</w:t>
            </w:r>
          </w:p>
          <w:p w14:paraId="47151740">
            <w:pPr>
              <w:widowControl/>
              <w:ind w:left="-149" w:leftChars="-71" w:right="-170" w:rightChars="-81"/>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EA53B10">
            <w:pPr>
              <w:widowControl/>
              <w:ind w:left="-43" w:leftChars="-21" w:right="-132" w:rightChars="-63" w:hanging="1"/>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95E4C27">
            <w:pPr>
              <w:widowControl/>
              <w:ind w:left="-82" w:leftChars="-39" w:right="-97" w:rightChars="-46"/>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101BBF5">
            <w:pPr>
              <w:widowControl/>
              <w:ind w:left="-118" w:leftChars="-56" w:right="-118" w:rightChars="-56"/>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尚未</w:t>
            </w:r>
          </w:p>
          <w:p w14:paraId="3DE104BD">
            <w:pPr>
              <w:widowControl/>
              <w:ind w:left="-118" w:leftChars="-56" w:right="-118" w:rightChars="-56"/>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E7E03E9">
            <w:pPr>
              <w:widowControl/>
              <w:spacing w:line="320" w:lineRule="exact"/>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总</w:t>
            </w:r>
          </w:p>
          <w:p w14:paraId="7B589A5A">
            <w:pPr>
              <w:widowControl/>
              <w:spacing w:line="320" w:lineRule="exact"/>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FD6B681">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FB16F99">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复议后起诉</w:t>
            </w:r>
          </w:p>
        </w:tc>
      </w:tr>
      <w:tr w14:paraId="64D3D6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9A6FC50">
            <w:pPr>
              <w:rPr>
                <w:rFonts w:hint="default" w:ascii="Times New Roman" w:hAnsi="Times New Roman" w:eastAsia="黑体" w:cs="Times New Roman"/>
                <w:b/>
                <w:bCs/>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E356800">
            <w:pPr>
              <w:rPr>
                <w:rFonts w:hint="default" w:ascii="Times New Roman" w:hAnsi="Times New Roman" w:eastAsia="黑体" w:cs="Times New Roman"/>
                <w:b/>
                <w:bCs/>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4A5FB8E">
            <w:pPr>
              <w:rPr>
                <w:rFonts w:hint="default" w:ascii="Times New Roman" w:hAnsi="Times New Roman" w:eastAsia="黑体" w:cs="Times New Roman"/>
                <w:b/>
                <w:bCs/>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F650A23">
            <w:pPr>
              <w:rPr>
                <w:rFonts w:hint="default" w:ascii="Times New Roman" w:hAnsi="Times New Roman" w:eastAsia="黑体" w:cs="Times New Roman"/>
                <w:b/>
                <w:bCs/>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789DB03">
            <w:pPr>
              <w:rPr>
                <w:rFonts w:hint="default" w:ascii="Times New Roman" w:hAnsi="Times New Roman" w:eastAsia="黑体" w:cs="Times New Roman"/>
                <w:b/>
                <w:bCs/>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76F1251">
            <w:pPr>
              <w:widowControl/>
              <w:ind w:left="-105" w:leftChars="-50" w:right="-126" w:rightChars="-60"/>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1E7887A">
            <w:pPr>
              <w:widowControl/>
              <w:ind w:left="-86" w:leftChars="-41" w:right="-88" w:rightChars="-42"/>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C95952">
            <w:pPr>
              <w:widowControl/>
              <w:ind w:left="-126" w:leftChars="-60" w:right="-136" w:rightChars="-65"/>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其他</w:t>
            </w:r>
          </w:p>
          <w:p w14:paraId="536F14E4">
            <w:pPr>
              <w:widowControl/>
              <w:ind w:left="-126" w:leftChars="-60" w:right="-136" w:rightChars="-65"/>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FF5898">
            <w:pPr>
              <w:widowControl/>
              <w:ind w:left="-164" w:leftChars="-78" w:right="-153" w:rightChars="-73"/>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尚未</w:t>
            </w:r>
          </w:p>
          <w:p w14:paraId="6AC0A479">
            <w:pPr>
              <w:widowControl/>
              <w:ind w:left="-164" w:leftChars="-78" w:right="-153" w:rightChars="-73"/>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4691EB0">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0F785A3">
            <w:pPr>
              <w:widowControl/>
              <w:ind w:left="-99" w:leftChars="-47" w:right="-78" w:rightChars="-37"/>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57629A">
            <w:pPr>
              <w:widowControl/>
              <w:ind w:left="-136" w:leftChars="-65" w:right="-124" w:rightChars="-59"/>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结果</w:t>
            </w:r>
          </w:p>
          <w:p w14:paraId="6BE846D4">
            <w:pPr>
              <w:widowControl/>
              <w:ind w:left="-136" w:leftChars="-65" w:right="-124" w:rightChars="-59"/>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6B8DEC">
            <w:pPr>
              <w:widowControl/>
              <w:ind w:left="-173" w:leftChars="-83" w:right="-134" w:rightChars="-64" w:hanging="1"/>
              <w:jc w:val="center"/>
              <w:rPr>
                <w:rFonts w:hint="default" w:ascii="Times New Roman" w:hAnsi="Times New Roman" w:eastAsia="黑体" w:cs="Times New Roman"/>
                <w:b/>
                <w:bCs/>
                <w:kern w:val="0"/>
                <w:sz w:val="20"/>
                <w:szCs w:val="20"/>
              </w:rPr>
            </w:pPr>
            <w:r>
              <w:rPr>
                <w:rFonts w:hint="default" w:ascii="Times New Roman" w:hAnsi="Times New Roman" w:eastAsia="黑体" w:cs="Times New Roman"/>
                <w:b/>
                <w:bCs/>
                <w:kern w:val="0"/>
                <w:sz w:val="20"/>
                <w:szCs w:val="20"/>
              </w:rPr>
              <w:t>其他</w:t>
            </w:r>
          </w:p>
          <w:p w14:paraId="1765E98D">
            <w:pPr>
              <w:widowControl/>
              <w:ind w:left="-173" w:leftChars="-83" w:right="-134" w:rightChars="-64" w:hanging="1"/>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C8A92E3">
            <w:pPr>
              <w:widowControl/>
              <w:ind w:left="-67" w:leftChars="-33" w:right="-105" w:rightChars="-50" w:hanging="2" w:hangingChars="1"/>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3CFD13E">
            <w:pPr>
              <w:widowControl/>
              <w:jc w:val="center"/>
              <w:rPr>
                <w:rFonts w:hint="default" w:ascii="Times New Roman" w:hAnsi="Times New Roman" w:eastAsia="黑体" w:cs="Times New Roman"/>
                <w:b/>
                <w:bCs/>
              </w:rPr>
            </w:pPr>
            <w:r>
              <w:rPr>
                <w:rFonts w:hint="default" w:ascii="Times New Roman" w:hAnsi="Times New Roman" w:eastAsia="黑体" w:cs="Times New Roman"/>
                <w:b/>
                <w:bCs/>
                <w:kern w:val="0"/>
                <w:sz w:val="20"/>
                <w:szCs w:val="20"/>
              </w:rPr>
              <w:t>总计</w:t>
            </w:r>
          </w:p>
        </w:tc>
      </w:tr>
      <w:tr w14:paraId="542A0A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4A9A77">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D9B5795">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FA3BF42">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A6E1A8B">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6F1D8103">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0AC467B">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2CD499">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A14F8F3">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C5FAB08">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C782330">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7C5642E">
            <w:pPr>
              <w:widowControl/>
              <w:spacing w:after="180"/>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FC7F595">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7E568D1">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FFA55BD">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C501AE1">
            <w:pPr>
              <w:widowControl/>
              <w:spacing w:after="180"/>
              <w:jc w:val="cente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0</w:t>
            </w:r>
          </w:p>
        </w:tc>
      </w:tr>
    </w:tbl>
    <w:p w14:paraId="1E029D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p>
    <w:p w14:paraId="48676E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r>
        <w:rPr>
          <w:rFonts w:hint="default" w:ascii="Times New Roman" w:hAnsi="Times New Roman" w:eastAsia="方正黑体简体" w:cs="Times New Roman"/>
          <w:b/>
          <w:bCs/>
          <w:i w:val="0"/>
          <w:iCs w:val="0"/>
          <w:caps w:val="0"/>
          <w:color w:val="333333"/>
          <w:spacing w:val="0"/>
          <w:sz w:val="32"/>
          <w:szCs w:val="32"/>
          <w:lang w:val="en-US" w:eastAsia="zh-CN"/>
        </w:rPr>
        <w:t>五、存在的主要问题及改进情况</w:t>
      </w:r>
    </w:p>
    <w:p w14:paraId="044F2E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楷体简体" w:hAnsi="方正楷体简体" w:eastAsia="方正楷体简体" w:cs="方正楷体简体"/>
          <w:b/>
          <w:bCs/>
          <w:i w:val="0"/>
          <w:iCs w:val="0"/>
          <w:caps w:val="0"/>
          <w:color w:val="333333"/>
          <w:spacing w:val="0"/>
          <w:sz w:val="32"/>
          <w:szCs w:val="32"/>
        </w:rPr>
      </w:pPr>
      <w:r>
        <w:rPr>
          <w:rFonts w:hint="eastAsia" w:ascii="方正楷体简体" w:hAnsi="方正楷体简体" w:eastAsia="方正楷体简体" w:cs="方正楷体简体"/>
          <w:b/>
          <w:bCs/>
          <w:i w:val="0"/>
          <w:iCs w:val="0"/>
          <w:caps w:val="0"/>
          <w:color w:val="333333"/>
          <w:spacing w:val="0"/>
          <w:sz w:val="32"/>
          <w:szCs w:val="32"/>
        </w:rPr>
        <w:t>（一）主要问题</w:t>
      </w:r>
    </w:p>
    <w:p w14:paraId="165EBA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一是公开内容深度不足，对城市管理政策解读、工作举措的细化阐释不够，部分信息存在“重发布、轻解读”现象，群众理解度有待提升；二是公开形式创新性欠缺，仍以文字、表格为主，可视化呈现手段（图表、动画等）运用较少，信息可读性不强；三是互动回应效能有待加强，对群众通过公开平台咨询的问题，响应及时性和针对性需进一步优化。</w:t>
      </w:r>
    </w:p>
    <w:p w14:paraId="6643C2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方正楷体简体" w:hAnsi="方正楷体简体" w:eastAsia="方正楷体简体" w:cs="方正楷体简体"/>
          <w:b/>
          <w:bCs/>
          <w:i w:val="0"/>
          <w:iCs w:val="0"/>
          <w:caps w:val="0"/>
          <w:color w:val="333333"/>
          <w:spacing w:val="0"/>
          <w:sz w:val="32"/>
          <w:szCs w:val="32"/>
        </w:rPr>
      </w:pPr>
      <w:r>
        <w:rPr>
          <w:rFonts w:hint="default" w:ascii="方正楷体简体" w:hAnsi="方正楷体简体" w:eastAsia="方正楷体简体" w:cs="方正楷体简体"/>
          <w:b/>
          <w:bCs/>
          <w:i w:val="0"/>
          <w:iCs w:val="0"/>
          <w:caps w:val="0"/>
          <w:color w:val="333333"/>
          <w:spacing w:val="0"/>
          <w:sz w:val="32"/>
          <w:szCs w:val="32"/>
        </w:rPr>
        <w:t>（二）改进情况</w:t>
      </w:r>
    </w:p>
    <w:p w14:paraId="79CC17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针对上述问题，全局精准施策、靶向整改：一是深化公开内容建设，围绕“潮汐摊区”管理、雨水管网修复等重点工作，编制政策解读材料、工作流程图，同步公开工作进展及成效，让群众清晰了解工作细节</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二是创新公开呈现形式，运用图文结合、短视频等可视化手段，生动展示市容整治、网格执法等工作场景，提升信息传播效果</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三是健全互动回应机制，明确专人负责公开平台咨询事项办理，实行“当日签收、3日内回应”制度，及时解答群众疑问，形成“公开—互动—反馈”的良性循环。</w:t>
      </w:r>
    </w:p>
    <w:p w14:paraId="051B85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黑体简体" w:cs="Times New Roman"/>
          <w:b/>
          <w:bCs/>
          <w:i w:val="0"/>
          <w:iCs w:val="0"/>
          <w:caps w:val="0"/>
          <w:color w:val="333333"/>
          <w:spacing w:val="0"/>
          <w:sz w:val="32"/>
          <w:szCs w:val="32"/>
          <w:lang w:val="en-US" w:eastAsia="zh-CN"/>
        </w:rPr>
      </w:pPr>
      <w:r>
        <w:rPr>
          <w:rFonts w:hint="default" w:ascii="Times New Roman" w:hAnsi="Times New Roman" w:eastAsia="方正黑体简体" w:cs="Times New Roman"/>
          <w:b/>
          <w:bCs/>
          <w:i w:val="0"/>
          <w:iCs w:val="0"/>
          <w:caps w:val="0"/>
          <w:color w:val="333333"/>
          <w:spacing w:val="0"/>
          <w:sz w:val="32"/>
          <w:szCs w:val="32"/>
          <w:lang w:val="en-US" w:eastAsia="zh-CN"/>
        </w:rPr>
        <w:t>六、其他需要报告的事项</w:t>
      </w:r>
    </w:p>
    <w:p w14:paraId="32692090">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（一）</w:t>
      </w:r>
      <w:r>
        <w:rPr>
          <w:rFonts w:hint="default" w:ascii="方正仿宋简体" w:hAnsi="Calibri" w:eastAsia="方正仿宋简体"/>
          <w:b/>
          <w:color w:val="000000"/>
          <w:kern w:val="2"/>
          <w:sz w:val="32"/>
          <w:szCs w:val="32"/>
          <w:lang w:val="en-US" w:eastAsia="zh-CN"/>
        </w:rPr>
        <w:t>依据《政府信息公开信息处理费管理办法》收取信息处理费的情况需在此专门报告</w:t>
      </w:r>
      <w:r>
        <w:rPr>
          <w:rFonts w:hint="eastAsia" w:ascii="方正仿宋简体" w:hAnsi="Calibri" w:eastAsia="方正仿宋简体"/>
          <w:b/>
          <w:color w:val="000000"/>
          <w:kern w:val="2"/>
          <w:sz w:val="32"/>
          <w:szCs w:val="32"/>
          <w:lang w:val="en-US" w:eastAsia="zh-CN"/>
        </w:rPr>
        <w:t>：</w:t>
      </w:r>
    </w:p>
    <w:p w14:paraId="2AD7FB78">
      <w:pPr>
        <w:spacing w:line="600" w:lineRule="exact"/>
        <w:ind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本年度无收取信息处理费情况。</w:t>
      </w:r>
    </w:p>
    <w:p w14:paraId="31C4BD12">
      <w:pPr>
        <w:numPr>
          <w:ilvl w:val="0"/>
          <w:numId w:val="1"/>
        </w:num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本行政机关落实上级年度政务公开工作要点情况：</w:t>
      </w:r>
    </w:p>
    <w:p w14:paraId="061691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综合行政执法局积极落实上级政务公开工作要点</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w:t>
      </w:r>
      <w:r>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t>不断完善主动公开分类标准，形成完善的政务公开机制。</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在对外公开工作方面做到了及时、有用、有效，政务公开工作取得显著成效。</w:t>
      </w:r>
    </w:p>
    <w:p w14:paraId="195ECF2C">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（三）人大代表建议和政协提案办理结果公开情况：</w:t>
      </w:r>
    </w:p>
    <w:p w14:paraId="7EE37610">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2025年我部门未收到人大代表建议和政协提案。</w:t>
      </w:r>
    </w:p>
    <w:p w14:paraId="5BCB3CD3">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（四）其他有关文件专门要求通过政府信息公开工作年度报告予以报告的事项：无。</w:t>
      </w:r>
    </w:p>
    <w:p w14:paraId="30E0FC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333333"/>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楷体简体">
    <w:altName w:val="宋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98D4"/>
    <w:multiLevelType w:val="singleLevel"/>
    <w:tmpl w:val="99BA98D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2EA42C5C"/>
    <w:rsid w:val="056106F1"/>
    <w:rsid w:val="06D9524C"/>
    <w:rsid w:val="13946135"/>
    <w:rsid w:val="15911CED"/>
    <w:rsid w:val="182302AD"/>
    <w:rsid w:val="215533A8"/>
    <w:rsid w:val="21723EFE"/>
    <w:rsid w:val="293E3806"/>
    <w:rsid w:val="2CD402D3"/>
    <w:rsid w:val="2EA42C5C"/>
    <w:rsid w:val="307C11E7"/>
    <w:rsid w:val="37447484"/>
    <w:rsid w:val="37F60B61"/>
    <w:rsid w:val="46C33BD6"/>
    <w:rsid w:val="48563BE3"/>
    <w:rsid w:val="4C211F55"/>
    <w:rsid w:val="4D533946"/>
    <w:rsid w:val="4FFC544F"/>
    <w:rsid w:val="512F30ED"/>
    <w:rsid w:val="53D35A51"/>
    <w:rsid w:val="57044ED0"/>
    <w:rsid w:val="5B06013F"/>
    <w:rsid w:val="5B6D0D13"/>
    <w:rsid w:val="63B45709"/>
    <w:rsid w:val="65BD63F3"/>
    <w:rsid w:val="68991270"/>
    <w:rsid w:val="6B4156BF"/>
    <w:rsid w:val="6CB74321"/>
    <w:rsid w:val="70B2346E"/>
    <w:rsid w:val="74291BEF"/>
    <w:rsid w:val="757E3DD8"/>
    <w:rsid w:val="7B7FCB3D"/>
    <w:rsid w:val="7DFA7462"/>
    <w:rsid w:val="BDE7DCEA"/>
    <w:rsid w:val="DEFB8F6F"/>
    <w:rsid w:val="DFBD9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WPS&#34920;&#26684;&#24037;&#20316;&#34920;.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26700;&#38754;/WPS&#34920;&#26684;&#24037;&#20316;&#34920;.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ome/user/&#26700;&#38754;/WPS&#34920;&#26684;&#24037;&#20316;&#34920;.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新闻报道刊发数量</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6"/>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[WPS表格工作表.et]Sheet1!$C$3:$E$3</c:f>
              <c:strCache>
                <c:ptCount val="3"/>
                <c:pt idx="0">
                  <c:v>国家级、省级</c:v>
                </c:pt>
                <c:pt idx="1">
                  <c:v>市级</c:v>
                </c:pt>
                <c:pt idx="2">
                  <c:v>区级</c:v>
                </c:pt>
              </c:strCache>
            </c:strRef>
          </c:cat>
          <c:val>
            <c:numRef>
              <c:f>[WPS表格工作表.et]Sheet1!$C$4:$E$4</c:f>
              <c:numCache>
                <c:formatCode>General</c:formatCode>
                <c:ptCount val="3"/>
                <c:pt idx="0">
                  <c:v>2</c:v>
                </c:pt>
                <c:pt idx="1">
                  <c:v>1</c:v>
                </c:pt>
                <c:pt idx="2">
                  <c:v>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937b12-c351-442d-9680-4bad36deeee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[WPS表格工作表.et]Sheet1!$B$34</c:f>
              <c:strCache>
                <c:ptCount val="1"/>
                <c:pt idx="0">
                  <c:v>依申请公开数量</c:v>
                </c:pt>
              </c:strCache>
            </c:strRef>
          </c:tx>
          <c:spPr>
            <a:solidFill>
              <a:schemeClr val="accent1"/>
            </a:solidFill>
            <a:ln>
              <a:noFill/>
            </a:ln>
            <a:effectLst/>
          </c:spPr>
          <c:invertIfNegative val="0"/>
          <c:dLbls>
            <c:delete val="1"/>
          </c:dLbls>
          <c:cat>
            <c:strRef>
              <c:f>[WPS表格工作表.et]Sheet1!$C$33:$E$33</c:f>
              <c:strCache>
                <c:ptCount val="3"/>
                <c:pt idx="0">
                  <c:v>2023年</c:v>
                </c:pt>
                <c:pt idx="1">
                  <c:v>2024年</c:v>
                </c:pt>
                <c:pt idx="2">
                  <c:v>2025年</c:v>
                </c:pt>
              </c:strCache>
            </c:strRef>
          </c:cat>
          <c:val>
            <c:numRef>
              <c:f>[WPS表格工作表.et]Sheet1!$C$34:$E$34</c:f>
              <c:numCache>
                <c:formatCode>General</c:formatCode>
                <c:ptCount val="3"/>
                <c:pt idx="0">
                  <c:v>1</c:v>
                </c:pt>
                <c:pt idx="1">
                  <c:v>2</c:v>
                </c:pt>
                <c:pt idx="2">
                  <c:v>1</c:v>
                </c:pt>
              </c:numCache>
            </c:numRef>
          </c:val>
        </c:ser>
        <c:dLbls>
          <c:showLegendKey val="0"/>
          <c:showVal val="0"/>
          <c:showCatName val="0"/>
          <c:showSerName val="0"/>
          <c:showPercent val="0"/>
          <c:showBubbleSize val="0"/>
        </c:dLbls>
        <c:gapWidth val="246"/>
        <c:overlap val="-28"/>
        <c:axId val="67604393"/>
        <c:axId val="597469972"/>
      </c:barChart>
      <c:catAx>
        <c:axId val="676043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7469972"/>
        <c:crosses val="autoZero"/>
        <c:auto val="1"/>
        <c:lblAlgn val="ctr"/>
        <c:lblOffset val="100"/>
        <c:noMultiLvlLbl val="0"/>
      </c:catAx>
      <c:valAx>
        <c:axId val="5974699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6043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2e3e981-08eb-4856-b6b4-60646e45ffd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12345政务服务热线转办事项（除其他类型外）</a:t>
            </a:r>
          </a:p>
        </c:rich>
      </c:tx>
      <c:layout>
        <c:manualLayout>
          <c:xMode val="edge"/>
          <c:yMode val="edge"/>
          <c:x val="0.165789473684211"/>
          <c:y val="0.038194444444444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[WPS表格工作表.et]Sheet1!$C$16:$E$16</c:f>
              <c:strCache>
                <c:ptCount val="3"/>
                <c:pt idx="0">
                  <c:v>市长信箱</c:v>
                </c:pt>
                <c:pt idx="1">
                  <c:v>闪电新闻</c:v>
                </c:pt>
                <c:pt idx="2">
                  <c:v>人民网</c:v>
                </c:pt>
              </c:strCache>
            </c:strRef>
          </c:cat>
          <c:val>
            <c:numRef>
              <c:f>[WPS表格工作表.et]Sheet1!$C$17:$E$17</c:f>
              <c:numCache>
                <c:formatCode>General</c:formatCode>
                <c:ptCount val="3"/>
                <c:pt idx="0">
                  <c:v>74</c:v>
                </c:pt>
                <c:pt idx="1">
                  <c:v>27</c:v>
                </c:pt>
                <c:pt idx="2">
                  <c:v>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7b4e32-d910-4e77-a211-1d706618df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2757</Words>
  <Characters>2875</Characters>
  <Lines>0</Lines>
  <Paragraphs>0</Paragraphs>
  <TotalTime>21</TotalTime>
  <ScaleCrop>false</ScaleCrop>
  <LinksUpToDate>false</LinksUpToDate>
  <CharactersWithSpaces>2875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2024-01-17T07:25:00Z</dcterms:created>
  <dc:creator>Jarred</dc:creator>
  <cp:lastModifiedBy>糖炒栗子 ້໌ᮨ</cp:lastModifiedBy>
  <dcterms:modified xsi:type="dcterms:W3CDTF">2026-01-29T02:53:57Z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ED1EF5C5A914482380F35455E383AA6A_13</vt:lpwstr>
  </property>
  <property fmtid="{D5CDD505-2E9C-101B-9397-08002B2CF9AE}" pid="4" name="KSOTemplateDocerSaveRecord">
    <vt:lpwstr>eyJoZGlkIjoiMDIzZTdhYmMzYmQ4MWZlMzhhOWQzOWZhOWJiZDRmZmIiLCJ1c2VySWQiOiIxMTQ4NjcwNDAzIn0=</vt:lpwstr>
  </property>
</Properties>
</file>