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62B1C">
      <w:pPr>
        <w:spacing w:line="590" w:lineRule="exact"/>
        <w:ind w:right="-105" w:rightChars="-50"/>
        <w:jc w:val="center"/>
        <w:outlineLvl w:val="0"/>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济宁高新区发展软环境保障局2025年政府信息公开工作年度报告</w:t>
      </w:r>
    </w:p>
    <w:p w14:paraId="719506E7">
      <w:pPr>
        <w:spacing w:line="590" w:lineRule="exact"/>
        <w:ind w:right="-105" w:rightChars="-50"/>
        <w:jc w:val="center"/>
        <w:outlineLvl w:val="0"/>
        <w:rPr>
          <w:rFonts w:hint="eastAsia" w:ascii="方正小标宋简体" w:eastAsia="方正小标宋简体"/>
          <w:b/>
          <w:color w:val="000000"/>
          <w:sz w:val="44"/>
          <w:szCs w:val="44"/>
        </w:rPr>
      </w:pPr>
    </w:p>
    <w:p w14:paraId="7D0CD55B">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本报告由济宁高新区发展软环境保障局按照《中华人民共和国政府信息公开条例》（以下简称《条例》）和《中华人民共和国政府信息公开工作年度报告格式》（国办公开办函〔2021〕30号）要求编制。</w:t>
      </w:r>
    </w:p>
    <w:p w14:paraId="3A5E0E71">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2025年1月1日至2025年12月31日。本报告电子版可在“济宁高新区管委会”门户网站（http://www.jnhn.gov.cn）查阅或下载。如对本报告有疑问，请与济宁高新区单位联系（地址：济宁高新区海川路9号产学研基地T3楼501室，联系电话：0537—3255625）。</w:t>
      </w:r>
    </w:p>
    <w:p w14:paraId="0BE11F9C">
      <w:pPr>
        <w:spacing w:line="590" w:lineRule="exact"/>
        <w:ind w:right="-105" w:rightChars="-50" w:firstLine="641"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lang w:val="en-US" w:eastAsia="zh-CN"/>
        </w:rPr>
        <w:t>一、</w:t>
      </w:r>
      <w:r>
        <w:rPr>
          <w:rFonts w:hint="eastAsia" w:ascii="Times New Roman" w:hAnsi="Times New Roman" w:eastAsia="方正黑体简体"/>
          <w:b/>
          <w:kern w:val="0"/>
          <w:sz w:val="32"/>
          <w:szCs w:val="32"/>
        </w:rPr>
        <w:t>总体情况</w:t>
      </w:r>
    </w:p>
    <w:p w14:paraId="35E800D4">
      <w:pPr>
        <w:numPr>
          <w:ilvl w:val="0"/>
          <w:numId w:val="0"/>
        </w:numPr>
        <w:spacing w:line="600" w:lineRule="exact"/>
        <w:ind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2025年，济宁高新区发展软环境保障局深入贯彻落实上级关于政务公开工作的各项决策部署，通过持续健全工作体系、优化公开载体、强化责任落实，不断提升政务公开工作规范化、制度化水平，充分发挥政务公开在保障群众知情权、提升治理效能、促进工作落实中的重要作用，为民生事业高质量发展提供坚实支撑。</w:t>
      </w:r>
    </w:p>
    <w:p w14:paraId="40A9A5E9">
      <w:pPr>
        <w:spacing w:line="590" w:lineRule="exact"/>
        <w:ind w:right="-105" w:rightChars="-50" w:firstLine="643" w:firstLineChars="200"/>
        <w:rPr>
          <w:rFonts w:hint="eastAsia" w:ascii="Times New Roman" w:hAnsi="Times New Roman" w:eastAsia="方正楷体简体" w:cs="Times New Roman"/>
          <w:b/>
          <w:bCs/>
          <w:color w:val="auto"/>
          <w:kern w:val="0"/>
          <w:sz w:val="32"/>
          <w:szCs w:val="32"/>
          <w:highlight w:val="none"/>
        </w:rPr>
      </w:pPr>
      <w:r>
        <w:rPr>
          <w:rFonts w:hint="eastAsia" w:ascii="Times New Roman" w:hAnsi="Times New Roman" w:eastAsia="方正楷体简体" w:cs="Times New Roman"/>
          <w:b/>
          <w:bCs/>
          <w:color w:val="auto"/>
          <w:kern w:val="0"/>
          <w:sz w:val="32"/>
          <w:szCs w:val="32"/>
          <w:highlight w:val="none"/>
        </w:rPr>
        <w:t>（一）主动公开情况</w:t>
      </w:r>
    </w:p>
    <w:p w14:paraId="590243CE">
      <w:pPr>
        <w:ind w:firstLine="643" w:firstLineChars="200"/>
        <w:rPr>
          <w:rFonts w:hint="eastAsia" w:ascii="方正仿宋简体" w:eastAsia="方正仿宋简体"/>
          <w:b/>
          <w:color w:val="auto"/>
          <w:sz w:val="32"/>
          <w:szCs w:val="32"/>
          <w:highlight w:val="none"/>
          <w:lang w:val="en-US" w:eastAsia="zh-CN"/>
        </w:rPr>
      </w:pPr>
      <w:r>
        <w:rPr>
          <w:rFonts w:hint="eastAsia" w:ascii="方正仿宋简体" w:eastAsia="方正仿宋简体"/>
          <w:b/>
          <w:color w:val="auto"/>
          <w:sz w:val="32"/>
          <w:szCs w:val="32"/>
          <w:highlight w:val="none"/>
          <w:lang w:val="en-US" w:eastAsia="zh-CN"/>
        </w:rPr>
        <w:t>全面推进主动公开工作，紧扣核心职能与群众关切，系统梳理公开事项清单，科学拓宽信息公开范围，确保公开内容全面合规、重点突出。截至12月31日，我单位2025年度主动公开政府信息191条、办结网络问政事项167件、多渠道群众咨询5620件、领导信箱来信32封，群众关注的热点问题均得到及时回应与妥善处置。</w:t>
      </w:r>
    </w:p>
    <w:p w14:paraId="7D71F80B">
      <w:pPr>
        <w:ind w:firstLine="0" w:firstLineChars="0"/>
        <w:rPr>
          <w:rFonts w:hint="eastAsia" w:ascii="方正仿宋简体" w:eastAsia="方正仿宋简体"/>
          <w:b/>
          <w:color w:val="FF0000"/>
          <w:sz w:val="32"/>
          <w:szCs w:val="32"/>
          <w:highlight w:val="none"/>
          <w:lang w:val="en-US" w:eastAsia="zh-CN"/>
        </w:rPr>
      </w:pPr>
      <w:r>
        <w:rPr>
          <w:rFonts w:hint="eastAsia" w:eastAsiaTheme="minorEastAsia"/>
          <w:lang w:eastAsia="zh-CN"/>
        </w:rPr>
        <w:drawing>
          <wp:inline distT="0" distB="0" distL="114300" distR="114300">
            <wp:extent cx="5209540" cy="2921635"/>
            <wp:effectExtent l="4445" t="4445" r="5715"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159BFC4">
      <w:pPr>
        <w:rPr>
          <w:rFonts w:hint="eastAsia" w:ascii="方正仿宋简体" w:eastAsia="方正仿宋简体"/>
          <w:b/>
          <w:color w:val="000000"/>
          <w:sz w:val="32"/>
          <w:szCs w:val="32"/>
          <w:highlight w:val="none"/>
          <w:lang w:val="en-US" w:eastAsia="zh-CN"/>
        </w:rPr>
      </w:pPr>
    </w:p>
    <w:p w14:paraId="1AB72123">
      <w:pPr>
        <w:spacing w:line="590" w:lineRule="exact"/>
        <w:ind w:right="-105" w:rightChars="-50" w:firstLine="643" w:firstLineChars="200"/>
        <w:rPr>
          <w:rFonts w:hint="eastAsia" w:ascii="Times New Roman" w:hAnsi="Times New Roman" w:eastAsia="方正楷体简体" w:cs="Times New Roman"/>
          <w:b/>
          <w:bCs/>
          <w:color w:val="auto"/>
          <w:kern w:val="0"/>
          <w:sz w:val="32"/>
          <w:szCs w:val="32"/>
          <w:highlight w:val="none"/>
        </w:rPr>
      </w:pPr>
      <w:r>
        <w:rPr>
          <w:rFonts w:hint="eastAsia" w:ascii="Times New Roman" w:hAnsi="Times New Roman" w:eastAsia="方正楷体简体" w:cs="Times New Roman"/>
          <w:b/>
          <w:bCs/>
          <w:color w:val="auto"/>
          <w:kern w:val="0"/>
          <w:sz w:val="32"/>
          <w:szCs w:val="32"/>
          <w:highlight w:val="none"/>
        </w:rPr>
        <w:t>（二）依申请公开情况</w:t>
      </w:r>
    </w:p>
    <w:p w14:paraId="470FACC3">
      <w:pPr>
        <w:widowControl/>
        <w:ind w:firstLine="643" w:firstLineChars="200"/>
        <w:jc w:val="left"/>
        <w:rPr>
          <w:rFonts w:hint="eastAsia" w:ascii="方正仿宋简体" w:eastAsia="方正仿宋简体"/>
          <w:b/>
          <w:color w:val="000000"/>
          <w:sz w:val="32"/>
          <w:szCs w:val="32"/>
          <w:highlight w:val="none"/>
          <w:lang w:val="en-US" w:eastAsia="zh-CN"/>
        </w:rPr>
      </w:pPr>
      <w:r>
        <w:rPr>
          <w:rFonts w:hint="default" w:ascii="方正仿宋简体" w:eastAsia="方正仿宋简体"/>
          <w:b/>
          <w:color w:val="000000"/>
          <w:sz w:val="32"/>
          <w:szCs w:val="32"/>
          <w:highlight w:val="none"/>
          <w:lang w:val="en-US" w:eastAsia="zh-CN"/>
        </w:rPr>
        <w:t>202</w:t>
      </w:r>
      <w:r>
        <w:rPr>
          <w:rFonts w:hint="eastAsia" w:ascii="方正仿宋简体" w:eastAsia="方正仿宋简体"/>
          <w:b/>
          <w:color w:val="000000"/>
          <w:sz w:val="32"/>
          <w:szCs w:val="32"/>
          <w:highlight w:val="none"/>
          <w:lang w:val="en-US" w:eastAsia="zh-CN"/>
        </w:rPr>
        <w:t>5</w:t>
      </w:r>
      <w:r>
        <w:rPr>
          <w:rFonts w:hint="default" w:ascii="方正仿宋简体" w:eastAsia="方正仿宋简体"/>
          <w:b/>
          <w:color w:val="000000"/>
          <w:sz w:val="32"/>
          <w:szCs w:val="32"/>
          <w:highlight w:val="none"/>
          <w:lang w:val="en-US" w:eastAsia="zh-CN"/>
        </w:rPr>
        <w:t>年我局共办理依申请公开</w:t>
      </w:r>
      <w:r>
        <w:rPr>
          <w:rFonts w:hint="eastAsia" w:ascii="方正仿宋简体" w:eastAsia="方正仿宋简体"/>
          <w:b/>
          <w:color w:val="000000"/>
          <w:sz w:val="32"/>
          <w:szCs w:val="32"/>
          <w:highlight w:val="none"/>
          <w:lang w:val="en-US" w:eastAsia="zh-CN"/>
        </w:rPr>
        <w:t>信件</w:t>
      </w:r>
      <w:r>
        <w:rPr>
          <w:rFonts w:hint="eastAsia" w:ascii="方正仿宋简体" w:eastAsia="方正仿宋简体"/>
          <w:b/>
          <w:color w:val="auto"/>
          <w:sz w:val="32"/>
          <w:szCs w:val="32"/>
          <w:highlight w:val="none"/>
          <w:lang w:val="en-US" w:eastAsia="zh-CN"/>
        </w:rPr>
        <w:t>1</w:t>
      </w:r>
      <w:r>
        <w:rPr>
          <w:rFonts w:hint="default" w:ascii="方正仿宋简体" w:eastAsia="方正仿宋简体"/>
          <w:b/>
          <w:color w:val="000000"/>
          <w:sz w:val="32"/>
          <w:szCs w:val="32"/>
          <w:highlight w:val="none"/>
          <w:lang w:val="en-US" w:eastAsia="zh-CN"/>
        </w:rPr>
        <w:t>件。</w:t>
      </w:r>
    </w:p>
    <w:p w14:paraId="3DD80391">
      <w:pPr>
        <w:spacing w:line="590" w:lineRule="exact"/>
        <w:ind w:right="-105" w:rightChars="-50" w:firstLine="643" w:firstLineChars="200"/>
        <w:rPr>
          <w:rFonts w:hint="eastAsia" w:ascii="Times New Roman" w:hAnsi="Times New Roman" w:eastAsia="方正楷体简体" w:cs="Times New Roman"/>
          <w:b/>
          <w:bCs/>
          <w:color w:val="auto"/>
          <w:kern w:val="0"/>
          <w:sz w:val="32"/>
          <w:szCs w:val="32"/>
          <w:highlight w:val="none"/>
          <w:lang w:val="en-US" w:eastAsia="zh-CN"/>
        </w:rPr>
      </w:pPr>
      <w:r>
        <w:rPr>
          <w:rFonts w:hint="eastAsia" w:ascii="Times New Roman" w:hAnsi="Times New Roman" w:eastAsia="方正楷体简体" w:cs="Times New Roman"/>
          <w:b/>
          <w:bCs/>
          <w:color w:val="auto"/>
          <w:kern w:val="0"/>
          <w:sz w:val="32"/>
          <w:szCs w:val="32"/>
          <w:highlight w:val="none"/>
        </w:rPr>
        <w:t>（三）政府信息管理情况</w:t>
      </w:r>
    </w:p>
    <w:p w14:paraId="3314DEC5">
      <w:pPr>
        <w:spacing w:line="600" w:lineRule="exact"/>
        <w:ind w:firstLine="643" w:firstLineChars="200"/>
        <w:rPr>
          <w:rFonts w:hint="eastAsia" w:ascii="方正仿宋简体" w:eastAsia="方正仿宋简体" w:cs="Times New Roman"/>
          <w:b/>
          <w:color w:val="auto"/>
          <w:sz w:val="32"/>
          <w:szCs w:val="32"/>
          <w:lang w:val="en-US" w:eastAsia="zh-CN"/>
        </w:rPr>
      </w:pPr>
      <w:r>
        <w:rPr>
          <w:rFonts w:hint="eastAsia" w:ascii="方正仿宋简体" w:eastAsia="方正仿宋简体" w:cs="Times New Roman"/>
          <w:b/>
          <w:color w:val="auto"/>
          <w:sz w:val="32"/>
          <w:szCs w:val="32"/>
          <w:lang w:val="en-US" w:eastAsia="zh-CN"/>
        </w:rPr>
        <w:t>强化政府信息全生命周期管理，完善信息制作、审核、发布、更新等各环节管理制度，构建闭环管理体系。建立公开内容动态调整机制，结合年度工作重点与职能变化，及时优化更新公开事项，确保公开内容科学实用、精准适配需求，切实保障公开信息的真实性、准确性和权威性。</w:t>
      </w:r>
    </w:p>
    <w:p w14:paraId="0116438F">
      <w:pPr>
        <w:spacing w:line="590" w:lineRule="exact"/>
        <w:ind w:right="-105" w:rightChars="-50" w:firstLine="643" w:firstLineChars="200"/>
        <w:rPr>
          <w:rFonts w:hint="eastAsia" w:ascii="Times New Roman" w:hAnsi="Times New Roman" w:eastAsia="方正楷体简体" w:cs="Times New Roman"/>
          <w:b/>
          <w:bCs/>
          <w:color w:val="auto"/>
          <w:kern w:val="0"/>
          <w:sz w:val="32"/>
          <w:szCs w:val="32"/>
          <w:highlight w:val="none"/>
        </w:rPr>
      </w:pPr>
      <w:r>
        <w:rPr>
          <w:rFonts w:hint="eastAsia" w:ascii="Times New Roman" w:hAnsi="Times New Roman" w:eastAsia="方正楷体简体" w:cs="Times New Roman"/>
          <w:b/>
          <w:bCs/>
          <w:color w:val="auto"/>
          <w:kern w:val="0"/>
          <w:sz w:val="32"/>
          <w:szCs w:val="32"/>
          <w:highlight w:val="none"/>
        </w:rPr>
        <w:t>（四）政府信息公开平台建设情况</w:t>
      </w:r>
    </w:p>
    <w:p w14:paraId="174D4CB0">
      <w:pPr>
        <w:spacing w:line="600" w:lineRule="exact"/>
        <w:ind w:firstLine="643" w:firstLineChars="200"/>
        <w:rPr>
          <w:rFonts w:hint="default" w:ascii="方正仿宋简体" w:eastAsia="方正仿宋简体"/>
          <w:b/>
          <w:color w:val="auto"/>
          <w:sz w:val="32"/>
          <w:szCs w:val="32"/>
          <w:lang w:val="en-US" w:eastAsia="zh-CN"/>
        </w:rPr>
      </w:pPr>
      <w:r>
        <w:rPr>
          <w:rFonts w:hint="eastAsia" w:ascii="方正仿宋简体" w:eastAsia="方正仿宋简体" w:cs="Times New Roman"/>
          <w:b/>
          <w:color w:val="auto"/>
          <w:sz w:val="32"/>
          <w:szCs w:val="32"/>
          <w:lang w:val="en-US" w:eastAsia="zh-CN"/>
        </w:rPr>
        <w:t>以政府门户网站为核心，持续深化民生领域信息公开专栏建设，构建集约化、规范化线上公开平台。涵盖教育保障、医疗健康、养老服务、社会救助等专项板块，配备检索匹配功能，实现民生信息精准直达，方便群众快速定位所需内容。</w:t>
      </w:r>
    </w:p>
    <w:p w14:paraId="5D213D8D">
      <w:pPr>
        <w:spacing w:line="590" w:lineRule="exact"/>
        <w:ind w:right="-105" w:rightChars="-50" w:firstLine="643" w:firstLineChars="200"/>
        <w:rPr>
          <w:rFonts w:hint="eastAsia" w:ascii="Times New Roman" w:hAnsi="Times New Roman" w:eastAsia="方正楷体简体" w:cs="Times New Roman"/>
          <w:b/>
          <w:bCs/>
          <w:color w:val="auto"/>
          <w:kern w:val="0"/>
          <w:sz w:val="32"/>
          <w:szCs w:val="32"/>
          <w:highlight w:val="none"/>
        </w:rPr>
      </w:pPr>
      <w:r>
        <w:rPr>
          <w:rFonts w:hint="eastAsia" w:ascii="Times New Roman" w:hAnsi="Times New Roman" w:eastAsia="方正楷体简体" w:cs="Times New Roman"/>
          <w:b/>
          <w:bCs/>
          <w:color w:val="auto"/>
          <w:kern w:val="0"/>
          <w:sz w:val="32"/>
          <w:szCs w:val="32"/>
          <w:highlight w:val="none"/>
        </w:rPr>
        <w:t>（五）监督保障情况</w:t>
      </w:r>
    </w:p>
    <w:p w14:paraId="47A253AC">
      <w:pPr>
        <w:keepNext w:val="0"/>
        <w:keepLines w:val="0"/>
        <w:widowControl/>
        <w:suppressLineNumbers w:val="0"/>
        <w:ind w:firstLine="643" w:firstLineChars="200"/>
        <w:jc w:val="left"/>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健全监督保障与激励约束机制，开展常态化监督检查，定期核查公开内容完整性、发布及时性、流程规范性等情况，及时发现并整改工作薄弱环节。加强业务能力建设，提升工作人员专业素养和业务水平；畅通社会监督渠道，主动接受群众和社会各界监督，广泛吸纳意见建议，持续改进政务公开工作。</w:t>
      </w:r>
    </w:p>
    <w:p w14:paraId="7A5FDD72">
      <w:pPr>
        <w:spacing w:line="590" w:lineRule="exact"/>
        <w:ind w:right="-105" w:rightChars="-50" w:firstLine="641" w:firstLineChars="200"/>
        <w:rPr>
          <w:rFonts w:hint="eastAsia" w:ascii="Times New Roman" w:hAnsi="Times New Roman" w:eastAsia="方正黑体简体"/>
          <w:b/>
          <w:kern w:val="0"/>
          <w:sz w:val="32"/>
          <w:szCs w:val="32"/>
          <w:lang w:val="en-US" w:eastAsia="zh-CN"/>
        </w:rPr>
      </w:pPr>
      <w:r>
        <w:rPr>
          <w:rFonts w:hint="eastAsia" w:ascii="Times New Roman" w:hAnsi="Times New Roman" w:eastAsia="方正黑体简体"/>
          <w:b/>
          <w:kern w:val="0"/>
          <w:sz w:val="32"/>
          <w:szCs w:val="32"/>
          <w:lang w:val="en-US" w:eastAsia="zh-CN"/>
        </w:rPr>
        <w:t>二、主动公开政府信息情况</w:t>
      </w:r>
    </w:p>
    <w:tbl>
      <w:tblPr>
        <w:tblStyle w:val="2"/>
        <w:tblW w:w="5000" w:type="pct"/>
        <w:tblInd w:w="0" w:type="dxa"/>
        <w:tblLayout w:type="autofit"/>
        <w:tblCellMar>
          <w:top w:w="0" w:type="dxa"/>
          <w:left w:w="108" w:type="dxa"/>
          <w:bottom w:w="0" w:type="dxa"/>
          <w:right w:w="108" w:type="dxa"/>
        </w:tblCellMar>
      </w:tblPr>
      <w:tblGrid>
        <w:gridCol w:w="2130"/>
        <w:gridCol w:w="2130"/>
        <w:gridCol w:w="2131"/>
        <w:gridCol w:w="2131"/>
      </w:tblGrid>
      <w:tr w14:paraId="519FDB8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A0BFF8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10CB1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DE0B2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27CDEE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5057B9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562E87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20A5E0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BD5141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7B77ED3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A9D10E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3533DB2">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069B0A5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61C0D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647E41F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DD97E37">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BE91204">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1</w:t>
            </w:r>
          </w:p>
        </w:tc>
      </w:tr>
      <w:tr w14:paraId="1B5ED1A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58733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543B1F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13E708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57356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4D68B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34CCF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A1B4EA4">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8</w:t>
            </w:r>
            <w:bookmarkStart w:id="0" w:name="_GoBack"/>
            <w:bookmarkEnd w:id="0"/>
          </w:p>
        </w:tc>
      </w:tr>
      <w:tr w14:paraId="1D3DBB7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147D9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2FCD5F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10924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8D316B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8086EF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3F3C3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F2E825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19BB1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26DCA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323CA1F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30D0E0A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952C1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C0295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541F4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67569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E343F07">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14:paraId="0D9E120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C1EF56">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4744B211">
      <w:pPr>
        <w:spacing w:line="590" w:lineRule="exact"/>
        <w:ind w:right="-105" w:rightChars="-50" w:firstLine="641" w:firstLineChars="200"/>
        <w:rPr>
          <w:rFonts w:hint="eastAsia" w:ascii="Times New Roman" w:hAnsi="Times New Roman" w:eastAsia="方正黑体简体"/>
          <w:b/>
          <w:kern w:val="0"/>
          <w:sz w:val="32"/>
          <w:szCs w:val="32"/>
          <w:lang w:val="en-US" w:eastAsia="zh-CN"/>
        </w:rPr>
      </w:pPr>
      <w:r>
        <w:rPr>
          <w:rFonts w:hint="eastAsia" w:ascii="Times New Roman" w:hAnsi="Times New Roman" w:eastAsia="方正黑体简体"/>
          <w:b/>
          <w:kern w:val="0"/>
          <w:sz w:val="32"/>
          <w:szCs w:val="32"/>
          <w:lang w:val="en-US" w:eastAsia="zh-CN"/>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21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2C735CA6">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0C864AD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0F2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9B7D2AA">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72E1EC5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0E44277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1A33B73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082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3875451E">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5547AD3E">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71438E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4B43784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15A2DC9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FD56B2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299DDEE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203C086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669FE6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7EA20692">
            <w:pPr>
              <w:spacing w:line="300" w:lineRule="exact"/>
              <w:rPr>
                <w:rFonts w:ascii="方正仿宋简体" w:eastAsia="方正仿宋简体"/>
                <w:b/>
                <w:sz w:val="21"/>
                <w:szCs w:val="21"/>
              </w:rPr>
            </w:pPr>
          </w:p>
        </w:tc>
      </w:tr>
      <w:tr w14:paraId="2323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6266DFE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181FBEF6">
            <w:pPr>
              <w:widowControl/>
              <w:spacing w:line="300" w:lineRule="exact"/>
              <w:jc w:val="center"/>
              <w:rPr>
                <w:rFonts w:hint="default" w:ascii="方正仿宋简体" w:eastAsia="方正仿宋简体" w:cs="Calibri"/>
                <w:b/>
                <w:sz w:val="21"/>
                <w:szCs w:val="21"/>
                <w:lang w:val="en-US" w:eastAsia="zh-CN" w:bidi="ar"/>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0027C9A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16DADC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9F00D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A54A4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F13C9D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350AB2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0EA1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6E5C5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620CB8F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B44FE7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E47BF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A47FEE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FB0878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5D51BE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8D42B3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2CD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72FEF4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48A7CA7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47445A40">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14:paraId="2EAF8C2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CF225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77A463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9455AA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E6A801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B9DC766">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1C83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120CD07">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E67F49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7B2C47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CDEDA5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A0BC68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694BA1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E7A7A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ADFBB5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B51C45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6C19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D74A7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3816F8E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08374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3DE871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A8D2F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25FAC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40388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247257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AED701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D5FE7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5778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822FD4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D9AFD2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AAB8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6EA008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070EA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54971C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2B7049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81E82A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A2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DB6BC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71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7D0E35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F3EF8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EC0EE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40821C1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686C79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4D48B9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FC44ED9">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184E13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7C697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694F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87D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2C91C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A346D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B1E1C7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127CC3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CA4833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6C0D2F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6DA03E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A4A279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D3E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E2933B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918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AD4539D">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5B6C98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1ACFC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794A16A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365178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224D1B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66AD2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FE4CD6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1E80D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9A4D7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7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D0C588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757CFA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C6C9C2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33417D5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C56751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188EFE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D53D7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879CAC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3915FA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BD34A1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DF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DA51E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59077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FF32B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090C743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D9184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B10AB2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C5AB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3F222E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80E0E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AD3178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3D3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B7A845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87A389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7ED8E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62C4EC9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8B7F8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3DCD71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BCE5C0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B1007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BD6FD4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3BFF4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16A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8B9AF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3CC70C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6C845B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4C800DE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D938FB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E082C8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14CA23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6806A4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1E5A4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FEC15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C6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6A109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A36BD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8888FE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6F93010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FF5AB0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0BE0DC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E169FE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8E84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CF92A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1B4E23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4F5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C963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F68F2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346B23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5128A60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5C2648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5A1316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0FD18C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F5C3E2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482C7B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86D40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DE8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84817C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5E79B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44E5D9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712B661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14:paraId="0C1223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64E8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F7F27C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AADCE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95D32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5CE76BF">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33A9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237C4C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B2FDBB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31F72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1AC762E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75600B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490517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297F19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EA9FDC5">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7981C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EE5FBF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CE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4D91E3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6ABFE1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EE62E4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2256C0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72DB6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EF4E6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1047C3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68590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20BB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F5C2E7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5F4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EA9E7B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3EA07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F62046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3306F10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B94162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3881F7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4D627D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4F73CA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1D64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C7F42E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AB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85B7B6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729395">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460E8B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7F5F8C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836009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3664E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8183F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70D892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65F6BE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F4192E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6581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DA0F15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6375851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6472D27C">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E7D2BF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F7A44E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074E5A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FBDF69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E1E170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0FF74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9432F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8E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1CFC73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16FF3BB">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127D8E0">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210D4E6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C016E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A3243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B5A056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4CDC4E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A348B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4F000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1E5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23A0DE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29B8813">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00DCAD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0B6179C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DC16FD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127AC2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25846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32104F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CEDE11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C75473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667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BFB7569">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19BE44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0B70E52D">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14:paraId="134184A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536DF3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A3DB8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4082A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7D3F1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57499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35F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465EF9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1733FC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3B4B31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FBC4AD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7E8D28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B034F3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97716A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32FEAAA">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14:paraId="7948EC16">
      <w:pPr>
        <w:spacing w:line="590" w:lineRule="exact"/>
        <w:ind w:right="-105" w:rightChars="-50" w:firstLine="641" w:firstLineChars="200"/>
        <w:rPr>
          <w:rFonts w:hint="eastAsia" w:ascii="Times New Roman" w:hAnsi="Times New Roman" w:eastAsia="方正黑体简体"/>
          <w:b/>
          <w:kern w:val="0"/>
          <w:sz w:val="32"/>
          <w:szCs w:val="32"/>
          <w:lang w:val="en-US" w:eastAsia="zh-CN"/>
        </w:rPr>
      </w:pPr>
      <w:r>
        <w:rPr>
          <w:rFonts w:hint="eastAsia" w:ascii="Times New Roman" w:hAnsi="Times New Roman" w:eastAsia="方正黑体简体"/>
          <w:b/>
          <w:kern w:val="0"/>
          <w:sz w:val="32"/>
          <w:szCs w:val="32"/>
          <w:lang w:val="en-US" w:eastAsia="zh-CN"/>
        </w:rPr>
        <w:t>四、政府信息公开行政复议、行政诉讼情况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E81E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969682">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1C9CDE9">
            <w:pPr>
              <w:widowControl/>
              <w:jc w:val="center"/>
              <w:rPr>
                <w:rFonts w:ascii="黑体" w:hAnsi="黑体" w:eastAsia="黑体"/>
              </w:rPr>
            </w:pPr>
            <w:r>
              <w:rPr>
                <w:rFonts w:ascii="黑体" w:hAnsi="黑体" w:eastAsia="黑体"/>
                <w:kern w:val="0"/>
                <w:sz w:val="20"/>
                <w:szCs w:val="20"/>
              </w:rPr>
              <w:t>行政诉讼</w:t>
            </w:r>
          </w:p>
        </w:tc>
      </w:tr>
      <w:tr w14:paraId="514A9F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94C19C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31B0DBED">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F818442">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A6C2DF1">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65F8E7">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7E9BFAD">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2F916FC">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422FC0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7CB5DFF">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0E79133">
            <w:pPr>
              <w:widowControl/>
              <w:jc w:val="center"/>
              <w:rPr>
                <w:rFonts w:ascii="黑体" w:hAnsi="黑体" w:eastAsia="黑体"/>
              </w:rPr>
            </w:pPr>
            <w:r>
              <w:rPr>
                <w:rFonts w:ascii="黑体" w:hAnsi="黑体" w:eastAsia="黑体"/>
                <w:kern w:val="0"/>
                <w:sz w:val="20"/>
                <w:szCs w:val="20"/>
              </w:rPr>
              <w:t>复议后起诉</w:t>
            </w:r>
          </w:p>
        </w:tc>
      </w:tr>
      <w:tr w14:paraId="0CE77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494F7A">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12F274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E2B6C55">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A973944">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635A70">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3F402E2">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111289">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086D7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4DBFA6D">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5DB801">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4E5394A">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2BDFAA">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13A734">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65FA80A">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307C5B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44A2E6">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D648E24">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3DF75B">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66BDC52">
            <w:pPr>
              <w:widowControl/>
              <w:jc w:val="center"/>
              <w:rPr>
                <w:rFonts w:ascii="黑体" w:hAnsi="黑体" w:eastAsia="黑体"/>
              </w:rPr>
            </w:pPr>
            <w:r>
              <w:rPr>
                <w:rFonts w:ascii="黑体" w:hAnsi="黑体" w:eastAsia="黑体"/>
                <w:kern w:val="0"/>
                <w:sz w:val="20"/>
                <w:szCs w:val="20"/>
              </w:rPr>
              <w:t>总计</w:t>
            </w:r>
          </w:p>
        </w:tc>
      </w:tr>
      <w:tr w14:paraId="7BD7A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14:paraId="3228A51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5176FD2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7448B74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1701487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bottom"/>
          </w:tcPr>
          <w:p w14:paraId="1FEEB92F">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bottom"/>
          </w:tcPr>
          <w:p w14:paraId="490FA89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0AFB1C9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4120BE0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3EFA5B5A">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54B9D53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6BA78D0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52FA9B4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19A81A8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749BC79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45AA8BE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2E168C70">
      <w:pPr>
        <w:spacing w:line="590" w:lineRule="exact"/>
        <w:ind w:right="-105" w:rightChars="-50" w:firstLine="641" w:firstLineChars="200"/>
        <w:rPr>
          <w:rFonts w:hint="eastAsia" w:ascii="Times New Roman" w:hAnsi="Times New Roman" w:eastAsia="方正黑体简体"/>
          <w:b/>
          <w:kern w:val="0"/>
          <w:sz w:val="32"/>
          <w:szCs w:val="32"/>
          <w:lang w:val="en-US" w:eastAsia="zh-CN"/>
        </w:rPr>
      </w:pPr>
      <w:r>
        <w:rPr>
          <w:rFonts w:hint="eastAsia" w:ascii="Times New Roman" w:hAnsi="Times New Roman" w:eastAsia="方正黑体简体"/>
          <w:b/>
          <w:kern w:val="0"/>
          <w:sz w:val="32"/>
          <w:szCs w:val="32"/>
          <w:lang w:val="en-US" w:eastAsia="zh-CN"/>
        </w:rPr>
        <w:t>五、存在的主要问题及改进情况</w:t>
      </w:r>
    </w:p>
    <w:p w14:paraId="60718389">
      <w:pPr>
        <w:spacing w:line="590" w:lineRule="exact"/>
        <w:ind w:right="-105" w:rightChars="-50" w:firstLine="643" w:firstLineChars="200"/>
        <w:rPr>
          <w:rFonts w:hint="eastAsia" w:ascii="方正仿宋简体" w:eastAsia="方正仿宋简体" w:cs="Times New Roman"/>
          <w:b/>
          <w:color w:val="auto"/>
          <w:kern w:val="2"/>
          <w:sz w:val="32"/>
          <w:szCs w:val="32"/>
          <w:lang w:val="en-US" w:eastAsia="zh-CN" w:bidi="ar-SA"/>
        </w:rPr>
      </w:pPr>
      <w:r>
        <w:rPr>
          <w:rFonts w:hint="eastAsia" w:ascii="方正仿宋简体" w:hAnsi="Calibri" w:eastAsia="方正仿宋简体" w:cs="Times New Roman"/>
          <w:b/>
          <w:color w:val="auto"/>
          <w:kern w:val="2"/>
          <w:sz w:val="32"/>
          <w:szCs w:val="32"/>
          <w:lang w:val="en-US" w:eastAsia="zh-CN" w:bidi="ar-SA"/>
        </w:rPr>
        <w:t>2025年，我单位针对</w:t>
      </w:r>
      <w:r>
        <w:rPr>
          <w:rFonts w:hint="eastAsia" w:ascii="方正仿宋简体" w:eastAsia="方正仿宋简体" w:cs="Times New Roman"/>
          <w:b/>
          <w:color w:val="auto"/>
          <w:kern w:val="2"/>
          <w:sz w:val="32"/>
          <w:szCs w:val="32"/>
          <w:lang w:val="en-US" w:eastAsia="zh-CN" w:bidi="ar-SA"/>
        </w:rPr>
        <w:t>2024年</w:t>
      </w:r>
      <w:r>
        <w:rPr>
          <w:rFonts w:hint="eastAsia" w:ascii="方正仿宋简体" w:hAnsi="Calibri" w:eastAsia="方正仿宋简体" w:cs="Times New Roman"/>
          <w:b/>
          <w:color w:val="auto"/>
          <w:kern w:val="2"/>
          <w:sz w:val="32"/>
          <w:szCs w:val="32"/>
          <w:lang w:val="en-US" w:eastAsia="zh-CN" w:bidi="ar-SA"/>
        </w:rPr>
        <w:t>政务公开</w:t>
      </w:r>
      <w:r>
        <w:rPr>
          <w:rFonts w:hint="eastAsia" w:ascii="方正仿宋简体" w:eastAsia="方正仿宋简体" w:cs="Times New Roman"/>
          <w:b/>
          <w:color w:val="auto"/>
          <w:kern w:val="2"/>
          <w:sz w:val="32"/>
          <w:szCs w:val="32"/>
          <w:lang w:val="en-US" w:eastAsia="zh-CN" w:bidi="ar-SA"/>
        </w:rPr>
        <w:t>工作中的不足</w:t>
      </w:r>
      <w:r>
        <w:rPr>
          <w:rFonts w:hint="eastAsia" w:ascii="方正仿宋简体" w:hAnsi="Calibri" w:eastAsia="方正仿宋简体" w:cs="Times New Roman"/>
          <w:b/>
          <w:color w:val="auto"/>
          <w:kern w:val="2"/>
          <w:sz w:val="32"/>
          <w:szCs w:val="32"/>
          <w:lang w:val="en-US" w:eastAsia="zh-CN" w:bidi="ar-SA"/>
        </w:rPr>
        <w:t>，优化内容供给，聚焦群众关切深化公开维度，提升信息公开的精准性和深入性</w:t>
      </w:r>
      <w:r>
        <w:rPr>
          <w:rFonts w:hint="eastAsia" w:ascii="方正仿宋简体" w:eastAsia="方正仿宋简体" w:cs="Times New Roman"/>
          <w:b/>
          <w:color w:val="auto"/>
          <w:kern w:val="2"/>
          <w:sz w:val="32"/>
          <w:szCs w:val="32"/>
          <w:lang w:val="en-US" w:eastAsia="zh-CN" w:bidi="ar-SA"/>
        </w:rPr>
        <w:t>，至目前已</w:t>
      </w:r>
      <w:r>
        <w:rPr>
          <w:rFonts w:hint="eastAsia" w:ascii="方正仿宋简体" w:hAnsi="Calibri" w:eastAsia="方正仿宋简体" w:cs="Times New Roman"/>
          <w:b/>
          <w:color w:val="auto"/>
          <w:kern w:val="2"/>
          <w:sz w:val="32"/>
          <w:szCs w:val="32"/>
          <w:lang w:val="en-US" w:eastAsia="zh-CN" w:bidi="ar-SA"/>
        </w:rPr>
        <w:t>取得阶段性成效。</w:t>
      </w:r>
    </w:p>
    <w:p w14:paraId="1E3DEA8E">
      <w:pPr>
        <w:spacing w:line="590" w:lineRule="exact"/>
        <w:ind w:right="-105" w:rightChars="-50" w:firstLine="643" w:firstLineChars="200"/>
        <w:rPr>
          <w:rFonts w:hint="eastAsia" w:ascii="方正仿宋简体" w:hAnsi="Calibri" w:eastAsia="方正仿宋简体" w:cs="Times New Roman"/>
          <w:b/>
          <w:color w:val="auto"/>
          <w:kern w:val="2"/>
          <w:sz w:val="32"/>
          <w:szCs w:val="32"/>
          <w:lang w:val="en-US" w:eastAsia="zh-CN" w:bidi="ar-SA"/>
        </w:rPr>
      </w:pPr>
      <w:r>
        <w:rPr>
          <w:rFonts w:hint="eastAsia" w:ascii="方正仿宋简体" w:eastAsia="方正仿宋简体" w:cs="Times New Roman"/>
          <w:b/>
          <w:color w:val="auto"/>
          <w:kern w:val="2"/>
          <w:sz w:val="32"/>
          <w:szCs w:val="32"/>
          <w:lang w:val="en-US" w:eastAsia="zh-CN" w:bidi="ar-SA"/>
        </w:rPr>
        <w:t>2025年，我局</w:t>
      </w:r>
      <w:r>
        <w:rPr>
          <w:rFonts w:hint="eastAsia" w:ascii="方正仿宋简体" w:hAnsi="Calibri" w:eastAsia="方正仿宋简体" w:cs="Times New Roman"/>
          <w:b/>
          <w:color w:val="auto"/>
          <w:kern w:val="2"/>
          <w:sz w:val="32"/>
          <w:szCs w:val="32"/>
          <w:lang w:val="en-US" w:eastAsia="zh-CN" w:bidi="ar-SA"/>
        </w:rPr>
        <w:t>围绕社会保障、教育医疗等民生重点领域，发布热点政策及解读，政务公开工作取得阶段性成效。</w:t>
      </w:r>
      <w:r>
        <w:rPr>
          <w:rFonts w:hint="eastAsia" w:ascii="方正仿宋简体" w:eastAsia="方正仿宋简体" w:cs="Times New Roman"/>
          <w:b/>
          <w:color w:val="auto"/>
          <w:kern w:val="2"/>
          <w:sz w:val="32"/>
          <w:szCs w:val="32"/>
          <w:lang w:val="en-US" w:eastAsia="zh-CN" w:bidi="ar-SA"/>
        </w:rPr>
        <w:t>但</w:t>
      </w:r>
      <w:r>
        <w:rPr>
          <w:rFonts w:hint="eastAsia" w:ascii="方正仿宋简体" w:hAnsi="Calibri" w:eastAsia="方正仿宋简体" w:cs="Times New Roman"/>
          <w:b/>
          <w:color w:val="auto"/>
          <w:kern w:val="2"/>
          <w:sz w:val="32"/>
          <w:szCs w:val="32"/>
          <w:lang w:val="en-US" w:eastAsia="zh-CN" w:bidi="ar-SA"/>
        </w:rPr>
        <w:t>同时存在不足</w:t>
      </w:r>
      <w:r>
        <w:rPr>
          <w:rFonts w:hint="eastAsia" w:ascii="方正仿宋简体" w:eastAsia="方正仿宋简体" w:cs="Times New Roman"/>
          <w:b/>
          <w:color w:val="auto"/>
          <w:kern w:val="2"/>
          <w:sz w:val="32"/>
          <w:szCs w:val="32"/>
          <w:lang w:val="en-US" w:eastAsia="zh-CN" w:bidi="ar-SA"/>
        </w:rPr>
        <w:t>，</w:t>
      </w:r>
      <w:r>
        <w:rPr>
          <w:rFonts w:hint="eastAsia" w:ascii="方正仿宋简体" w:hAnsi="Calibri" w:eastAsia="方正仿宋简体" w:cs="Times New Roman"/>
          <w:b/>
          <w:color w:val="auto"/>
          <w:kern w:val="2"/>
          <w:sz w:val="32"/>
          <w:szCs w:val="32"/>
          <w:lang w:val="en-US" w:eastAsia="zh-CN" w:bidi="ar-SA"/>
        </w:rPr>
        <w:t>一是公开内容与中心工作融合不深，重点领域公开针对性有待加强</w:t>
      </w:r>
      <w:r>
        <w:rPr>
          <w:rFonts w:hint="eastAsia" w:ascii="方正仿宋简体" w:eastAsia="方正仿宋简体" w:cs="Times New Roman"/>
          <w:b/>
          <w:color w:val="auto"/>
          <w:kern w:val="2"/>
          <w:sz w:val="32"/>
          <w:szCs w:val="32"/>
          <w:lang w:val="en-US" w:eastAsia="zh-CN" w:bidi="ar-SA"/>
        </w:rPr>
        <w:t>；</w:t>
      </w:r>
      <w:r>
        <w:rPr>
          <w:rFonts w:hint="eastAsia" w:ascii="方正仿宋简体" w:hAnsi="Calibri" w:eastAsia="方正仿宋简体" w:cs="Times New Roman"/>
          <w:b/>
          <w:color w:val="auto"/>
          <w:kern w:val="2"/>
          <w:sz w:val="32"/>
          <w:szCs w:val="32"/>
          <w:lang w:val="en-US" w:eastAsia="zh-CN" w:bidi="ar-SA"/>
        </w:rPr>
        <w:t>二是信息动态更新机制不够健全，部分栏目信息滞后。下一步，将紧扣中心工作完善公开清单，强化重点领域信息公开</w:t>
      </w:r>
      <w:r>
        <w:rPr>
          <w:rFonts w:hint="eastAsia" w:ascii="方正仿宋简体" w:eastAsia="方正仿宋简体" w:cs="Times New Roman"/>
          <w:b/>
          <w:color w:val="auto"/>
          <w:kern w:val="2"/>
          <w:sz w:val="32"/>
          <w:szCs w:val="32"/>
          <w:lang w:val="en-US" w:eastAsia="zh-CN" w:bidi="ar-SA"/>
        </w:rPr>
        <w:t>；</w:t>
      </w:r>
      <w:r>
        <w:rPr>
          <w:rFonts w:hint="eastAsia" w:ascii="方正仿宋简体" w:hAnsi="Calibri" w:eastAsia="方正仿宋简体" w:cs="Times New Roman"/>
          <w:b/>
          <w:color w:val="auto"/>
          <w:kern w:val="2"/>
          <w:sz w:val="32"/>
          <w:szCs w:val="32"/>
          <w:lang w:val="en-US" w:eastAsia="zh-CN" w:bidi="ar-SA"/>
        </w:rPr>
        <w:t>健全信息更新制度，建立定期排查提醒机制，持续提升公开质效。</w:t>
      </w:r>
    </w:p>
    <w:p w14:paraId="00D9563C">
      <w:pPr>
        <w:spacing w:line="590" w:lineRule="exact"/>
        <w:ind w:right="-105" w:rightChars="-50" w:firstLine="641" w:firstLineChars="200"/>
        <w:rPr>
          <w:rFonts w:hint="eastAsia" w:ascii="Times New Roman" w:hAnsi="Times New Roman" w:eastAsia="方正黑体简体"/>
          <w:b/>
          <w:kern w:val="0"/>
          <w:sz w:val="32"/>
          <w:szCs w:val="32"/>
          <w:lang w:val="en-US" w:eastAsia="zh-CN"/>
        </w:rPr>
      </w:pPr>
      <w:r>
        <w:rPr>
          <w:rFonts w:hint="eastAsia" w:ascii="Times New Roman" w:hAnsi="Times New Roman" w:eastAsia="方正黑体简体"/>
          <w:b/>
          <w:kern w:val="0"/>
          <w:sz w:val="32"/>
          <w:szCs w:val="32"/>
          <w:lang w:val="en-US" w:eastAsia="zh-CN"/>
        </w:rPr>
        <w:t>六、其他需要报告的事项</w:t>
      </w:r>
    </w:p>
    <w:p w14:paraId="32692090">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（一）</w:t>
      </w:r>
      <w:r>
        <w:rPr>
          <w:rFonts w:hint="default" w:ascii="方正仿宋简体" w:hAnsi="Calibri" w:eastAsia="方正仿宋简体"/>
          <w:b/>
          <w:color w:val="000000"/>
          <w:kern w:val="2"/>
          <w:sz w:val="32"/>
          <w:szCs w:val="32"/>
          <w:lang w:val="en-US" w:eastAsia="zh-CN"/>
        </w:rPr>
        <w:t>依据《政府信息公开信息处理费管理办法》收取信息处理费的情况需在此专门报告</w:t>
      </w:r>
      <w:r>
        <w:rPr>
          <w:rFonts w:hint="eastAsia" w:ascii="方正仿宋简体" w:hAnsi="Calibri" w:eastAsia="方正仿宋简体"/>
          <w:b/>
          <w:color w:val="000000"/>
          <w:kern w:val="2"/>
          <w:sz w:val="32"/>
          <w:szCs w:val="32"/>
          <w:lang w:val="en-US" w:eastAsia="zh-CN"/>
        </w:rPr>
        <w:t>：</w:t>
      </w:r>
    </w:p>
    <w:p w14:paraId="2AD7FB78">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本年度无收取信息处理费情况。</w:t>
      </w:r>
    </w:p>
    <w:p w14:paraId="31C4BD12">
      <w:pPr>
        <w:numPr>
          <w:ilvl w:val="0"/>
          <w:numId w:val="1"/>
        </w:num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本行政机关落实上级年度政务公开工作要点情况：</w:t>
      </w:r>
    </w:p>
    <w:p w14:paraId="21B591C6">
      <w:pPr>
        <w:keepNext w:val="0"/>
        <w:keepLines w:val="0"/>
        <w:widowControl/>
        <w:suppressLineNumbers w:val="0"/>
        <w:ind w:firstLine="643" w:firstLineChars="200"/>
        <w:jc w:val="left"/>
        <w:rPr>
          <w:rFonts w:hint="default"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2025年，我单位严格落实上级年度政务公开工作要点，锚定公开要求，细化任务分工。聚焦民生保障等重点领域，精准公开政策文件及解读材料；优化公开平台，健全信息发布审核机制；常态化开展自查督查，推动各项部署落地见效，持续提升政务公开规范化水平。</w:t>
      </w:r>
    </w:p>
    <w:p w14:paraId="195ECF2C">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（三）人大代表建议和政协提案办理结果公开情况：</w:t>
      </w:r>
    </w:p>
    <w:p w14:paraId="7EE37610">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2025年我部门未收到人大代表建议和政协提案。</w:t>
      </w:r>
    </w:p>
    <w:p w14:paraId="5BCB3CD3">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（四）其他有关文件专门要求通过政府信息公开工作年度报告予以报告的事项：无。</w:t>
      </w:r>
    </w:p>
    <w:p w14:paraId="44C55CC4">
      <w:pPr>
        <w:spacing w:line="600" w:lineRule="exact"/>
        <w:ind w:firstLine="643" w:firstLineChars="200"/>
        <w:rPr>
          <w:rFonts w:hint="eastAsia" w:ascii="方正仿宋简体" w:eastAsia="方正仿宋简体"/>
          <w:b/>
          <w:color w:val="000000"/>
          <w:sz w:val="32"/>
          <w:szCs w:val="32"/>
          <w:lang w:val="en-US" w:eastAsia="zh-CN"/>
        </w:rPr>
      </w:pPr>
    </w:p>
    <w:p w14:paraId="6B3F4842">
      <w:pPr>
        <w:rPr>
          <w:rFonts w:hint="eastAsia" w:eastAsia="宋体"/>
          <w:lang w:eastAsia="zh-CN"/>
        </w:rPr>
      </w:pPr>
    </w:p>
    <w:p w14:paraId="4B937FF4">
      <w:pPr>
        <w:rPr>
          <w:rFonts w:hint="eastAsia" w:eastAsia="宋体"/>
          <w:lang w:eastAsia="zh-CN"/>
        </w:rPr>
      </w:pPr>
    </w:p>
    <w:p w14:paraId="0F37D67F">
      <w:pPr>
        <w:rPr>
          <w:rFonts w:hint="eastAsia" w:eastAsia="宋体"/>
          <w:lang w:eastAsia="zh-CN"/>
        </w:rPr>
      </w:pPr>
    </w:p>
    <w:p w14:paraId="55741284">
      <w:pPr>
        <w:rPr>
          <w:rFonts w:hint="eastAsia" w:eastAsia="宋体"/>
          <w:lang w:eastAsia="zh-CN"/>
        </w:rPr>
      </w:pPr>
    </w:p>
    <w:p w14:paraId="4BBD4F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A98D4"/>
    <w:multiLevelType w:val="singleLevel"/>
    <w:tmpl w:val="99BA98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E7F8D"/>
    <w:rsid w:val="029A1AAC"/>
    <w:rsid w:val="07C92B37"/>
    <w:rsid w:val="0FDA423D"/>
    <w:rsid w:val="13195C2F"/>
    <w:rsid w:val="14090752"/>
    <w:rsid w:val="22584D59"/>
    <w:rsid w:val="24A253AB"/>
    <w:rsid w:val="24AC1568"/>
    <w:rsid w:val="2E2E4B36"/>
    <w:rsid w:val="37BE7F8D"/>
    <w:rsid w:val="37C04BF8"/>
    <w:rsid w:val="475D1628"/>
    <w:rsid w:val="67447B51"/>
    <w:rsid w:val="6E8D264B"/>
    <w:rsid w:val="78691546"/>
    <w:rsid w:val="7D530E07"/>
    <w:rsid w:val="7E36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60715148586615"/>
          <c:y val="0.237819804504887"/>
          <c:w val="0.833225416767335"/>
          <c:h val="0.720492987675308"/>
        </c:manualLayout>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dLbl>
              <c:idx val="0"/>
              <c:layout>
                <c:manualLayout>
                  <c:x val="-0.192075380526697"/>
                  <c:y val="-0.0446238844028899"/>
                </c:manualLayout>
              </c:layout>
              <c:tx>
                <c:rich>
                  <a:bodyPr rot="0" spcFirstLastPara="0" vertOverflow="ellipsis" vert="horz" wrap="square" lIns="38100" tIns="19050" rIns="38100" bIns="19050" anchor="ctr" anchorCtr="1"/>
                  <a:lstStyle/>
                  <a:p>
                    <a:pPr defTabSz="914400">
                      <a:defRPr lang="zh-CN" sz="1000" b="1" i="0" u="none" strike="noStrike" kern="1200" cap="none" spc="0" normalizeH="0" baseline="0">
                        <a:solidFill>
                          <a:srgbClr val="0000FF"/>
                        </a:solidFill>
                        <a:uFill>
                          <a:solidFill>
                            <a:schemeClr val="tx1">
                              <a:lumMod val="75000"/>
                              <a:lumOff val="25000"/>
                            </a:schemeClr>
                          </a:solidFill>
                        </a:uFill>
                        <a:latin typeface="+mn-lt"/>
                        <a:ea typeface="+mn-ea"/>
                        <a:cs typeface="+mn-cs"/>
                      </a:defRPr>
                    </a:pPr>
                    <a:r>
                      <a:rPr b="1" u="none" strike="noStrike" cap="none" normalizeH="0">
                        <a:solidFill>
                          <a:srgbClr val="0000FF"/>
                        </a:solidFill>
                        <a:uFill>
                          <a:solidFill>
                            <a:schemeClr val="tx1">
                              <a:lumMod val="75000"/>
                              <a:lumOff val="25000"/>
                            </a:schemeClr>
                          </a:solidFill>
                        </a:uFill>
                      </a:rPr>
                      <a:t>领导信箱</a:t>
                    </a:r>
                    <a:r>
                      <a:rPr lang="en-US" altLang="zh-CN" b="1" u="none" strike="noStrike" cap="none" normalizeH="0">
                        <a:solidFill>
                          <a:srgbClr val="0000FF"/>
                        </a:solidFill>
                        <a:uFill>
                          <a:solidFill>
                            <a:schemeClr val="tx1">
                              <a:lumMod val="75000"/>
                              <a:lumOff val="25000"/>
                            </a:schemeClr>
                          </a:solidFill>
                        </a:uFill>
                      </a:rPr>
                      <a:t> 32</a:t>
                    </a:r>
                    <a:r>
                      <a:rPr altLang="en-US" b="1" u="none" strike="noStrike" cap="none" normalizeH="0">
                        <a:solidFill>
                          <a:srgbClr val="0000FF"/>
                        </a:solidFill>
                        <a:uFill>
                          <a:solidFill>
                            <a:schemeClr val="tx1">
                              <a:lumMod val="75000"/>
                              <a:lumOff val="25000"/>
                            </a:schemeClr>
                          </a:solidFill>
                        </a:uFill>
                      </a:rPr>
                      <a:t>件</a:t>
                    </a:r>
                    <a:endParaRPr lang="en-US" altLang="zh-CN" b="1" u="none" strike="noStrike" cap="none" normalizeH="0">
                      <a:solidFill>
                        <a:srgbClr val="0000FF"/>
                      </a:solidFill>
                      <a:uFill>
                        <a:solidFill>
                          <a:schemeClr val="tx1">
                            <a:lumMod val="75000"/>
                            <a:lumOff val="25000"/>
                          </a:schemeClr>
                        </a:solidFill>
                      </a:u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cap="none" spc="0" normalizeH="0" baseline="0">
                      <a:solidFill>
                        <a:srgbClr val="0000FF"/>
                      </a:solidFill>
                      <a:uFill>
                        <a:solidFill>
                          <a:schemeClr val="tx1">
                            <a:lumMod val="75000"/>
                            <a:lumOff val="25000"/>
                          </a:schemeClr>
                        </a:solidFill>
                      </a:uFill>
                      <a:latin typeface="+mn-lt"/>
                      <a:ea typeface="+mn-ea"/>
                      <a:cs typeface="+mn-cs"/>
                    </a:defRPr>
                  </a:pPr>
                </a:p>
              </c:txPr>
              <c:dLblPos val="bestFit"/>
              <c:showLegendKey val="0"/>
              <c:showVal val="1"/>
              <c:showCatName val="1"/>
              <c:showSerName val="1"/>
              <c:showPercent val="1"/>
              <c:showBubbleSize val="0"/>
              <c:extLst>
                <c:ext xmlns:c15="http://schemas.microsoft.com/office/drawing/2012/chart" uri="{CE6537A1-D6FC-4f65-9D91-7224C49458BB}">
                  <c15:layout>
                    <c:manualLayout>
                      <c:w val="0.179511959410486"/>
                      <c:h val="0.0654483637909052"/>
                    </c:manualLayout>
                  </c15:layout>
                </c:ext>
              </c:extLst>
            </c:dLbl>
            <c:dLbl>
              <c:idx val="1"/>
              <c:layout>
                <c:manualLayout>
                  <c:x val="0.0632576711117059"/>
                  <c:y val="-0.0637484062898427"/>
                </c:manualLayout>
              </c:layout>
              <c:tx>
                <c:rich>
                  <a:bodyPr rot="0" spcFirstLastPara="0" vertOverflow="ellipsis" vert="horz" wrap="square" lIns="38100" tIns="19050" rIns="38100" bIns="19050" anchor="ctr" anchorCtr="1"/>
                  <a:lstStyle/>
                  <a:p>
                    <a:pPr defTabSz="914400">
                      <a:defRPr lang="zh-CN"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b="1" u="none" strike="noStrike" cap="none" normalizeH="0">
                        <a:solidFill>
                          <a:schemeClr val="tx1">
                            <a:lumMod val="75000"/>
                            <a:lumOff val="25000"/>
                          </a:schemeClr>
                        </a:solidFill>
                        <a:uFill>
                          <a:solidFill>
                            <a:schemeClr val="tx1">
                              <a:lumMod val="75000"/>
                              <a:lumOff val="25000"/>
                            </a:schemeClr>
                          </a:solidFill>
                        </a:uFill>
                      </a:rPr>
                      <a:t> </a:t>
                    </a:r>
                    <a:r>
                      <a:rPr b="1" u="none" strike="noStrike" cap="none" normalizeH="0">
                        <a:solidFill>
                          <a:schemeClr val="accent2"/>
                        </a:solidFill>
                        <a:uFill>
                          <a:solidFill>
                            <a:schemeClr val="tx1">
                              <a:lumMod val="75000"/>
                              <a:lumOff val="25000"/>
                            </a:schemeClr>
                          </a:solidFill>
                        </a:uFill>
                      </a:rPr>
                      <a:t>网络问政平台</a:t>
                    </a:r>
                    <a:r>
                      <a:rPr lang="en-US" altLang="zh-CN" b="1" u="none" strike="noStrike" cap="none" normalizeH="0">
                        <a:solidFill>
                          <a:schemeClr val="accent2"/>
                        </a:solidFill>
                        <a:uFill>
                          <a:solidFill>
                            <a:schemeClr val="tx1">
                              <a:lumMod val="75000"/>
                              <a:lumOff val="25000"/>
                            </a:schemeClr>
                          </a:solidFill>
                        </a:uFill>
                      </a:rPr>
                      <a:t>167</a:t>
                    </a:r>
                    <a:r>
                      <a:rPr altLang="en-US" b="1" u="none" strike="noStrike" cap="none" normalizeH="0">
                        <a:solidFill>
                          <a:schemeClr val="accent2"/>
                        </a:solidFill>
                        <a:uFill>
                          <a:solidFill>
                            <a:schemeClr val="tx1">
                              <a:lumMod val="75000"/>
                              <a:lumOff val="25000"/>
                            </a:schemeClr>
                          </a:solidFill>
                        </a:uFill>
                      </a:rPr>
                      <a:t>条</a:t>
                    </a:r>
                    <a:endParaRPr lang="en-US" altLang="en-US" b="1" u="none" strike="noStrike" cap="none" normalizeH="0">
                      <a:solidFill>
                        <a:schemeClr val="accent2"/>
                      </a:solidFill>
                      <a:uFill>
                        <a:solidFill>
                          <a:schemeClr val="tx1">
                            <a:lumMod val="75000"/>
                            <a:lumOff val="25000"/>
                          </a:schemeClr>
                        </a:solidFill>
                      </a:uFill>
                    </a:endParaRPr>
                  </a:p>
                </c:rich>
              </c:tx>
              <c:dLblPos val="bestFit"/>
              <c:showLegendKey val="0"/>
              <c:showVal val="1"/>
              <c:showCatName val="1"/>
              <c:showSerName val="1"/>
              <c:showPercent val="1"/>
              <c:showBubbleSize val="0"/>
              <c:extLst>
                <c:ext xmlns:c15="http://schemas.microsoft.com/office/drawing/2012/chart" uri="{CE6537A1-D6FC-4f65-9D91-7224C49458BB}">
                  <c15:layout>
                    <c:manualLayout>
                      <c:w val="0.246798743657888"/>
                      <c:h val="0.117509562260943"/>
                    </c:manualLayout>
                  </c15:layout>
                </c:ext>
              </c:extLst>
            </c:dLbl>
            <c:dLbl>
              <c:idx val="2"/>
              <c:layout>
                <c:manualLayout>
                  <c:x val="0.164963438489744"/>
                  <c:y val="0.00999870406413064"/>
                </c:manualLayout>
              </c:layout>
              <c:tx>
                <c:rich>
                  <a:bodyPr rot="0" spcFirstLastPara="0" vertOverflow="ellipsis" vert="horz" wrap="square" lIns="38100" tIns="19050" rIns="38100" bIns="19050" anchor="ctr" anchorCtr="1"/>
                  <a:lstStyle/>
                  <a:p>
                    <a:pPr defTabSz="914400">
                      <a:defRPr lang="zh-CN"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b="1" u="none" strike="noStrike" cap="none" normalizeH="0">
                        <a:solidFill>
                          <a:schemeClr val="accent3">
                            <a:lumMod val="60000"/>
                            <a:lumOff val="40000"/>
                          </a:schemeClr>
                        </a:solidFill>
                        <a:uFill>
                          <a:solidFill>
                            <a:schemeClr val="tx1">
                              <a:lumMod val="75000"/>
                              <a:lumOff val="25000"/>
                            </a:schemeClr>
                          </a:solidFill>
                        </a:uFill>
                      </a:rPr>
                      <a:t>主动公开政府信息</a:t>
                    </a:r>
                    <a:r>
                      <a:rPr lang="en-US" altLang="zh-CN" b="1" u="none" strike="noStrike" cap="none" normalizeH="0">
                        <a:solidFill>
                          <a:schemeClr val="accent3">
                            <a:lumMod val="60000"/>
                            <a:lumOff val="40000"/>
                          </a:schemeClr>
                        </a:solidFill>
                        <a:uFill>
                          <a:solidFill>
                            <a:schemeClr val="tx1">
                              <a:lumMod val="75000"/>
                              <a:lumOff val="25000"/>
                            </a:schemeClr>
                          </a:solidFill>
                        </a:uFill>
                      </a:rPr>
                      <a:t> 191</a:t>
                    </a:r>
                    <a:r>
                      <a:rPr altLang="en-US" b="1" u="none" strike="noStrike" cap="none" normalizeH="0">
                        <a:solidFill>
                          <a:schemeClr val="accent3">
                            <a:lumMod val="60000"/>
                            <a:lumOff val="40000"/>
                          </a:schemeClr>
                        </a:solidFill>
                        <a:uFill>
                          <a:solidFill>
                            <a:schemeClr val="tx1">
                              <a:lumMod val="75000"/>
                              <a:lumOff val="25000"/>
                            </a:schemeClr>
                          </a:solidFill>
                        </a:uFill>
                      </a:rPr>
                      <a:t>条</a:t>
                    </a:r>
                    <a:endParaRPr lang="en-US" altLang="en-US" b="1" u="none" strike="noStrike" cap="none" normalizeH="0">
                      <a:solidFill>
                        <a:schemeClr val="accent3">
                          <a:lumMod val="60000"/>
                          <a:lumOff val="40000"/>
                        </a:schemeClr>
                      </a:solidFill>
                      <a:uFill>
                        <a:solidFill>
                          <a:schemeClr val="tx1">
                            <a:lumMod val="75000"/>
                            <a:lumOff val="25000"/>
                          </a:schemeClr>
                        </a:solidFill>
                      </a:uFill>
                    </a:endParaRPr>
                  </a:p>
                </c:rich>
              </c:tx>
              <c:dLblPos val="bestFit"/>
              <c:showLegendKey val="0"/>
              <c:showVal val="1"/>
              <c:showCatName val="1"/>
              <c:showSerName val="1"/>
              <c:showPercent val="1"/>
              <c:showBubbleSize val="0"/>
              <c:extLst>
                <c:ext xmlns:c15="http://schemas.microsoft.com/office/drawing/2012/chart" uri="{CE6537A1-D6FC-4f65-9D91-7224C49458BB}">
                  <c15:layout>
                    <c:manualLayout>
                      <c:w val="0.298025353486104"/>
                      <c:h val="0.117365790045642"/>
                    </c:manualLayout>
                  </c15:layout>
                </c:ext>
              </c:extLst>
            </c:dLbl>
            <c:dLbl>
              <c:idx val="3"/>
              <c:layout>
                <c:manualLayout>
                  <c:x val="-0.25050494561717"/>
                  <c:y val="-0.0731184081903462"/>
                </c:manualLayout>
              </c:layout>
              <c:tx>
                <c:rich>
                  <a:bodyPr rot="0" spcFirstLastPara="0" vertOverflow="ellipsis" vert="horz" wrap="square" lIns="38100" tIns="19050" rIns="38100" bIns="19050" anchor="ctr" anchorCtr="1"/>
                  <a:lstStyle/>
                  <a:p>
                    <a:pPr defTabSz="914400">
                      <a:defRPr lang="zh-CN"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b="1" u="none" strike="noStrike" cap="none" normalizeH="0">
                        <a:solidFill>
                          <a:srgbClr val="00B050"/>
                        </a:solidFill>
                        <a:uFill>
                          <a:solidFill>
                            <a:schemeClr val="tx1">
                              <a:lumMod val="75000"/>
                              <a:lumOff val="25000"/>
                            </a:schemeClr>
                          </a:solidFill>
                        </a:uFill>
                      </a:rPr>
                      <a:t>群众咨询</a:t>
                    </a:r>
                    <a:r>
                      <a:rPr lang="en-US" altLang="zh-CN" b="1" u="none" strike="noStrike" cap="none" normalizeH="0">
                        <a:solidFill>
                          <a:srgbClr val="00B050"/>
                        </a:solidFill>
                        <a:uFill>
                          <a:solidFill>
                            <a:schemeClr val="tx1">
                              <a:lumMod val="75000"/>
                              <a:lumOff val="25000"/>
                            </a:schemeClr>
                          </a:solidFill>
                        </a:uFill>
                      </a:rPr>
                      <a:t>5620</a:t>
                    </a:r>
                    <a:r>
                      <a:rPr altLang="en-US" b="1" u="none" strike="noStrike" cap="none" normalizeH="0">
                        <a:solidFill>
                          <a:srgbClr val="00B050"/>
                        </a:solidFill>
                        <a:uFill>
                          <a:solidFill>
                            <a:schemeClr val="tx1">
                              <a:lumMod val="75000"/>
                              <a:lumOff val="25000"/>
                            </a:schemeClr>
                          </a:solidFill>
                        </a:uFill>
                      </a:rPr>
                      <a:t>件</a:t>
                    </a:r>
                    <a:endParaRPr lang="en-US" altLang="en-US" b="1" u="none" strike="noStrike" cap="none" normalizeH="0">
                      <a:solidFill>
                        <a:srgbClr val="00B050"/>
                      </a:solidFill>
                      <a:uFill>
                        <a:solidFill>
                          <a:schemeClr val="tx1">
                            <a:lumMod val="75000"/>
                            <a:lumOff val="25000"/>
                          </a:schemeClr>
                        </a:solidFill>
                      </a:uFill>
                    </a:endParaRPr>
                  </a:p>
                </c:rich>
              </c:tx>
              <c:dLblPos val="bestFit"/>
              <c:showLegendKey val="0"/>
              <c:showVal val="1"/>
              <c:showCatName val="1"/>
              <c:showSerName val="1"/>
              <c:showPercent val="1"/>
              <c:showBubbleSize val="0"/>
              <c:extLst>
                <c:ext xmlns:c15="http://schemas.microsoft.com/office/drawing/2012/chart" uri="{CE6537A1-D6FC-4f65-9D91-7224C49458BB}">
                  <c15:layout>
                    <c:manualLayout>
                      <c:w val="0.205726020777966"/>
                      <c:h val="0.117509562260943"/>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1"/>
            <c:showSerName val="1"/>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领导信箱</c:v>
                </c:pt>
                <c:pt idx="1">
                  <c:v>网络问政平台</c:v>
                </c:pt>
                <c:pt idx="2">
                  <c:v>主动公开政府信息</c:v>
                </c:pt>
                <c:pt idx="3">
                  <c:v>群众咨询</c:v>
                </c:pt>
              </c:strCache>
            </c:strRef>
          </c:cat>
          <c:val>
            <c:numRef>
              <c:f>Sheet1!$B$2:$B$5</c:f>
              <c:numCache>
                <c:formatCode>General</c:formatCode>
                <c:ptCount val="4"/>
                <c:pt idx="0">
                  <c:v>32</c:v>
                </c:pt>
                <c:pt idx="1">
                  <c:v>167</c:v>
                </c:pt>
                <c:pt idx="2">
                  <c:v>500</c:v>
                </c:pt>
                <c:pt idx="3">
                  <c:v>5620</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6b661b-4146-4e45-a851-ad1d87894d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1793</Words>
  <Characters>1879</Characters>
  <Lines>0</Lines>
  <Paragraphs>0</Paragraphs>
  <TotalTime>0</TotalTime>
  <ScaleCrop>false</ScaleCrop>
  <LinksUpToDate>false</LinksUpToDate>
  <CharactersWithSpaces>1879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2025-12-24T07:30:00Z</dcterms:created>
  <dc:creator>Administrator</dc:creator>
  <cp:lastModifiedBy>贝塔贝塔</cp:lastModifiedBy>
  <dcterms:modified xsi:type="dcterms:W3CDTF">2026-01-16T06:46:34Z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DBF10883729047A68C4B85E7B1DDAA52_13</vt:lpwstr>
  </property>
  <property fmtid="{D5CDD505-2E9C-101B-9397-08002B2CF9AE}" pid="4" name="KSOTemplateDocerSaveRecord">
    <vt:lpwstr>eyJoZGlkIjoiZDRkMTk5NWFjYzNkZGIzMTVmZTdkZjZjN2M5NDc5NjciLCJ1c2VySWQiOiIzMDkzODk0MzEifQ==</vt:lpwstr>
  </property>
</Properties>
</file>